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DF6B2" w14:textId="77777777" w:rsidR="00B03338" w:rsidRPr="00EE1A30" w:rsidRDefault="006F25ED" w:rsidP="00751B06">
      <w:pPr>
        <w:pStyle w:val="Ttulo1"/>
      </w:pPr>
      <w:bookmarkStart w:id="0" w:name="_Toc400669450"/>
      <w:bookmarkStart w:id="1" w:name="_Toc400669916"/>
      <w:bookmarkStart w:id="2" w:name="_Toc400670254"/>
      <w:bookmarkStart w:id="3" w:name="_Toc400670588"/>
      <w:bookmarkStart w:id="4" w:name="_Toc400670920"/>
      <w:bookmarkStart w:id="5" w:name="_Toc400671224"/>
      <w:bookmarkStart w:id="6" w:name="_Toc400671530"/>
      <w:bookmarkStart w:id="7" w:name="_Toc400671824"/>
      <w:bookmarkStart w:id="8" w:name="_Toc375220069"/>
      <w:bookmarkStart w:id="9" w:name="_Toc386464222"/>
      <w:bookmarkStart w:id="10" w:name="_Ref403725964"/>
      <w:bookmarkStart w:id="11" w:name="_Toc425522050"/>
      <w:bookmarkStart w:id="12" w:name="_Toc430961558"/>
      <w:bookmarkStart w:id="13" w:name="_Toc433807983"/>
      <w:bookmarkStart w:id="14" w:name="_GoBack"/>
      <w:bookmarkEnd w:id="0"/>
      <w:bookmarkEnd w:id="1"/>
      <w:bookmarkEnd w:id="2"/>
      <w:bookmarkEnd w:id="3"/>
      <w:bookmarkEnd w:id="4"/>
      <w:bookmarkEnd w:id="5"/>
      <w:bookmarkEnd w:id="6"/>
      <w:bookmarkEnd w:id="7"/>
      <w:bookmarkEnd w:id="14"/>
      <w:r w:rsidRPr="006F25ED">
        <w:t>Monitoring (schema monitoring)</w:t>
      </w:r>
      <w:bookmarkEnd w:id="8"/>
      <w:bookmarkEnd w:id="9"/>
      <w:bookmarkEnd w:id="10"/>
      <w:bookmarkEnd w:id="11"/>
      <w:bookmarkEnd w:id="12"/>
      <w:bookmarkEnd w:id="13"/>
    </w:p>
    <w:p w14:paraId="588DECF8" w14:textId="77777777" w:rsidR="00F85990" w:rsidRPr="00EE1A30" w:rsidRDefault="006F25ED" w:rsidP="000840F3">
      <w:pPr>
        <w:pStyle w:val="Ttulo2"/>
        <w:jc w:val="both"/>
      </w:pPr>
      <w:bookmarkStart w:id="15" w:name="_Toc386464223"/>
      <w:bookmarkStart w:id="16" w:name="_Toc425522051"/>
      <w:bookmarkStart w:id="17" w:name="_Toc430961559"/>
      <w:bookmarkStart w:id="18" w:name="_Toc433807984"/>
      <w:bookmarkStart w:id="19" w:name="_Toc375220070"/>
      <w:r w:rsidRPr="006F25ED">
        <w:t>Introduction</w:t>
      </w:r>
      <w:bookmarkEnd w:id="15"/>
      <w:bookmarkEnd w:id="16"/>
      <w:bookmarkEnd w:id="17"/>
      <w:bookmarkEnd w:id="18"/>
    </w:p>
    <w:p w14:paraId="57C8CBEC" w14:textId="77777777" w:rsidR="00F85990" w:rsidRPr="00EE1A30" w:rsidRDefault="00F85990" w:rsidP="000840F3">
      <w:pPr>
        <w:pStyle w:val="Text4"/>
        <w:tabs>
          <w:tab w:val="clear" w:pos="2302"/>
        </w:tabs>
        <w:ind w:left="0"/>
        <w:jc w:val="both"/>
      </w:pPr>
      <w:r w:rsidRPr="00EE1A30">
        <w:t xml:space="preserve">Article 8.1 of the WFD requires Member States to establish monitoring programmes for the assessment of the status of surface water and of groundwater in order to provide a coherent and comprehensive overview of water status within each RBD. These requirements include monitoring of </w:t>
      </w:r>
      <w:r w:rsidR="0088671D" w:rsidRPr="00EE1A30">
        <w:t>P</w:t>
      </w:r>
      <w:r w:rsidRPr="00EE1A30">
        <w:t xml:space="preserve">rotected </w:t>
      </w:r>
      <w:r w:rsidR="0088671D" w:rsidRPr="00EE1A30">
        <w:t>A</w:t>
      </w:r>
      <w:r w:rsidRPr="00EE1A30">
        <w:t xml:space="preserve">reas as far as the status of surface water and groundwater is concerned. The results of monitoring play a key role in determining whether water bodies are </w:t>
      </w:r>
      <w:r w:rsidR="0088671D" w:rsidRPr="00EE1A30">
        <w:t xml:space="preserve">of </w:t>
      </w:r>
      <w:r w:rsidRPr="00EE1A30">
        <w:t>good status and what measures need to be included in the RBMP</w:t>
      </w:r>
      <w:r w:rsidR="0088671D" w:rsidRPr="00EE1A30">
        <w:t>s</w:t>
      </w:r>
      <w:r w:rsidRPr="00EE1A30">
        <w:t xml:space="preserve"> in order to reach good status by 2015. Precise and reliable monitoring results are therefore a prerequisite for sound planning of investments in the </w:t>
      </w:r>
      <w:r w:rsidR="0088671D" w:rsidRPr="00EE1A30">
        <w:t>P</w:t>
      </w:r>
      <w:r w:rsidRPr="00EE1A30">
        <w:t>rogramme</w:t>
      </w:r>
      <w:r w:rsidR="0088671D" w:rsidRPr="00EE1A30">
        <w:t>s</w:t>
      </w:r>
      <w:r w:rsidRPr="00EE1A30">
        <w:t xml:space="preserve"> of </w:t>
      </w:r>
      <w:r w:rsidR="0088671D" w:rsidRPr="00EE1A30">
        <w:t>M</w:t>
      </w:r>
      <w:r w:rsidRPr="00EE1A30">
        <w:t>easures</w:t>
      </w:r>
      <w:r w:rsidR="0088671D" w:rsidRPr="00EE1A30">
        <w:t xml:space="preserve"> (PoMs)</w:t>
      </w:r>
      <w:r w:rsidRPr="00EE1A30">
        <w:t>.</w:t>
      </w:r>
    </w:p>
    <w:p w14:paraId="4D43F0CE" w14:textId="77777777" w:rsidR="009551E9" w:rsidRPr="00EE1A30" w:rsidRDefault="009551E9" w:rsidP="000840F3">
      <w:pPr>
        <w:pStyle w:val="Text4"/>
        <w:tabs>
          <w:tab w:val="clear" w:pos="2302"/>
        </w:tabs>
        <w:ind w:left="0"/>
        <w:jc w:val="both"/>
      </w:pPr>
      <w:r w:rsidRPr="00EE1A30">
        <w:t>The WFD implementation report</w:t>
      </w:r>
      <w:r w:rsidR="0088671D" w:rsidRPr="00EE1A30">
        <w:t>s</w:t>
      </w:r>
      <w:r w:rsidRPr="00EE1A30">
        <w:t xml:space="preserve"> required by Article 18 of the WFD </w:t>
      </w:r>
      <w:r w:rsidR="00291A42" w:rsidRPr="00EE1A30">
        <w:t>should</w:t>
      </w:r>
      <w:r w:rsidRPr="00EE1A30">
        <w:t xml:space="preserve"> include</w:t>
      </w:r>
      <w:r w:rsidR="0088671D" w:rsidRPr="00EE1A30">
        <w:t>,</w:t>
      </w:r>
      <w:r w:rsidRPr="00EE1A30">
        <w:t xml:space="preserve"> among other</w:t>
      </w:r>
      <w:r w:rsidR="0088671D" w:rsidRPr="00EE1A30">
        <w:t xml:space="preserve"> aspect</w:t>
      </w:r>
      <w:r w:rsidRPr="00EE1A30">
        <w:t>s</w:t>
      </w:r>
      <w:r w:rsidR="0088671D" w:rsidRPr="00EE1A30">
        <w:t>,</w:t>
      </w:r>
      <w:r w:rsidRPr="00EE1A30">
        <w:t xml:space="preserve"> </w:t>
      </w:r>
      <w:r w:rsidR="0088671D" w:rsidRPr="00EE1A30">
        <w:t>‘</w:t>
      </w:r>
      <w:r w:rsidRPr="00EE1A30">
        <w:t>a review of the status of surface water and groundwater in the Community undertaken in co</w:t>
      </w:r>
      <w:r w:rsidR="0088671D" w:rsidRPr="00EE1A30">
        <w:t>-</w:t>
      </w:r>
      <w:r w:rsidRPr="00EE1A30">
        <w:t>ordination with the European Environment Agency</w:t>
      </w:r>
      <w:r w:rsidR="0088671D" w:rsidRPr="00EE1A30">
        <w:t>’</w:t>
      </w:r>
      <w:r w:rsidRPr="00EE1A30">
        <w:t>. In the first implementation report</w:t>
      </w:r>
      <w:r w:rsidR="0088671D" w:rsidRPr="00EE1A30">
        <w:t>,</w:t>
      </w:r>
      <w:r w:rsidRPr="00EE1A30">
        <w:t xml:space="preserve"> this review was based on both the State of </w:t>
      </w:r>
      <w:r w:rsidR="0088671D" w:rsidRPr="00EE1A30">
        <w:t xml:space="preserve">the </w:t>
      </w:r>
      <w:r w:rsidRPr="00EE1A30">
        <w:t>Environment (SoE) information provided by EEA Member Countries</w:t>
      </w:r>
      <w:r w:rsidRPr="00EE1A30">
        <w:rPr>
          <w:rStyle w:val="Refdenotaalpie"/>
        </w:rPr>
        <w:footnoteReference w:id="2"/>
      </w:r>
      <w:r w:rsidRPr="00EE1A30">
        <w:t xml:space="preserve"> through the EIONET reporting </w:t>
      </w:r>
      <w:r w:rsidR="0088671D" w:rsidRPr="00EE1A30">
        <w:t xml:space="preserve">process, </w:t>
      </w:r>
      <w:r w:rsidRPr="00EE1A30">
        <w:t>and the status and pressure results reported at water body level (chapter 2 and 3 of this guidance)</w:t>
      </w:r>
      <w:r w:rsidR="0088671D" w:rsidRPr="00DD6DEC">
        <w:t xml:space="preserve"> by Member </w:t>
      </w:r>
      <w:r w:rsidR="0088671D" w:rsidRPr="00851B21">
        <w:t>States</w:t>
      </w:r>
      <w:r w:rsidRPr="00A8624D">
        <w:t xml:space="preserve">. </w:t>
      </w:r>
      <w:r w:rsidR="007778CC" w:rsidRPr="0071782C">
        <w:t>B</w:t>
      </w:r>
      <w:r w:rsidRPr="00587683">
        <w:t>etter streamlining between WFD and SoE reporting is still needed</w:t>
      </w:r>
      <w:r w:rsidR="007778CC" w:rsidRPr="00EE1A30">
        <w:t xml:space="preserve"> to ensure the most beneficial outcome of this two-level approach</w:t>
      </w:r>
      <w:r w:rsidRPr="00EE1A30">
        <w:t>. For the second</w:t>
      </w:r>
      <w:r w:rsidR="007778CC" w:rsidRPr="00EE1A30">
        <w:t xml:space="preserve"> RBMPs, </w:t>
      </w:r>
      <w:r w:rsidRPr="00EE1A30">
        <w:t xml:space="preserve">the review of status </w:t>
      </w:r>
      <w:r w:rsidR="007778CC" w:rsidRPr="00EE1A30">
        <w:t xml:space="preserve">under Article 18 </w:t>
      </w:r>
      <w:r w:rsidRPr="00EE1A30">
        <w:t xml:space="preserve">could </w:t>
      </w:r>
      <w:r w:rsidR="007778CC" w:rsidRPr="00EE1A30">
        <w:t xml:space="preserve">significantly </w:t>
      </w:r>
      <w:r w:rsidRPr="00EE1A30">
        <w:t xml:space="preserve">benefit from </w:t>
      </w:r>
      <w:r w:rsidR="007778CC" w:rsidRPr="00EE1A30">
        <w:t xml:space="preserve">the </w:t>
      </w:r>
      <w:r w:rsidRPr="00EE1A30">
        <w:t>inclu</w:t>
      </w:r>
      <w:r w:rsidR="007778CC" w:rsidRPr="00EE1A30">
        <w:t>sion</w:t>
      </w:r>
      <w:r w:rsidR="009467CC" w:rsidRPr="00EE1A30">
        <w:t xml:space="preserve"> </w:t>
      </w:r>
      <w:r w:rsidR="007778CC" w:rsidRPr="00EE1A30">
        <w:t xml:space="preserve">of </w:t>
      </w:r>
      <w:r w:rsidRPr="00EE1A30">
        <w:t>the WFD monitoring results</w:t>
      </w:r>
      <w:r w:rsidR="007778CC" w:rsidRPr="00EE1A30">
        <w:t xml:space="preserve"> on </w:t>
      </w:r>
      <w:r w:rsidRPr="00EE1A30">
        <w:t>water quality data and biological data into the overall status assessment</w:t>
      </w:r>
      <w:r w:rsidR="007778CC" w:rsidRPr="00EE1A30">
        <w:t>. D</w:t>
      </w:r>
      <w:r w:rsidRPr="00EE1A30">
        <w:t xml:space="preserve">etails </w:t>
      </w:r>
      <w:r w:rsidR="007778CC" w:rsidRPr="00EE1A30">
        <w:t xml:space="preserve">could be included </w:t>
      </w:r>
      <w:r w:rsidRPr="00EE1A30">
        <w:t xml:space="preserve">on the development of progress </w:t>
      </w:r>
      <w:r w:rsidR="007778CC" w:rsidRPr="00EE1A30">
        <w:t xml:space="preserve">made since the first RBMPs, for example </w:t>
      </w:r>
      <w:r w:rsidRPr="00EE1A30">
        <w:t>in the trends of status, pressures and impacts</w:t>
      </w:r>
      <w:r w:rsidR="007778CC" w:rsidRPr="00EE1A30">
        <w:t xml:space="preserve">, and </w:t>
      </w:r>
      <w:r w:rsidRPr="00EE1A30">
        <w:t xml:space="preserve">where objectives </w:t>
      </w:r>
      <w:r w:rsidR="007778CC" w:rsidRPr="00EE1A30">
        <w:t xml:space="preserve">have </w:t>
      </w:r>
      <w:r w:rsidRPr="00EE1A30">
        <w:t xml:space="preserve">not </w:t>
      </w:r>
      <w:r w:rsidR="007778CC" w:rsidRPr="00EE1A30">
        <w:t xml:space="preserve">been </w:t>
      </w:r>
      <w:r w:rsidRPr="00EE1A30">
        <w:t>fully met.</w:t>
      </w:r>
    </w:p>
    <w:p w14:paraId="4279E108" w14:textId="77777777" w:rsidR="000B0EC1" w:rsidRPr="00EE1A30" w:rsidRDefault="000B0EC1" w:rsidP="000840F3">
      <w:pPr>
        <w:pStyle w:val="Text4"/>
        <w:tabs>
          <w:tab w:val="clear" w:pos="2302"/>
        </w:tabs>
        <w:ind w:left="0"/>
        <w:jc w:val="both"/>
      </w:pPr>
      <w:r w:rsidRPr="00EE1A30">
        <w:rPr>
          <w:b/>
        </w:rPr>
        <w:t xml:space="preserve">Reporting should reflect the monitoring carried out </w:t>
      </w:r>
      <w:r w:rsidR="007778CC" w:rsidRPr="00EE1A30">
        <w:rPr>
          <w:b/>
        </w:rPr>
        <w:t xml:space="preserve">that has </w:t>
      </w:r>
      <w:r w:rsidRPr="00EE1A30">
        <w:rPr>
          <w:b/>
        </w:rPr>
        <w:t>inform</w:t>
      </w:r>
      <w:r w:rsidR="007778CC" w:rsidRPr="00EE1A30">
        <w:rPr>
          <w:b/>
        </w:rPr>
        <w:t>ed</w:t>
      </w:r>
      <w:r w:rsidRPr="00EE1A30">
        <w:rPr>
          <w:b/>
        </w:rPr>
        <w:t xml:space="preserve"> the </w:t>
      </w:r>
      <w:r w:rsidR="007778CC" w:rsidRPr="00EE1A30">
        <w:rPr>
          <w:b/>
        </w:rPr>
        <w:t>second</w:t>
      </w:r>
      <w:r w:rsidRPr="00EE1A30">
        <w:rPr>
          <w:b/>
        </w:rPr>
        <w:t xml:space="preserve"> RBMP</w:t>
      </w:r>
      <w:r w:rsidR="007778CC" w:rsidRPr="00EE1A30">
        <w:rPr>
          <w:b/>
        </w:rPr>
        <w:t>s</w:t>
      </w:r>
      <w:r w:rsidRPr="00EE1A30">
        <w:rPr>
          <w:b/>
        </w:rPr>
        <w:t xml:space="preserve">. </w:t>
      </w:r>
      <w:r w:rsidRPr="00EE1A30">
        <w:t>Given that monitoring programmes are usually dynamic and multi</w:t>
      </w:r>
      <w:r w:rsidR="007778CC" w:rsidRPr="00EE1A30">
        <w:t>-</w:t>
      </w:r>
      <w:r w:rsidRPr="00EE1A30">
        <w:t>annual (i.e. in the cases of quality elements with lower frequencies of monitoring), reporting should reflect</w:t>
      </w:r>
      <w:r w:rsidR="007778CC" w:rsidRPr="00EE1A30">
        <w:t>,</w:t>
      </w:r>
      <w:r w:rsidRPr="00EE1A30">
        <w:t xml:space="preserve"> as accurately as possible</w:t>
      </w:r>
      <w:r w:rsidR="007778CC" w:rsidRPr="00EE1A30">
        <w:t>,</w:t>
      </w:r>
      <w:r w:rsidRPr="00EE1A30">
        <w:t xml:space="preserve"> the monitoring that has informed the preparation of the </w:t>
      </w:r>
      <w:r w:rsidR="007778CC" w:rsidRPr="00EE1A30">
        <w:t xml:space="preserve">second </w:t>
      </w:r>
      <w:r w:rsidRPr="00EE1A30">
        <w:t>RBMP</w:t>
      </w:r>
      <w:r w:rsidR="007778CC" w:rsidRPr="00EE1A30">
        <w:t>s</w:t>
      </w:r>
      <w:r w:rsidRPr="00EE1A30">
        <w:t xml:space="preserve">. </w:t>
      </w:r>
      <w:r w:rsidRPr="00EE1A30">
        <w:rPr>
          <w:b/>
        </w:rPr>
        <w:t xml:space="preserve">Reporting is not intended to </w:t>
      </w:r>
      <w:r w:rsidR="007778CC" w:rsidRPr="00EE1A30">
        <w:rPr>
          <w:b/>
        </w:rPr>
        <w:t xml:space="preserve">include information regarding </w:t>
      </w:r>
      <w:r w:rsidRPr="00EE1A30">
        <w:rPr>
          <w:b/>
        </w:rPr>
        <w:t>future monitoring programmes</w:t>
      </w:r>
      <w:r w:rsidR="007778CC" w:rsidRPr="00EE1A30">
        <w:rPr>
          <w:b/>
        </w:rPr>
        <w:t xml:space="preserve"> or planned changes</w:t>
      </w:r>
      <w:r w:rsidRPr="00EE1A30">
        <w:t>.</w:t>
      </w:r>
    </w:p>
    <w:p w14:paraId="58BAD3B6" w14:textId="77777777" w:rsidR="00F85990" w:rsidRPr="00EE1A30" w:rsidRDefault="00F85990" w:rsidP="000840F3">
      <w:pPr>
        <w:pStyle w:val="Text4"/>
        <w:tabs>
          <w:tab w:val="clear" w:pos="2302"/>
        </w:tabs>
        <w:ind w:left="0"/>
        <w:jc w:val="both"/>
      </w:pPr>
      <w:r w:rsidRPr="00EE1A30">
        <w:t xml:space="preserve">The selection of the quality elements </w:t>
      </w:r>
      <w:r w:rsidR="003F1407" w:rsidRPr="00EE1A30">
        <w:t xml:space="preserve">(QEs) </w:t>
      </w:r>
      <w:r w:rsidRPr="00EE1A30">
        <w:t>and parameters to be monitored should enable the detection of all significant pressures on water bodies. This is particularly important where the pressures and impact</w:t>
      </w:r>
      <w:r w:rsidR="007778CC" w:rsidRPr="00EE1A30">
        <w:t>s</w:t>
      </w:r>
      <w:r w:rsidRPr="00EE1A30">
        <w:t xml:space="preserve"> assessment</w:t>
      </w:r>
      <w:r w:rsidR="007778CC" w:rsidRPr="00EE1A30">
        <w:t>s</w:t>
      </w:r>
      <w:r w:rsidRPr="00EE1A30">
        <w:t xml:space="preserve"> may not have been adequate enough to identify all potential pressures and impacts in the RBD</w:t>
      </w:r>
      <w:r w:rsidR="007778CC" w:rsidRPr="00EE1A30">
        <w:t>,</w:t>
      </w:r>
      <w:r w:rsidRPr="00EE1A30">
        <w:t xml:space="preserve"> perhaps because of </w:t>
      </w:r>
      <w:r w:rsidR="007778CC" w:rsidRPr="00EE1A30">
        <w:t xml:space="preserve">the </w:t>
      </w:r>
      <w:r w:rsidRPr="00EE1A30">
        <w:t>lack of information or methods</w:t>
      </w:r>
      <w:r w:rsidR="007778CC" w:rsidRPr="00EE1A30">
        <w:t>,</w:t>
      </w:r>
      <w:r w:rsidRPr="00EE1A30">
        <w:t xml:space="preserve"> or because of unexpected, anthropogenic activities within the RBD.</w:t>
      </w:r>
    </w:p>
    <w:p w14:paraId="1258C4DD" w14:textId="77777777" w:rsidR="00F85990" w:rsidRPr="00EE1A30" w:rsidRDefault="00F85990" w:rsidP="000840F3">
      <w:pPr>
        <w:pStyle w:val="Text4"/>
        <w:tabs>
          <w:tab w:val="clear" w:pos="2302"/>
        </w:tabs>
        <w:ind w:left="0"/>
        <w:jc w:val="both"/>
      </w:pPr>
      <w:r w:rsidRPr="00EE1A30">
        <w:t>The results of surveillance monitoring should ensure that the potential impacts of all pressures on water bodies in the RBD</w:t>
      </w:r>
      <w:r w:rsidR="007778CC" w:rsidRPr="00EE1A30">
        <w:t>s</w:t>
      </w:r>
      <w:r w:rsidRPr="00EE1A30">
        <w:t xml:space="preserve"> are detected. Incomplete coverage of </w:t>
      </w:r>
      <w:r w:rsidR="003F1407" w:rsidRPr="00EE1A30">
        <w:t>QEs</w:t>
      </w:r>
      <w:r w:rsidRPr="00EE1A30">
        <w:t xml:space="preserve"> and water bodies in surveillance monitoring could lead to the non-detection of significant pressures, the incorrect classification of water status</w:t>
      </w:r>
      <w:r w:rsidR="007778CC" w:rsidRPr="00EE1A30">
        <w:t>,</w:t>
      </w:r>
      <w:r w:rsidRPr="00EE1A30">
        <w:t xml:space="preserve"> and inappropriate targeting of measures. Surveillance monitoring must also be able to detect long-term natural changes and those arising from anthropogenic pressures.</w:t>
      </w:r>
    </w:p>
    <w:p w14:paraId="7284FA4B" w14:textId="77777777" w:rsidR="00F85990" w:rsidRPr="00EE1A30" w:rsidRDefault="00F85990" w:rsidP="000840F3">
      <w:pPr>
        <w:pStyle w:val="Text4"/>
        <w:tabs>
          <w:tab w:val="clear" w:pos="2302"/>
        </w:tabs>
        <w:ind w:left="0"/>
        <w:jc w:val="both"/>
      </w:pPr>
      <w:r w:rsidRPr="00EE1A30">
        <w:t>The selection of biological quality elements (BQEs) for operational monitoring should focus on those most sensitive to the identified pressures and impacts on water bodies. The results of operational monitoring are used (</w:t>
      </w:r>
      <w:r w:rsidR="003F1407" w:rsidRPr="00EE1A30">
        <w:t xml:space="preserve">together </w:t>
      </w:r>
      <w:r w:rsidRPr="00EE1A30">
        <w:t xml:space="preserve">with the results of surveillance monitoring) in the classification of </w:t>
      </w:r>
      <w:r w:rsidRPr="00EE1A30">
        <w:lastRenderedPageBreak/>
        <w:t>water bodies and to monitor progress of implemented measures in achieving the objectives of the Directive.</w:t>
      </w:r>
    </w:p>
    <w:p w14:paraId="72830F4C" w14:textId="77777777" w:rsidR="00F85990" w:rsidRPr="00EE1A30" w:rsidRDefault="00F85990" w:rsidP="000840F3">
      <w:pPr>
        <w:pStyle w:val="Text4"/>
        <w:tabs>
          <w:tab w:val="clear" w:pos="2302"/>
        </w:tabs>
        <w:ind w:left="0"/>
        <w:jc w:val="both"/>
      </w:pPr>
      <w:r w:rsidRPr="00EE1A30">
        <w:t xml:space="preserve">The results of monitoring are used in the assessment and classification of the status of water bodies (ecological and chemical for surface waters, chemical and quantitative for groundwater). The amount of monitoring undertaken in terms of </w:t>
      </w:r>
      <w:r w:rsidR="003F1407" w:rsidRPr="00EE1A30">
        <w:t>QEs</w:t>
      </w:r>
      <w:r w:rsidRPr="00EE1A30">
        <w:t xml:space="preserve">, parameters, frequency and numbers of </w:t>
      </w:r>
      <w:r w:rsidR="003F1407" w:rsidRPr="00EE1A30">
        <w:t xml:space="preserve">monitoring </w:t>
      </w:r>
      <w:r w:rsidRPr="00EE1A30">
        <w:t>sites should be sufficient to obtain a reliable and robust assessment of the status of all water bodies in the RBD</w:t>
      </w:r>
      <w:r w:rsidR="003F1407" w:rsidRPr="00EE1A30">
        <w:t>s</w:t>
      </w:r>
      <w:r w:rsidRPr="00EE1A30">
        <w:t>. Insufficient monitoring leads to a low confidence in the classification of water bodies and</w:t>
      </w:r>
      <w:r w:rsidR="003F1407" w:rsidRPr="00EE1A30">
        <w:t>,</w:t>
      </w:r>
      <w:r w:rsidRPr="00EE1A30">
        <w:t xml:space="preserve"> as a result</w:t>
      </w:r>
      <w:r w:rsidR="003F1407" w:rsidRPr="00EE1A30">
        <w:t>,</w:t>
      </w:r>
      <w:r w:rsidRPr="00EE1A30">
        <w:t xml:space="preserve"> the (expensive) measures required to achieve objectives may be incorrectly targeted, and</w:t>
      </w:r>
      <w:r w:rsidR="003F1407" w:rsidRPr="00EE1A30">
        <w:t>/or</w:t>
      </w:r>
      <w:r w:rsidRPr="00EE1A30">
        <w:t xml:space="preserve"> objectives such as</w:t>
      </w:r>
      <w:r w:rsidR="003F1407" w:rsidRPr="00EE1A30">
        <w:t xml:space="preserve"> the</w:t>
      </w:r>
      <w:r w:rsidRPr="00EE1A30">
        <w:t xml:space="preserve"> restoration of water bodies to good status may not be achieved.</w:t>
      </w:r>
    </w:p>
    <w:p w14:paraId="28EEC0C9" w14:textId="77777777" w:rsidR="00F85990" w:rsidRPr="00EE1A30" w:rsidRDefault="00F85990" w:rsidP="000840F3">
      <w:pPr>
        <w:pStyle w:val="Text4"/>
        <w:tabs>
          <w:tab w:val="clear" w:pos="2302"/>
        </w:tabs>
        <w:ind w:left="0"/>
        <w:jc w:val="both"/>
      </w:pPr>
      <w:r w:rsidRPr="00EE1A30">
        <w:t>Directive 2009/90</w:t>
      </w:r>
      <w:r w:rsidR="000B0EC1" w:rsidRPr="00EE1A30">
        <w:t>/EC</w:t>
      </w:r>
      <w:r w:rsidR="003F1407" w:rsidRPr="00EE1A30">
        <w:rPr>
          <w:rStyle w:val="Refdenotaalpie"/>
        </w:rPr>
        <w:footnoteReference w:id="3"/>
      </w:r>
      <w:r w:rsidRPr="00EE1A30">
        <w:t xml:space="preserve"> lays down technical specifications for </w:t>
      </w:r>
      <w:r w:rsidR="003F1407" w:rsidRPr="00EE1A30">
        <w:t xml:space="preserve">the </w:t>
      </w:r>
      <w:r w:rsidRPr="00EE1A30">
        <w:t>chemical analysis and monitoring of water status with the aim of improving the quality and comparability of monitoring results by establishing minimum performance criteria for methods of analysis to be applied by Member States when monitoring water status, sediment and biota, as well as rules for demonstrating the quality of analytical results.</w:t>
      </w:r>
    </w:p>
    <w:p w14:paraId="6A66A154" w14:textId="77777777" w:rsidR="00F85990" w:rsidRPr="00EE1A30" w:rsidRDefault="006F25ED" w:rsidP="0010226A">
      <w:pPr>
        <w:pStyle w:val="Ttulo3"/>
      </w:pPr>
      <w:bookmarkStart w:id="20" w:name="_Toc386464224"/>
      <w:r w:rsidRPr="006F25ED">
        <w:t>How will the European Commission and the EEA use the information reported</w:t>
      </w:r>
      <w:bookmarkEnd w:id="20"/>
      <w:r w:rsidRPr="006F25ED">
        <w:t>?</w:t>
      </w:r>
    </w:p>
    <w:p w14:paraId="7E480A33" w14:textId="77777777" w:rsidR="00F85990" w:rsidRPr="00EE1A30" w:rsidRDefault="000227D0" w:rsidP="000840F3">
      <w:pPr>
        <w:pStyle w:val="Text4"/>
        <w:tabs>
          <w:tab w:val="clear" w:pos="2302"/>
        </w:tabs>
        <w:ind w:left="0"/>
        <w:jc w:val="both"/>
      </w:pPr>
      <w:r w:rsidRPr="00EE1A30">
        <w:t xml:space="preserve">The </w:t>
      </w:r>
      <w:r w:rsidR="003F1407" w:rsidRPr="00EE1A30">
        <w:t xml:space="preserve">European </w:t>
      </w:r>
      <w:r w:rsidRPr="00EE1A30">
        <w:t>Commission will check comparability of the monitoring programmes between Member States</w:t>
      </w:r>
      <w:r w:rsidR="003F1407" w:rsidRPr="00EE1A30">
        <w:t>,</w:t>
      </w:r>
      <w:r w:rsidRPr="00EE1A30">
        <w:t xml:space="preserve"> and consistency with the requirements of Annex V </w:t>
      </w:r>
      <w:r w:rsidR="003F1407" w:rsidRPr="00EE1A30">
        <w:t xml:space="preserve">of the </w:t>
      </w:r>
      <w:r w:rsidRPr="00EE1A30">
        <w:t xml:space="preserve">WFD and the outcome of the Article 5 analysis. Moreover, the </w:t>
      </w:r>
      <w:r w:rsidR="003F1407" w:rsidRPr="00EE1A30">
        <w:t xml:space="preserve">European </w:t>
      </w:r>
      <w:r w:rsidRPr="00EE1A30">
        <w:t xml:space="preserve">Commission will use this information to inform the European Parliament and the public about </w:t>
      </w:r>
      <w:r w:rsidR="0019215B" w:rsidRPr="00EE1A30">
        <w:t xml:space="preserve">progress in </w:t>
      </w:r>
      <w:r w:rsidRPr="00EE1A30">
        <w:t xml:space="preserve">the </w:t>
      </w:r>
      <w:r w:rsidR="0019215B" w:rsidRPr="00EE1A30">
        <w:t xml:space="preserve">Member States in the </w:t>
      </w:r>
      <w:r w:rsidRPr="00EE1A30">
        <w:t xml:space="preserve">implementation </w:t>
      </w:r>
      <w:r w:rsidR="0019215B" w:rsidRPr="00EE1A30">
        <w:t>of the WFD</w:t>
      </w:r>
      <w:r w:rsidRPr="00EE1A30">
        <w:t xml:space="preserve">. Finally, some of the base data are necessary to update a reference dataset with which monitoring results can be related and exchanged between the Member States and the European </w:t>
      </w:r>
      <w:r w:rsidR="0019215B" w:rsidRPr="00EE1A30">
        <w:t>institutions</w:t>
      </w:r>
      <w:r w:rsidRPr="00EE1A30">
        <w:t xml:space="preserve"> more easily at a later stage.</w:t>
      </w:r>
    </w:p>
    <w:p w14:paraId="2CBC3BF1" w14:textId="77777777" w:rsidR="00F81686" w:rsidRPr="00EE1A30" w:rsidRDefault="0019215B" w:rsidP="000840F3">
      <w:pPr>
        <w:pStyle w:val="Text4"/>
        <w:tabs>
          <w:tab w:val="clear" w:pos="2302"/>
        </w:tabs>
        <w:ind w:left="0"/>
        <w:jc w:val="both"/>
      </w:pPr>
      <w:r w:rsidRPr="00EE1A30">
        <w:t>Data</w:t>
      </w:r>
      <w:r w:rsidR="009551E9" w:rsidRPr="00EE1A30">
        <w:t xml:space="preserve"> on water quality</w:t>
      </w:r>
      <w:r w:rsidR="00291A42" w:rsidRPr="00EE1A30">
        <w:t>,</w:t>
      </w:r>
      <w:r w:rsidR="009551E9" w:rsidRPr="00EE1A30">
        <w:t xml:space="preserve"> including </w:t>
      </w:r>
      <w:r w:rsidR="00291A42" w:rsidRPr="00EE1A30">
        <w:t xml:space="preserve">from monitoring </w:t>
      </w:r>
      <w:r w:rsidRPr="00EE1A30">
        <w:t>BQEs</w:t>
      </w:r>
      <w:r w:rsidR="00291A42" w:rsidRPr="00EE1A30">
        <w:t xml:space="preserve"> and </w:t>
      </w:r>
      <w:r w:rsidRPr="00EE1A30">
        <w:t>P</w:t>
      </w:r>
      <w:r w:rsidR="009551E9" w:rsidRPr="00EE1A30">
        <w:t xml:space="preserve">riority </w:t>
      </w:r>
      <w:r w:rsidRPr="00EE1A30">
        <w:t>S</w:t>
      </w:r>
      <w:r w:rsidR="009551E9" w:rsidRPr="00EE1A30">
        <w:t>ubstances</w:t>
      </w:r>
      <w:r w:rsidR="00291A42" w:rsidRPr="00EE1A30">
        <w:t>,</w:t>
      </w:r>
      <w:r w:rsidR="009551E9" w:rsidRPr="00EE1A30">
        <w:t xml:space="preserve"> </w:t>
      </w:r>
      <w:r w:rsidR="003B5D94" w:rsidRPr="00EE1A30">
        <w:t xml:space="preserve">will be used by </w:t>
      </w:r>
      <w:r w:rsidR="009551E9" w:rsidRPr="00EE1A30">
        <w:t xml:space="preserve">the EEA </w:t>
      </w:r>
      <w:r w:rsidRPr="00EE1A30">
        <w:t xml:space="preserve">in producing </w:t>
      </w:r>
      <w:r w:rsidR="009551E9" w:rsidRPr="00EE1A30">
        <w:t>trend assessment</w:t>
      </w:r>
      <w:r w:rsidRPr="00EE1A30">
        <w:t>s</w:t>
      </w:r>
      <w:r w:rsidR="009551E9" w:rsidRPr="00EE1A30">
        <w:t xml:space="preserve"> and overview</w:t>
      </w:r>
      <w:r w:rsidRPr="00EE1A30">
        <w:t>s</w:t>
      </w:r>
      <w:r w:rsidR="009551E9" w:rsidRPr="00EE1A30">
        <w:t xml:space="preserve"> of the status of</w:t>
      </w:r>
      <w:r w:rsidR="00BC1DD6" w:rsidRPr="00EE1A30">
        <w:t>,</w:t>
      </w:r>
      <w:r w:rsidR="009551E9" w:rsidRPr="00EE1A30">
        <w:t xml:space="preserve"> and pressures affecting</w:t>
      </w:r>
      <w:r w:rsidR="00BC1DD6" w:rsidRPr="00EE1A30">
        <w:t>,</w:t>
      </w:r>
      <w:r w:rsidR="009551E9" w:rsidRPr="00EE1A30">
        <w:t xml:space="preserve"> </w:t>
      </w:r>
      <w:r w:rsidR="00BC1DD6" w:rsidRPr="00EE1A30">
        <w:t xml:space="preserve">Europe’s </w:t>
      </w:r>
      <w:r w:rsidR="009551E9" w:rsidRPr="00EE1A30">
        <w:t xml:space="preserve">surface waters and groundwater. </w:t>
      </w:r>
      <w:r w:rsidRPr="00EE1A30">
        <w:t xml:space="preserve">The </w:t>
      </w:r>
      <w:r w:rsidR="009551E9" w:rsidRPr="00EE1A30">
        <w:t xml:space="preserve">assessment of </w:t>
      </w:r>
      <w:r w:rsidRPr="00EE1A30">
        <w:t xml:space="preserve">information reported in </w:t>
      </w:r>
      <w:r w:rsidR="009551E9" w:rsidRPr="00EE1A30">
        <w:t>the second RB</w:t>
      </w:r>
      <w:r w:rsidR="00B1766E" w:rsidRPr="00EE1A30">
        <w:t>MP</w:t>
      </w:r>
      <w:r w:rsidR="009551E9" w:rsidRPr="00EE1A30">
        <w:t xml:space="preserve">s </w:t>
      </w:r>
      <w:r w:rsidRPr="00EE1A30">
        <w:t xml:space="preserve">will </w:t>
      </w:r>
      <w:r w:rsidR="009551E9" w:rsidRPr="00EE1A30">
        <w:t>focus on illustrating improvement in status</w:t>
      </w:r>
      <w:r w:rsidR="003C0F8F" w:rsidRPr="00EE1A30">
        <w:t>,</w:t>
      </w:r>
      <w:r w:rsidR="009551E9" w:rsidRPr="00EE1A30">
        <w:t xml:space="preserve"> and progress </w:t>
      </w:r>
      <w:r w:rsidRPr="00EE1A30">
        <w:t xml:space="preserve">made </w:t>
      </w:r>
      <w:r w:rsidR="009551E9" w:rsidRPr="00EE1A30">
        <w:t>in reducing pressures.</w:t>
      </w:r>
    </w:p>
    <w:p w14:paraId="4C54584E" w14:textId="77777777" w:rsidR="009551E9" w:rsidRPr="00EE1A30" w:rsidRDefault="003C0F8F" w:rsidP="000840F3">
      <w:pPr>
        <w:pStyle w:val="Text4"/>
        <w:tabs>
          <w:tab w:val="clear" w:pos="2302"/>
        </w:tabs>
        <w:ind w:left="0"/>
        <w:jc w:val="both"/>
      </w:pPr>
      <w:r w:rsidRPr="00EE1A30">
        <w:t xml:space="preserve">The </w:t>
      </w:r>
      <w:r w:rsidR="009551E9" w:rsidRPr="00EE1A30">
        <w:t xml:space="preserve">wealth of information already reported by EEA </w:t>
      </w:r>
      <w:r w:rsidR="00993CFA" w:rsidRPr="00EE1A30">
        <w:t>M</w:t>
      </w:r>
      <w:r w:rsidR="009551E9" w:rsidRPr="00EE1A30">
        <w:t xml:space="preserve">ember </w:t>
      </w:r>
      <w:r w:rsidR="00993CFA" w:rsidRPr="00EE1A30">
        <w:t>C</w:t>
      </w:r>
      <w:r w:rsidR="009551E9" w:rsidRPr="00EE1A30">
        <w:t xml:space="preserve">ountries </w:t>
      </w:r>
      <w:r w:rsidR="00993CFA" w:rsidRPr="00EE1A30">
        <w:t>(</w:t>
      </w:r>
      <w:r w:rsidR="009551E9" w:rsidRPr="00EE1A30">
        <w:t>including EU Member States</w:t>
      </w:r>
      <w:r w:rsidR="00993CFA" w:rsidRPr="00EE1A30">
        <w:t>)</w:t>
      </w:r>
      <w:r w:rsidRPr="00EE1A30">
        <w:t xml:space="preserve"> </w:t>
      </w:r>
      <w:r w:rsidR="00D6344C" w:rsidRPr="00EE1A30">
        <w:t xml:space="preserve">on water quality and BQEs </w:t>
      </w:r>
      <w:r w:rsidRPr="00EE1A30">
        <w:t xml:space="preserve">via the EIONET </w:t>
      </w:r>
      <w:r w:rsidR="00D6344C" w:rsidRPr="00EE1A30">
        <w:t xml:space="preserve">water </w:t>
      </w:r>
      <w:r w:rsidRPr="00EE1A30">
        <w:t xml:space="preserve">priority data flows (WISE-SoE) </w:t>
      </w:r>
      <w:r w:rsidR="009551E9" w:rsidRPr="00EE1A30">
        <w:t>can be</w:t>
      </w:r>
      <w:r w:rsidRPr="00EE1A30">
        <w:t xml:space="preserve"> most effectively</w:t>
      </w:r>
      <w:r w:rsidR="009551E9" w:rsidRPr="00EE1A30">
        <w:t xml:space="preserve"> interpreted when streamlined with the WFD reporting. In the context of the implementation of the SEIS principles</w:t>
      </w:r>
      <w:r w:rsidR="009551E9" w:rsidRPr="00EE1A30">
        <w:rPr>
          <w:rStyle w:val="Refdenotaalpie"/>
        </w:rPr>
        <w:footnoteReference w:id="4"/>
      </w:r>
      <w:r w:rsidR="003B5D94" w:rsidRPr="00EE1A30">
        <w:t xml:space="preserve">, </w:t>
      </w:r>
      <w:r w:rsidR="00D6344C" w:rsidRPr="00EE1A30">
        <w:t xml:space="preserve">monitoring </w:t>
      </w:r>
      <w:r w:rsidR="009551E9" w:rsidRPr="00EE1A30">
        <w:t xml:space="preserve">results from the EIONET water monitoring </w:t>
      </w:r>
      <w:r w:rsidR="002F2826" w:rsidRPr="00EE1A30">
        <w:t>sites</w:t>
      </w:r>
      <w:r w:rsidR="009551E9" w:rsidRPr="00EE1A30">
        <w:t xml:space="preserve"> which are</w:t>
      </w:r>
      <w:r w:rsidR="00D6344C" w:rsidRPr="00EE1A30">
        <w:t xml:space="preserve"> also,</w:t>
      </w:r>
      <w:r w:rsidR="009551E9" w:rsidRPr="00EE1A30">
        <w:t xml:space="preserve"> in the ma</w:t>
      </w:r>
      <w:r w:rsidR="00D6344C" w:rsidRPr="00EE1A30">
        <w:t xml:space="preserve">in, </w:t>
      </w:r>
      <w:r w:rsidR="009551E9" w:rsidRPr="00EE1A30">
        <w:t xml:space="preserve">WFD </w:t>
      </w:r>
      <w:r w:rsidR="003B5D94" w:rsidRPr="00EE1A30">
        <w:t xml:space="preserve">surveillance </w:t>
      </w:r>
      <w:r w:rsidR="009551E9" w:rsidRPr="00EE1A30">
        <w:t xml:space="preserve">monitoring </w:t>
      </w:r>
      <w:r w:rsidR="002F2826" w:rsidRPr="00EE1A30">
        <w:t>sites</w:t>
      </w:r>
      <w:r w:rsidR="0049545A">
        <w:t>,</w:t>
      </w:r>
      <w:r w:rsidR="009551E9" w:rsidRPr="00EE1A30">
        <w:t xml:space="preserve"> can be used in the mutual </w:t>
      </w:r>
      <w:r w:rsidR="00291A42" w:rsidRPr="00EE1A30">
        <w:t xml:space="preserve">exchange of </w:t>
      </w:r>
      <w:r w:rsidR="009551E9" w:rsidRPr="00EE1A30">
        <w:t xml:space="preserve">information between the SoE and WFD assessments and </w:t>
      </w:r>
      <w:r w:rsidR="00D6344C" w:rsidRPr="00EE1A30">
        <w:t>provide a</w:t>
      </w:r>
      <w:r w:rsidR="009551E9" w:rsidRPr="00EE1A30">
        <w:t xml:space="preserve"> common basis for </w:t>
      </w:r>
      <w:r w:rsidR="00D6344C" w:rsidRPr="00EE1A30">
        <w:t xml:space="preserve">the </w:t>
      </w:r>
      <w:r w:rsidR="009551E9" w:rsidRPr="00EE1A30">
        <w:t>assessment of status and pressures.</w:t>
      </w:r>
      <w:r w:rsidR="003B5D94" w:rsidRPr="00EE1A30">
        <w:t xml:space="preserve"> The SoE assessments would be further enhanced with monitoring results from WFD operational monitoring </w:t>
      </w:r>
      <w:r w:rsidR="002F2826" w:rsidRPr="00EE1A30">
        <w:t>sites</w:t>
      </w:r>
      <w:r w:rsidR="003B5D94" w:rsidRPr="00EE1A30">
        <w:t>.</w:t>
      </w:r>
    </w:p>
    <w:p w14:paraId="5ACC7450" w14:textId="77777777" w:rsidR="006A6FF8" w:rsidRPr="00EE1A30" w:rsidRDefault="006A6FF8" w:rsidP="000840F3">
      <w:pPr>
        <w:pStyle w:val="Text4"/>
        <w:tabs>
          <w:tab w:val="clear" w:pos="2302"/>
        </w:tabs>
        <w:ind w:left="0"/>
        <w:jc w:val="both"/>
      </w:pPr>
      <w:r w:rsidRPr="00EE1A30">
        <w:t>Statistics and information will be provided to the European Parliament at EU level. Information will be provided to the public through WISE.</w:t>
      </w:r>
    </w:p>
    <w:p w14:paraId="709701F1" w14:textId="77777777" w:rsidR="000227D0" w:rsidRPr="00EE1A30" w:rsidRDefault="006F25ED" w:rsidP="000840F3">
      <w:pPr>
        <w:pStyle w:val="Ttulo2"/>
        <w:jc w:val="both"/>
      </w:pPr>
      <w:bookmarkStart w:id="21" w:name="_Toc386464225"/>
      <w:bookmarkStart w:id="22" w:name="_Toc425522052"/>
      <w:bookmarkStart w:id="23" w:name="_Toc430961560"/>
      <w:bookmarkStart w:id="24" w:name="_Toc433807985"/>
      <w:r w:rsidRPr="006F25ED">
        <w:lastRenderedPageBreak/>
        <w:t>Products from reporting</w:t>
      </w:r>
      <w:bookmarkEnd w:id="21"/>
      <w:bookmarkEnd w:id="22"/>
      <w:bookmarkEnd w:id="23"/>
      <w:bookmarkEnd w:id="24"/>
    </w:p>
    <w:tbl>
      <w:tblPr>
        <w:tblW w:w="8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257"/>
        <w:gridCol w:w="708"/>
        <w:gridCol w:w="747"/>
        <w:gridCol w:w="2372"/>
        <w:gridCol w:w="2268"/>
        <w:gridCol w:w="1115"/>
      </w:tblGrid>
      <w:tr w:rsidR="006C7078" w:rsidRPr="00EE1A30" w14:paraId="0E831BAF" w14:textId="77777777" w:rsidTr="00A1031A">
        <w:trPr>
          <w:cantSplit/>
          <w:trHeight w:val="8"/>
        </w:trPr>
        <w:tc>
          <w:tcPr>
            <w:tcW w:w="445" w:type="dxa"/>
            <w:shd w:val="clear" w:color="auto" w:fill="auto"/>
          </w:tcPr>
          <w:p w14:paraId="6C32756E" w14:textId="77777777" w:rsidR="006C7078" w:rsidRPr="00EE1A30" w:rsidRDefault="006C7078" w:rsidP="000840F3">
            <w:pPr>
              <w:spacing w:after="0"/>
              <w:jc w:val="both"/>
              <w:rPr>
                <w:b/>
                <w:sz w:val="18"/>
                <w:szCs w:val="18"/>
              </w:rPr>
            </w:pPr>
            <w:r w:rsidRPr="00EE1A30">
              <w:rPr>
                <w:b/>
                <w:sz w:val="18"/>
                <w:szCs w:val="18"/>
              </w:rPr>
              <w:t>Nb</w:t>
            </w:r>
          </w:p>
        </w:tc>
        <w:tc>
          <w:tcPr>
            <w:tcW w:w="1257" w:type="dxa"/>
          </w:tcPr>
          <w:p w14:paraId="66CFF8F7" w14:textId="77777777" w:rsidR="006C7078" w:rsidRDefault="006C7078" w:rsidP="000840F3">
            <w:pPr>
              <w:spacing w:after="0"/>
              <w:jc w:val="both"/>
              <w:rPr>
                <w:b/>
                <w:sz w:val="18"/>
                <w:szCs w:val="18"/>
              </w:rPr>
            </w:pPr>
            <w:r>
              <w:rPr>
                <w:b/>
                <w:sz w:val="18"/>
                <w:szCs w:val="18"/>
              </w:rPr>
              <w:t>Name of product</w:t>
            </w:r>
          </w:p>
        </w:tc>
        <w:tc>
          <w:tcPr>
            <w:tcW w:w="708" w:type="dxa"/>
            <w:shd w:val="clear" w:color="auto" w:fill="auto"/>
          </w:tcPr>
          <w:p w14:paraId="538F0D3F" w14:textId="77777777" w:rsidR="006C7078" w:rsidRPr="00EE1A30" w:rsidRDefault="006C7078" w:rsidP="000840F3">
            <w:pPr>
              <w:spacing w:after="0"/>
              <w:jc w:val="both"/>
              <w:rPr>
                <w:b/>
                <w:sz w:val="18"/>
                <w:szCs w:val="18"/>
              </w:rPr>
            </w:pPr>
            <w:r>
              <w:rPr>
                <w:b/>
                <w:sz w:val="18"/>
                <w:szCs w:val="18"/>
              </w:rPr>
              <w:t>Type of pro</w:t>
            </w:r>
            <w:r w:rsidR="00180330">
              <w:rPr>
                <w:b/>
                <w:sz w:val="18"/>
                <w:szCs w:val="18"/>
              </w:rPr>
              <w:t>-</w:t>
            </w:r>
            <w:r>
              <w:rPr>
                <w:b/>
                <w:sz w:val="18"/>
                <w:szCs w:val="18"/>
              </w:rPr>
              <w:t>duc</w:t>
            </w:r>
            <w:r w:rsidRPr="00EE1A30">
              <w:rPr>
                <w:b/>
                <w:sz w:val="18"/>
                <w:szCs w:val="18"/>
              </w:rPr>
              <w:t>t</w:t>
            </w:r>
          </w:p>
        </w:tc>
        <w:tc>
          <w:tcPr>
            <w:tcW w:w="747" w:type="dxa"/>
            <w:shd w:val="clear" w:color="auto" w:fill="auto"/>
          </w:tcPr>
          <w:p w14:paraId="31FC0AD8" w14:textId="77777777" w:rsidR="006C7078" w:rsidRPr="00EE1A30" w:rsidRDefault="006C7078" w:rsidP="000840F3">
            <w:pPr>
              <w:spacing w:after="0"/>
              <w:jc w:val="both"/>
              <w:rPr>
                <w:b/>
                <w:sz w:val="18"/>
                <w:szCs w:val="18"/>
              </w:rPr>
            </w:pPr>
            <w:r w:rsidRPr="00EE1A30">
              <w:rPr>
                <w:b/>
                <w:sz w:val="18"/>
                <w:szCs w:val="18"/>
              </w:rPr>
              <w:t>Scale of infor</w:t>
            </w:r>
            <w:r w:rsidR="00F95D95">
              <w:rPr>
                <w:b/>
                <w:sz w:val="18"/>
                <w:szCs w:val="18"/>
              </w:rPr>
              <w:t>-</w:t>
            </w:r>
            <w:r w:rsidR="00180330">
              <w:rPr>
                <w:b/>
                <w:sz w:val="18"/>
                <w:szCs w:val="18"/>
              </w:rPr>
              <w:t>ma</w:t>
            </w:r>
            <w:r w:rsidR="00F95D95">
              <w:rPr>
                <w:b/>
                <w:sz w:val="18"/>
                <w:szCs w:val="18"/>
              </w:rPr>
              <w:t>-</w:t>
            </w:r>
            <w:r w:rsidR="00180330">
              <w:rPr>
                <w:b/>
                <w:sz w:val="18"/>
                <w:szCs w:val="18"/>
              </w:rPr>
              <w:t>tio</w:t>
            </w:r>
            <w:r w:rsidRPr="00EE1A30">
              <w:rPr>
                <w:b/>
                <w:sz w:val="18"/>
                <w:szCs w:val="18"/>
              </w:rPr>
              <w:t>n*</w:t>
            </w:r>
          </w:p>
        </w:tc>
        <w:tc>
          <w:tcPr>
            <w:tcW w:w="2372" w:type="dxa"/>
            <w:shd w:val="clear" w:color="auto" w:fill="auto"/>
          </w:tcPr>
          <w:p w14:paraId="2D38DBF5" w14:textId="77777777" w:rsidR="006C7078" w:rsidRPr="00EE1A30" w:rsidRDefault="006C7078" w:rsidP="000840F3">
            <w:pPr>
              <w:spacing w:after="0"/>
              <w:jc w:val="both"/>
              <w:rPr>
                <w:b/>
                <w:sz w:val="18"/>
                <w:szCs w:val="18"/>
              </w:rPr>
            </w:pPr>
            <w:r w:rsidRPr="00EE1A30">
              <w:rPr>
                <w:b/>
                <w:sz w:val="18"/>
                <w:szCs w:val="18"/>
              </w:rPr>
              <w:t>Detailed information displayed</w:t>
            </w:r>
          </w:p>
        </w:tc>
        <w:tc>
          <w:tcPr>
            <w:tcW w:w="2268" w:type="dxa"/>
            <w:shd w:val="clear" w:color="auto" w:fill="auto"/>
          </w:tcPr>
          <w:p w14:paraId="795B1786" w14:textId="77777777" w:rsidR="006C7078" w:rsidRPr="00EE1A30" w:rsidRDefault="006C7078" w:rsidP="000840F3">
            <w:pPr>
              <w:spacing w:after="0"/>
              <w:jc w:val="both"/>
              <w:rPr>
                <w:b/>
                <w:sz w:val="18"/>
                <w:szCs w:val="18"/>
              </w:rPr>
            </w:pPr>
            <w:r w:rsidRPr="00EE1A30">
              <w:rPr>
                <w:b/>
                <w:sz w:val="18"/>
                <w:szCs w:val="18"/>
              </w:rPr>
              <w:t>Source of detailed information and aggregation rule</w:t>
            </w:r>
          </w:p>
        </w:tc>
        <w:tc>
          <w:tcPr>
            <w:tcW w:w="1115" w:type="dxa"/>
            <w:shd w:val="clear" w:color="auto" w:fill="auto"/>
          </w:tcPr>
          <w:p w14:paraId="36A2617F" w14:textId="77777777" w:rsidR="006C7078" w:rsidRPr="00A1031A" w:rsidRDefault="006C7078" w:rsidP="000840F3">
            <w:pPr>
              <w:spacing w:after="0"/>
              <w:jc w:val="both"/>
              <w:rPr>
                <w:b/>
                <w:sz w:val="18"/>
                <w:szCs w:val="18"/>
              </w:rPr>
            </w:pPr>
            <w:r w:rsidRPr="00A1031A">
              <w:rPr>
                <w:b/>
                <w:sz w:val="18"/>
                <w:szCs w:val="18"/>
              </w:rPr>
              <w:t>Used in 2012 reports?*</w:t>
            </w:r>
          </w:p>
        </w:tc>
      </w:tr>
      <w:tr w:rsidR="006C7078" w:rsidRPr="00EE1A30" w14:paraId="0B96B08D" w14:textId="77777777" w:rsidTr="00A1031A">
        <w:trPr>
          <w:cantSplit/>
          <w:trHeight w:val="8"/>
        </w:trPr>
        <w:tc>
          <w:tcPr>
            <w:tcW w:w="445" w:type="dxa"/>
            <w:shd w:val="clear" w:color="auto" w:fill="auto"/>
          </w:tcPr>
          <w:p w14:paraId="56C9B42E" w14:textId="77777777" w:rsidR="006C7078" w:rsidRPr="00EE1A30" w:rsidRDefault="006C7078" w:rsidP="000840F3">
            <w:pPr>
              <w:spacing w:after="0"/>
              <w:jc w:val="both"/>
              <w:rPr>
                <w:sz w:val="18"/>
                <w:szCs w:val="18"/>
              </w:rPr>
            </w:pPr>
            <w:r>
              <w:rPr>
                <w:sz w:val="18"/>
                <w:szCs w:val="18"/>
              </w:rPr>
              <w:t>1</w:t>
            </w:r>
          </w:p>
        </w:tc>
        <w:tc>
          <w:tcPr>
            <w:tcW w:w="1257" w:type="dxa"/>
          </w:tcPr>
          <w:p w14:paraId="13123DFA" w14:textId="77777777" w:rsidR="006C7078" w:rsidRPr="00EE1A30" w:rsidRDefault="006C7078" w:rsidP="000840F3">
            <w:pPr>
              <w:spacing w:after="0"/>
              <w:jc w:val="both"/>
              <w:rPr>
                <w:sz w:val="18"/>
                <w:szCs w:val="18"/>
              </w:rPr>
            </w:pPr>
            <w:r w:rsidRPr="006C7078">
              <w:rPr>
                <w:sz w:val="18"/>
                <w:szCs w:val="18"/>
              </w:rPr>
              <w:t>Surface water monitoring sites</w:t>
            </w:r>
          </w:p>
        </w:tc>
        <w:tc>
          <w:tcPr>
            <w:tcW w:w="708" w:type="dxa"/>
            <w:shd w:val="clear" w:color="auto" w:fill="auto"/>
          </w:tcPr>
          <w:p w14:paraId="3DE05D90" w14:textId="77777777" w:rsidR="006C7078" w:rsidRDefault="006C7078" w:rsidP="000840F3">
            <w:pPr>
              <w:spacing w:after="0"/>
              <w:jc w:val="both"/>
              <w:rPr>
                <w:sz w:val="18"/>
                <w:szCs w:val="18"/>
              </w:rPr>
            </w:pPr>
            <w:r w:rsidRPr="00EE1A30">
              <w:rPr>
                <w:sz w:val="18"/>
                <w:szCs w:val="18"/>
              </w:rPr>
              <w:t>Map</w:t>
            </w:r>
          </w:p>
        </w:tc>
        <w:tc>
          <w:tcPr>
            <w:tcW w:w="747" w:type="dxa"/>
            <w:shd w:val="clear" w:color="auto" w:fill="auto"/>
          </w:tcPr>
          <w:p w14:paraId="63722A90" w14:textId="77777777" w:rsidR="006C7078" w:rsidRDefault="006C7078" w:rsidP="000840F3">
            <w:pPr>
              <w:spacing w:after="0"/>
              <w:jc w:val="both"/>
              <w:rPr>
                <w:sz w:val="18"/>
                <w:szCs w:val="18"/>
              </w:rPr>
            </w:pPr>
            <w:r w:rsidRPr="00EE1A30">
              <w:rPr>
                <w:sz w:val="18"/>
                <w:szCs w:val="18"/>
              </w:rPr>
              <w:t>Site</w:t>
            </w:r>
          </w:p>
        </w:tc>
        <w:tc>
          <w:tcPr>
            <w:tcW w:w="2372" w:type="dxa"/>
            <w:shd w:val="clear" w:color="auto" w:fill="auto"/>
          </w:tcPr>
          <w:p w14:paraId="2DD7BA91" w14:textId="77777777" w:rsidR="006C7078" w:rsidRDefault="006C7078" w:rsidP="000840F3">
            <w:pPr>
              <w:spacing w:after="0"/>
              <w:jc w:val="both"/>
              <w:rPr>
                <w:sz w:val="18"/>
                <w:szCs w:val="18"/>
              </w:rPr>
            </w:pPr>
            <w:r w:rsidRPr="00EE1A30">
              <w:rPr>
                <w:sz w:val="18"/>
                <w:szCs w:val="18"/>
              </w:rPr>
              <w:t>Map of surface water monitoring sites by Category.</w:t>
            </w:r>
          </w:p>
        </w:tc>
        <w:tc>
          <w:tcPr>
            <w:tcW w:w="2268" w:type="dxa"/>
            <w:shd w:val="clear" w:color="auto" w:fill="auto"/>
          </w:tcPr>
          <w:p w14:paraId="481D27DD" w14:textId="77777777" w:rsidR="006C7078" w:rsidRDefault="006C7078" w:rsidP="000840F3">
            <w:pPr>
              <w:spacing w:after="0"/>
              <w:jc w:val="both"/>
              <w:rPr>
                <w:sz w:val="18"/>
                <w:szCs w:val="18"/>
              </w:rPr>
            </w:pPr>
            <w:r w:rsidRPr="00EE1A30">
              <w:rPr>
                <w:sz w:val="18"/>
                <w:szCs w:val="18"/>
              </w:rPr>
              <w:t>Geographical location of monitoring sites as reported.</w:t>
            </w:r>
          </w:p>
        </w:tc>
        <w:tc>
          <w:tcPr>
            <w:tcW w:w="1115" w:type="dxa"/>
            <w:shd w:val="clear" w:color="auto" w:fill="auto"/>
          </w:tcPr>
          <w:p w14:paraId="218F254D" w14:textId="77777777" w:rsidR="006C7078" w:rsidRDefault="006C7078" w:rsidP="000840F3">
            <w:pPr>
              <w:spacing w:after="0"/>
              <w:jc w:val="both"/>
              <w:rPr>
                <w:sz w:val="18"/>
                <w:szCs w:val="18"/>
              </w:rPr>
            </w:pPr>
            <w:r>
              <w:rPr>
                <w:sz w:val="18"/>
                <w:szCs w:val="18"/>
              </w:rPr>
              <w:t>Yes</w:t>
            </w:r>
          </w:p>
        </w:tc>
      </w:tr>
      <w:tr w:rsidR="006C7078" w:rsidRPr="00EE1A30" w14:paraId="18CA71E7" w14:textId="77777777" w:rsidTr="00A1031A">
        <w:trPr>
          <w:cantSplit/>
          <w:trHeight w:val="8"/>
        </w:trPr>
        <w:tc>
          <w:tcPr>
            <w:tcW w:w="445" w:type="dxa"/>
            <w:shd w:val="clear" w:color="auto" w:fill="auto"/>
          </w:tcPr>
          <w:p w14:paraId="2EFFBFD4" w14:textId="77777777" w:rsidR="006C7078" w:rsidRDefault="006C7078" w:rsidP="000840F3">
            <w:pPr>
              <w:spacing w:after="0"/>
              <w:jc w:val="both"/>
              <w:rPr>
                <w:sz w:val="18"/>
                <w:szCs w:val="18"/>
              </w:rPr>
            </w:pPr>
            <w:r>
              <w:rPr>
                <w:sz w:val="18"/>
                <w:szCs w:val="18"/>
              </w:rPr>
              <w:t>2</w:t>
            </w:r>
          </w:p>
        </w:tc>
        <w:tc>
          <w:tcPr>
            <w:tcW w:w="1257" w:type="dxa"/>
          </w:tcPr>
          <w:p w14:paraId="246F011B" w14:textId="77777777" w:rsidR="006C7078" w:rsidRPr="00EE1A30" w:rsidRDefault="006C7078" w:rsidP="000840F3">
            <w:pPr>
              <w:spacing w:after="0"/>
              <w:jc w:val="both"/>
              <w:rPr>
                <w:sz w:val="18"/>
                <w:szCs w:val="18"/>
              </w:rPr>
            </w:pPr>
            <w:r>
              <w:rPr>
                <w:sz w:val="18"/>
                <w:szCs w:val="18"/>
              </w:rPr>
              <w:t>N</w:t>
            </w:r>
            <w:r w:rsidRPr="006C7078">
              <w:rPr>
                <w:sz w:val="18"/>
                <w:szCs w:val="18"/>
              </w:rPr>
              <w:t>umber of surveillance, operational and total monitoring sites by water category</w:t>
            </w:r>
          </w:p>
        </w:tc>
        <w:tc>
          <w:tcPr>
            <w:tcW w:w="708" w:type="dxa"/>
            <w:shd w:val="clear" w:color="auto" w:fill="auto"/>
          </w:tcPr>
          <w:p w14:paraId="518A4186" w14:textId="77777777" w:rsidR="006C7078" w:rsidRDefault="006C7078" w:rsidP="000840F3">
            <w:pPr>
              <w:spacing w:after="0"/>
              <w:jc w:val="both"/>
              <w:rPr>
                <w:sz w:val="18"/>
                <w:szCs w:val="18"/>
              </w:rPr>
            </w:pPr>
            <w:r w:rsidRPr="00EE1A30">
              <w:rPr>
                <w:sz w:val="18"/>
                <w:szCs w:val="18"/>
              </w:rPr>
              <w:t>Table</w:t>
            </w:r>
          </w:p>
        </w:tc>
        <w:tc>
          <w:tcPr>
            <w:tcW w:w="747" w:type="dxa"/>
            <w:shd w:val="clear" w:color="auto" w:fill="auto"/>
          </w:tcPr>
          <w:p w14:paraId="40008DEB"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0513AD9" w14:textId="77777777" w:rsidR="006C7078" w:rsidRDefault="006C7078" w:rsidP="000840F3">
            <w:pPr>
              <w:spacing w:after="0"/>
              <w:jc w:val="both"/>
              <w:rPr>
                <w:sz w:val="18"/>
                <w:szCs w:val="18"/>
              </w:rPr>
            </w:pPr>
            <w:r w:rsidRPr="00EE1A30">
              <w:rPr>
                <w:sz w:val="18"/>
                <w:szCs w:val="18"/>
              </w:rPr>
              <w:t>Number of surveillance, operational and total monitoring sites per surface water Category.</w:t>
            </w:r>
          </w:p>
          <w:p w14:paraId="774B85CC" w14:textId="77777777" w:rsidR="006C7078" w:rsidRPr="00EE1A30" w:rsidRDefault="006C7078" w:rsidP="000840F3">
            <w:pPr>
              <w:spacing w:after="0"/>
              <w:jc w:val="both"/>
              <w:rPr>
                <w:sz w:val="18"/>
                <w:szCs w:val="18"/>
              </w:rPr>
            </w:pPr>
            <w:r w:rsidRPr="00EE1A30">
              <w:rPr>
                <w:sz w:val="18"/>
                <w:szCs w:val="18"/>
              </w:rPr>
              <w:t>Number of surveillance, operational and quantitative monitoring sites for groundwater.</w:t>
            </w:r>
          </w:p>
        </w:tc>
        <w:tc>
          <w:tcPr>
            <w:tcW w:w="2268" w:type="dxa"/>
            <w:shd w:val="clear" w:color="auto" w:fill="auto"/>
          </w:tcPr>
          <w:p w14:paraId="2758E3C3" w14:textId="77777777" w:rsidR="006C7078" w:rsidRDefault="006C7078" w:rsidP="000840F3">
            <w:pPr>
              <w:spacing w:after="0"/>
              <w:jc w:val="both"/>
              <w:rPr>
                <w:sz w:val="18"/>
                <w:szCs w:val="18"/>
              </w:rPr>
            </w:pPr>
            <w:r w:rsidRPr="00EE1A30">
              <w:rPr>
                <w:sz w:val="18"/>
                <w:szCs w:val="18"/>
              </w:rPr>
              <w:t>Aggregation on the basis of the information reported at monitoring site level.</w:t>
            </w:r>
          </w:p>
        </w:tc>
        <w:tc>
          <w:tcPr>
            <w:tcW w:w="1115" w:type="dxa"/>
            <w:shd w:val="clear" w:color="auto" w:fill="auto"/>
          </w:tcPr>
          <w:p w14:paraId="18268509" w14:textId="77777777" w:rsidR="006C7078" w:rsidRDefault="006C7078" w:rsidP="000840F3">
            <w:pPr>
              <w:spacing w:after="0"/>
              <w:jc w:val="both"/>
              <w:rPr>
                <w:sz w:val="18"/>
                <w:szCs w:val="18"/>
              </w:rPr>
            </w:pPr>
            <w:r>
              <w:rPr>
                <w:sz w:val="18"/>
                <w:szCs w:val="18"/>
              </w:rPr>
              <w:t>Yes</w:t>
            </w:r>
          </w:p>
        </w:tc>
      </w:tr>
      <w:tr w:rsidR="006C7078" w:rsidRPr="00EE1A30" w14:paraId="166D592A" w14:textId="77777777" w:rsidTr="00A1031A">
        <w:trPr>
          <w:cantSplit/>
          <w:trHeight w:val="70"/>
        </w:trPr>
        <w:tc>
          <w:tcPr>
            <w:tcW w:w="445" w:type="dxa"/>
            <w:shd w:val="clear" w:color="auto" w:fill="auto"/>
          </w:tcPr>
          <w:p w14:paraId="29807746" w14:textId="77777777" w:rsidR="006C7078" w:rsidRDefault="006C7078" w:rsidP="000840F3">
            <w:pPr>
              <w:spacing w:after="0"/>
              <w:jc w:val="both"/>
              <w:rPr>
                <w:sz w:val="18"/>
                <w:szCs w:val="18"/>
              </w:rPr>
            </w:pPr>
            <w:r>
              <w:rPr>
                <w:sz w:val="18"/>
                <w:szCs w:val="18"/>
              </w:rPr>
              <w:t>3</w:t>
            </w:r>
          </w:p>
        </w:tc>
        <w:tc>
          <w:tcPr>
            <w:tcW w:w="1257" w:type="dxa"/>
          </w:tcPr>
          <w:p w14:paraId="406C6F6D" w14:textId="77777777" w:rsidR="006C7078" w:rsidRPr="00EE1A30" w:rsidRDefault="006C7078" w:rsidP="000840F3">
            <w:pPr>
              <w:spacing w:after="0"/>
              <w:jc w:val="both"/>
              <w:rPr>
                <w:sz w:val="18"/>
                <w:szCs w:val="18"/>
              </w:rPr>
            </w:pPr>
            <w:r w:rsidRPr="006C7078">
              <w:rPr>
                <w:sz w:val="18"/>
                <w:szCs w:val="18"/>
              </w:rPr>
              <w:t>Number of surveillance and operational monitoring sites per 1000 km2</w:t>
            </w:r>
          </w:p>
        </w:tc>
        <w:tc>
          <w:tcPr>
            <w:tcW w:w="708" w:type="dxa"/>
            <w:shd w:val="clear" w:color="auto" w:fill="auto"/>
          </w:tcPr>
          <w:p w14:paraId="1AFB8EE1"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3FA4FEE4"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37D350AA" w14:textId="77777777" w:rsidR="006C7078" w:rsidRDefault="006C7078" w:rsidP="000840F3">
            <w:pPr>
              <w:spacing w:after="0"/>
              <w:jc w:val="both"/>
              <w:rPr>
                <w:sz w:val="18"/>
                <w:szCs w:val="18"/>
              </w:rPr>
            </w:pPr>
            <w:r w:rsidRPr="00EE1A30">
              <w:rPr>
                <w:sz w:val="18"/>
                <w:szCs w:val="18"/>
              </w:rPr>
              <w:t>Number of surveillance and operational monitoring sites per 1000 km</w:t>
            </w:r>
            <w:r w:rsidRPr="00EE1A30">
              <w:rPr>
                <w:sz w:val="18"/>
                <w:szCs w:val="18"/>
                <w:vertAlign w:val="superscript"/>
              </w:rPr>
              <w:t>2</w:t>
            </w:r>
          </w:p>
        </w:tc>
        <w:tc>
          <w:tcPr>
            <w:tcW w:w="2268" w:type="dxa"/>
            <w:shd w:val="clear" w:color="auto" w:fill="auto"/>
          </w:tcPr>
          <w:p w14:paraId="40CA4972" w14:textId="77777777" w:rsidR="006C7078" w:rsidRDefault="006C7078" w:rsidP="000840F3">
            <w:pPr>
              <w:spacing w:after="0"/>
              <w:jc w:val="both"/>
              <w:rPr>
                <w:sz w:val="18"/>
                <w:szCs w:val="18"/>
              </w:rPr>
            </w:pPr>
            <w:r w:rsidRPr="00EE1A30">
              <w:rPr>
                <w:sz w:val="18"/>
                <w:szCs w:val="18"/>
              </w:rPr>
              <w:t>Aggregation on the basis of the information reported at monitoring site level and total surface area of the RBD.</w:t>
            </w:r>
          </w:p>
        </w:tc>
        <w:tc>
          <w:tcPr>
            <w:tcW w:w="1115" w:type="dxa"/>
            <w:shd w:val="clear" w:color="auto" w:fill="auto"/>
          </w:tcPr>
          <w:p w14:paraId="2B708364" w14:textId="77777777" w:rsidR="006C7078" w:rsidRDefault="006C7078" w:rsidP="000840F3">
            <w:pPr>
              <w:spacing w:after="0"/>
              <w:jc w:val="both"/>
              <w:rPr>
                <w:sz w:val="18"/>
                <w:szCs w:val="18"/>
              </w:rPr>
            </w:pPr>
            <w:r>
              <w:rPr>
                <w:sz w:val="18"/>
                <w:szCs w:val="18"/>
              </w:rPr>
              <w:t>Yes</w:t>
            </w:r>
          </w:p>
        </w:tc>
      </w:tr>
      <w:tr w:rsidR="006C7078" w:rsidRPr="00EE1A30" w14:paraId="118C36B3" w14:textId="77777777" w:rsidTr="00A1031A">
        <w:trPr>
          <w:cantSplit/>
          <w:trHeight w:val="8"/>
        </w:trPr>
        <w:tc>
          <w:tcPr>
            <w:tcW w:w="445" w:type="dxa"/>
            <w:shd w:val="clear" w:color="auto" w:fill="auto"/>
          </w:tcPr>
          <w:p w14:paraId="7C025ED2" w14:textId="77777777" w:rsidR="006C7078" w:rsidRDefault="006C7078" w:rsidP="000840F3">
            <w:pPr>
              <w:spacing w:after="0"/>
              <w:jc w:val="both"/>
              <w:rPr>
                <w:sz w:val="18"/>
                <w:szCs w:val="18"/>
              </w:rPr>
            </w:pPr>
            <w:r>
              <w:rPr>
                <w:sz w:val="18"/>
                <w:szCs w:val="18"/>
              </w:rPr>
              <w:t>4</w:t>
            </w:r>
          </w:p>
        </w:tc>
        <w:tc>
          <w:tcPr>
            <w:tcW w:w="1257" w:type="dxa"/>
          </w:tcPr>
          <w:p w14:paraId="01FC91D5" w14:textId="77777777" w:rsidR="006C7078" w:rsidRPr="00EE1A30" w:rsidRDefault="006C7078" w:rsidP="000840F3">
            <w:pPr>
              <w:spacing w:after="0"/>
              <w:jc w:val="both"/>
              <w:rPr>
                <w:sz w:val="18"/>
                <w:szCs w:val="18"/>
              </w:rPr>
            </w:pPr>
            <w:r w:rsidRPr="006C7078">
              <w:rPr>
                <w:sz w:val="18"/>
                <w:szCs w:val="18"/>
              </w:rPr>
              <w:t>Number of monitoring sites in surface waters used for monitoring the different types of quality elements</w:t>
            </w:r>
          </w:p>
        </w:tc>
        <w:tc>
          <w:tcPr>
            <w:tcW w:w="708" w:type="dxa"/>
            <w:shd w:val="clear" w:color="auto" w:fill="auto"/>
          </w:tcPr>
          <w:p w14:paraId="51734F4D" w14:textId="77777777" w:rsidR="006C7078" w:rsidRDefault="006C7078" w:rsidP="000840F3">
            <w:pPr>
              <w:spacing w:after="0"/>
              <w:jc w:val="both"/>
              <w:rPr>
                <w:sz w:val="18"/>
                <w:szCs w:val="18"/>
              </w:rPr>
            </w:pPr>
            <w:r w:rsidRPr="00EE1A30">
              <w:rPr>
                <w:sz w:val="18"/>
                <w:szCs w:val="18"/>
              </w:rPr>
              <w:t>Table</w:t>
            </w:r>
          </w:p>
        </w:tc>
        <w:tc>
          <w:tcPr>
            <w:tcW w:w="747" w:type="dxa"/>
            <w:shd w:val="clear" w:color="auto" w:fill="auto"/>
          </w:tcPr>
          <w:p w14:paraId="4FB61C48"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1867E8CD" w14:textId="77777777" w:rsidR="006C7078" w:rsidRDefault="006C7078" w:rsidP="000840F3">
            <w:pPr>
              <w:spacing w:after="0"/>
              <w:jc w:val="both"/>
              <w:rPr>
                <w:sz w:val="18"/>
                <w:szCs w:val="18"/>
              </w:rPr>
            </w:pPr>
            <w:r w:rsidRPr="00EE1A30">
              <w:rPr>
                <w:sz w:val="18"/>
                <w:szCs w:val="18"/>
              </w:rPr>
              <w:t>Number of monitoring sites in surface waters used for monitoring the different types of quality elements (biological; hydromorphological; physico-chemical including non-priority specific pollutants; Priority Substances).</w:t>
            </w:r>
          </w:p>
        </w:tc>
        <w:tc>
          <w:tcPr>
            <w:tcW w:w="2268" w:type="dxa"/>
            <w:shd w:val="clear" w:color="auto" w:fill="auto"/>
          </w:tcPr>
          <w:p w14:paraId="655AB080" w14:textId="77777777" w:rsidR="006C7078" w:rsidRDefault="006C7078" w:rsidP="000840F3">
            <w:pPr>
              <w:spacing w:after="0"/>
              <w:jc w:val="both"/>
              <w:rPr>
                <w:sz w:val="18"/>
                <w:szCs w:val="18"/>
              </w:rPr>
            </w:pPr>
            <w:r w:rsidRPr="00EE1A30">
              <w:rPr>
                <w:sz w:val="18"/>
                <w:szCs w:val="18"/>
              </w:rPr>
              <w:t>Aggregation on the basis of the information reported at monitoring site level.</w:t>
            </w:r>
          </w:p>
        </w:tc>
        <w:tc>
          <w:tcPr>
            <w:tcW w:w="1115" w:type="dxa"/>
            <w:shd w:val="clear" w:color="auto" w:fill="auto"/>
          </w:tcPr>
          <w:p w14:paraId="633208E5" w14:textId="77777777" w:rsidR="006C7078" w:rsidRDefault="006C7078" w:rsidP="000840F3">
            <w:pPr>
              <w:spacing w:after="0"/>
              <w:jc w:val="both"/>
              <w:rPr>
                <w:sz w:val="18"/>
                <w:szCs w:val="18"/>
              </w:rPr>
            </w:pPr>
            <w:r>
              <w:rPr>
                <w:sz w:val="18"/>
                <w:szCs w:val="18"/>
              </w:rPr>
              <w:t>Yes</w:t>
            </w:r>
          </w:p>
        </w:tc>
      </w:tr>
      <w:tr w:rsidR="006C7078" w:rsidRPr="00EE1A30" w14:paraId="09B4C43A" w14:textId="77777777" w:rsidTr="00A1031A">
        <w:trPr>
          <w:cantSplit/>
          <w:trHeight w:val="808"/>
        </w:trPr>
        <w:tc>
          <w:tcPr>
            <w:tcW w:w="445" w:type="dxa"/>
            <w:shd w:val="clear" w:color="auto" w:fill="auto"/>
          </w:tcPr>
          <w:p w14:paraId="4B1B2E05" w14:textId="77777777" w:rsidR="006C7078" w:rsidRDefault="006C7078" w:rsidP="000840F3">
            <w:pPr>
              <w:spacing w:after="0"/>
              <w:jc w:val="both"/>
              <w:rPr>
                <w:sz w:val="18"/>
                <w:szCs w:val="18"/>
              </w:rPr>
            </w:pPr>
            <w:r>
              <w:rPr>
                <w:sz w:val="18"/>
                <w:szCs w:val="18"/>
              </w:rPr>
              <w:t>5</w:t>
            </w:r>
          </w:p>
        </w:tc>
        <w:tc>
          <w:tcPr>
            <w:tcW w:w="1257" w:type="dxa"/>
          </w:tcPr>
          <w:p w14:paraId="6CC14A1C" w14:textId="77777777" w:rsidR="006C7078" w:rsidRPr="00EE1A30" w:rsidRDefault="006C7078" w:rsidP="000840F3">
            <w:pPr>
              <w:spacing w:after="0"/>
              <w:jc w:val="both"/>
              <w:rPr>
                <w:sz w:val="18"/>
                <w:szCs w:val="18"/>
              </w:rPr>
            </w:pPr>
            <w:r w:rsidRPr="006C7078">
              <w:rPr>
                <w:sz w:val="18"/>
                <w:szCs w:val="18"/>
              </w:rPr>
              <w:t>Percentage of surface water bodies included in surveillance monitoring compared to total number of surface water bodies</w:t>
            </w:r>
          </w:p>
        </w:tc>
        <w:tc>
          <w:tcPr>
            <w:tcW w:w="708" w:type="dxa"/>
            <w:shd w:val="clear" w:color="auto" w:fill="auto"/>
          </w:tcPr>
          <w:p w14:paraId="4E44FB46"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476883DF"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0F97DAE1" w14:textId="77777777" w:rsidR="006C7078" w:rsidRDefault="006C7078" w:rsidP="000840F3">
            <w:pPr>
              <w:spacing w:after="0"/>
              <w:jc w:val="both"/>
              <w:rPr>
                <w:sz w:val="18"/>
                <w:szCs w:val="18"/>
              </w:rPr>
            </w:pPr>
            <w:r w:rsidRPr="00EE1A30">
              <w:rPr>
                <w:sz w:val="18"/>
                <w:szCs w:val="18"/>
              </w:rPr>
              <w:t>Percentage of surface water bodies included in surveillance monitoring compared to total number of surface water bodies.</w:t>
            </w:r>
          </w:p>
        </w:tc>
        <w:tc>
          <w:tcPr>
            <w:tcW w:w="2268" w:type="dxa"/>
            <w:shd w:val="clear" w:color="auto" w:fill="auto"/>
          </w:tcPr>
          <w:p w14:paraId="4FB4AD8C"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6172BC75" w14:textId="77777777" w:rsidR="006C7078" w:rsidRDefault="006C7078" w:rsidP="000840F3">
            <w:pPr>
              <w:spacing w:after="0"/>
              <w:jc w:val="both"/>
              <w:rPr>
                <w:sz w:val="18"/>
                <w:szCs w:val="18"/>
              </w:rPr>
            </w:pPr>
            <w:r>
              <w:rPr>
                <w:sz w:val="18"/>
                <w:szCs w:val="18"/>
              </w:rPr>
              <w:t>Yes</w:t>
            </w:r>
          </w:p>
        </w:tc>
      </w:tr>
      <w:tr w:rsidR="006C7078" w:rsidRPr="00EE1A30" w14:paraId="34D3F387" w14:textId="77777777" w:rsidTr="00A1031A">
        <w:trPr>
          <w:cantSplit/>
          <w:trHeight w:val="8"/>
        </w:trPr>
        <w:tc>
          <w:tcPr>
            <w:tcW w:w="445" w:type="dxa"/>
            <w:shd w:val="clear" w:color="auto" w:fill="auto"/>
          </w:tcPr>
          <w:p w14:paraId="76D891E0" w14:textId="77777777" w:rsidR="006C7078" w:rsidRDefault="006C7078" w:rsidP="000840F3">
            <w:pPr>
              <w:spacing w:after="0"/>
              <w:jc w:val="both"/>
              <w:rPr>
                <w:sz w:val="18"/>
                <w:szCs w:val="18"/>
              </w:rPr>
            </w:pPr>
            <w:r>
              <w:rPr>
                <w:sz w:val="18"/>
                <w:szCs w:val="18"/>
              </w:rPr>
              <w:t>6</w:t>
            </w:r>
          </w:p>
        </w:tc>
        <w:tc>
          <w:tcPr>
            <w:tcW w:w="1257" w:type="dxa"/>
          </w:tcPr>
          <w:p w14:paraId="6D61300A" w14:textId="77777777" w:rsidR="006C7078" w:rsidRPr="00EE1A30" w:rsidRDefault="006C7078" w:rsidP="000840F3">
            <w:pPr>
              <w:spacing w:after="0"/>
              <w:jc w:val="both"/>
              <w:rPr>
                <w:sz w:val="18"/>
                <w:szCs w:val="18"/>
              </w:rPr>
            </w:pPr>
            <w:r w:rsidRPr="006C7078">
              <w:rPr>
                <w:sz w:val="18"/>
                <w:szCs w:val="18"/>
              </w:rPr>
              <w:t>Number of river water bodies included in surveillance monitoring</w:t>
            </w:r>
          </w:p>
        </w:tc>
        <w:tc>
          <w:tcPr>
            <w:tcW w:w="708" w:type="dxa"/>
            <w:shd w:val="clear" w:color="auto" w:fill="auto"/>
          </w:tcPr>
          <w:p w14:paraId="447CDE9A"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0574943D"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646796EA" w14:textId="77777777" w:rsidR="006C7078" w:rsidRDefault="006C7078" w:rsidP="000840F3">
            <w:pPr>
              <w:spacing w:after="0"/>
              <w:jc w:val="both"/>
              <w:rPr>
                <w:sz w:val="18"/>
                <w:szCs w:val="18"/>
              </w:rPr>
            </w:pPr>
            <w:r w:rsidRPr="00EE1A30">
              <w:rPr>
                <w:sz w:val="18"/>
                <w:szCs w:val="18"/>
              </w:rPr>
              <w:t>Number of river water bodies included in surveillance monitoring, benchmarked to criteria in WFD Annex V Section 1.3.1.</w:t>
            </w:r>
          </w:p>
        </w:tc>
        <w:tc>
          <w:tcPr>
            <w:tcW w:w="2268" w:type="dxa"/>
            <w:shd w:val="clear" w:color="auto" w:fill="auto"/>
          </w:tcPr>
          <w:p w14:paraId="75157608"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p w14:paraId="535E07BE" w14:textId="77777777" w:rsidR="006C7078" w:rsidRPr="00EE1A30" w:rsidRDefault="006C7078" w:rsidP="000840F3">
            <w:pPr>
              <w:spacing w:after="0"/>
              <w:jc w:val="both"/>
              <w:rPr>
                <w:sz w:val="18"/>
                <w:szCs w:val="18"/>
              </w:rPr>
            </w:pPr>
            <w:r w:rsidRPr="00EE1A30">
              <w:rPr>
                <w:sz w:val="18"/>
                <w:szCs w:val="18"/>
              </w:rPr>
              <w:t>Benchmark is MS land area divided by 2500 km</w:t>
            </w:r>
            <w:r w:rsidRPr="00EE1A30">
              <w:rPr>
                <w:sz w:val="18"/>
                <w:szCs w:val="18"/>
                <w:vertAlign w:val="superscript"/>
              </w:rPr>
              <w:t>2</w:t>
            </w:r>
            <w:r w:rsidRPr="00EE1A30">
              <w:rPr>
                <w:sz w:val="18"/>
                <w:szCs w:val="18"/>
              </w:rPr>
              <w:t>.</w:t>
            </w:r>
          </w:p>
        </w:tc>
        <w:tc>
          <w:tcPr>
            <w:tcW w:w="1115" w:type="dxa"/>
            <w:shd w:val="clear" w:color="auto" w:fill="auto"/>
          </w:tcPr>
          <w:p w14:paraId="595BE102" w14:textId="77777777" w:rsidR="006C7078" w:rsidRDefault="006C7078" w:rsidP="000840F3">
            <w:pPr>
              <w:spacing w:after="0"/>
              <w:jc w:val="both"/>
              <w:rPr>
                <w:sz w:val="18"/>
                <w:szCs w:val="18"/>
              </w:rPr>
            </w:pPr>
            <w:r>
              <w:rPr>
                <w:sz w:val="18"/>
                <w:szCs w:val="18"/>
              </w:rPr>
              <w:t>Yes</w:t>
            </w:r>
          </w:p>
        </w:tc>
      </w:tr>
      <w:tr w:rsidR="006C7078" w:rsidRPr="00EE1A30" w14:paraId="1F7469FD" w14:textId="77777777" w:rsidTr="00A1031A">
        <w:trPr>
          <w:cantSplit/>
          <w:trHeight w:val="8"/>
        </w:trPr>
        <w:tc>
          <w:tcPr>
            <w:tcW w:w="445" w:type="dxa"/>
            <w:shd w:val="clear" w:color="auto" w:fill="auto"/>
          </w:tcPr>
          <w:p w14:paraId="423247CD" w14:textId="77777777" w:rsidR="006C7078" w:rsidRDefault="006C7078" w:rsidP="000840F3">
            <w:pPr>
              <w:spacing w:after="0"/>
              <w:jc w:val="both"/>
              <w:rPr>
                <w:sz w:val="18"/>
                <w:szCs w:val="18"/>
              </w:rPr>
            </w:pPr>
            <w:r>
              <w:rPr>
                <w:sz w:val="18"/>
                <w:szCs w:val="18"/>
              </w:rPr>
              <w:t>7</w:t>
            </w:r>
          </w:p>
        </w:tc>
        <w:tc>
          <w:tcPr>
            <w:tcW w:w="1257" w:type="dxa"/>
          </w:tcPr>
          <w:p w14:paraId="1DF9616F" w14:textId="77777777" w:rsidR="006C7078" w:rsidRPr="00EE1A30" w:rsidRDefault="00993CB5" w:rsidP="000840F3">
            <w:pPr>
              <w:spacing w:after="0"/>
              <w:jc w:val="both"/>
              <w:rPr>
                <w:sz w:val="18"/>
                <w:szCs w:val="18"/>
              </w:rPr>
            </w:pPr>
            <w:r w:rsidRPr="00993CB5">
              <w:rPr>
                <w:sz w:val="18"/>
                <w:szCs w:val="18"/>
              </w:rPr>
              <w:t>Percentage of surface water bodies in surveillance monitoring in which all relevant biological quality elements are monitored</w:t>
            </w:r>
          </w:p>
        </w:tc>
        <w:tc>
          <w:tcPr>
            <w:tcW w:w="708" w:type="dxa"/>
            <w:shd w:val="clear" w:color="auto" w:fill="auto"/>
          </w:tcPr>
          <w:p w14:paraId="031BB0A0"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5853A0AC"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1B47C952" w14:textId="77777777" w:rsidR="006C7078" w:rsidRDefault="006C7078" w:rsidP="000840F3">
            <w:pPr>
              <w:spacing w:after="0"/>
              <w:jc w:val="both"/>
              <w:rPr>
                <w:sz w:val="18"/>
                <w:szCs w:val="18"/>
              </w:rPr>
            </w:pPr>
            <w:r w:rsidRPr="00EE1A30">
              <w:rPr>
                <w:sz w:val="18"/>
                <w:szCs w:val="18"/>
              </w:rPr>
              <w:t>Percentage of surface water bodies in surveillance monitoring in which all relevant biological quality elements are monitored.</w:t>
            </w:r>
          </w:p>
        </w:tc>
        <w:tc>
          <w:tcPr>
            <w:tcW w:w="2268" w:type="dxa"/>
            <w:shd w:val="clear" w:color="auto" w:fill="auto"/>
          </w:tcPr>
          <w:p w14:paraId="2C03094F"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0B88F039" w14:textId="77777777" w:rsidR="006C7078" w:rsidRDefault="006C7078" w:rsidP="000840F3">
            <w:pPr>
              <w:spacing w:after="0"/>
              <w:jc w:val="both"/>
              <w:rPr>
                <w:sz w:val="18"/>
                <w:szCs w:val="18"/>
              </w:rPr>
            </w:pPr>
            <w:r>
              <w:rPr>
                <w:sz w:val="18"/>
                <w:szCs w:val="18"/>
              </w:rPr>
              <w:t>Yes</w:t>
            </w:r>
          </w:p>
        </w:tc>
      </w:tr>
      <w:tr w:rsidR="006C7078" w:rsidRPr="00EE1A30" w14:paraId="1E43532D" w14:textId="77777777" w:rsidTr="00A1031A">
        <w:trPr>
          <w:cantSplit/>
          <w:trHeight w:val="8"/>
        </w:trPr>
        <w:tc>
          <w:tcPr>
            <w:tcW w:w="445" w:type="dxa"/>
            <w:shd w:val="clear" w:color="auto" w:fill="auto"/>
          </w:tcPr>
          <w:p w14:paraId="5012D9FD" w14:textId="77777777" w:rsidR="006C7078" w:rsidRDefault="006C7078" w:rsidP="000840F3">
            <w:pPr>
              <w:spacing w:after="0"/>
              <w:jc w:val="both"/>
              <w:rPr>
                <w:sz w:val="18"/>
                <w:szCs w:val="18"/>
              </w:rPr>
            </w:pPr>
            <w:r>
              <w:rPr>
                <w:sz w:val="18"/>
                <w:szCs w:val="18"/>
              </w:rPr>
              <w:lastRenderedPageBreak/>
              <w:t>8</w:t>
            </w:r>
          </w:p>
        </w:tc>
        <w:tc>
          <w:tcPr>
            <w:tcW w:w="1257" w:type="dxa"/>
          </w:tcPr>
          <w:p w14:paraId="7E4198E5" w14:textId="77777777" w:rsidR="006C7078" w:rsidRPr="00EE1A30" w:rsidRDefault="00993CB5" w:rsidP="000840F3">
            <w:pPr>
              <w:spacing w:after="0"/>
              <w:jc w:val="both"/>
              <w:rPr>
                <w:sz w:val="18"/>
                <w:szCs w:val="18"/>
              </w:rPr>
            </w:pPr>
            <w:r w:rsidRPr="00993CB5">
              <w:rPr>
                <w:sz w:val="18"/>
                <w:szCs w:val="18"/>
              </w:rPr>
              <w:t>Percentage of surface water bodies included in operational monitoring compared to surface water bodies with significant pressures</w:t>
            </w:r>
          </w:p>
        </w:tc>
        <w:tc>
          <w:tcPr>
            <w:tcW w:w="708" w:type="dxa"/>
            <w:shd w:val="clear" w:color="auto" w:fill="auto"/>
          </w:tcPr>
          <w:p w14:paraId="35938F2A"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8E80F67"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9A3D7C1" w14:textId="77777777" w:rsidR="006C7078" w:rsidRDefault="006C7078" w:rsidP="000840F3">
            <w:pPr>
              <w:spacing w:after="0"/>
              <w:jc w:val="both"/>
              <w:rPr>
                <w:sz w:val="18"/>
                <w:szCs w:val="18"/>
              </w:rPr>
            </w:pPr>
            <w:r w:rsidRPr="00EE1A30">
              <w:rPr>
                <w:sz w:val="18"/>
                <w:szCs w:val="18"/>
              </w:rPr>
              <w:t>Percentage of surface water bodies included in operational monitoring and compared to surface water bodies with significant pressures.</w:t>
            </w:r>
          </w:p>
        </w:tc>
        <w:tc>
          <w:tcPr>
            <w:tcW w:w="2268" w:type="dxa"/>
            <w:shd w:val="clear" w:color="auto" w:fill="auto"/>
          </w:tcPr>
          <w:p w14:paraId="1D98F230"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0F8FE4A5" w14:textId="77777777" w:rsidR="006C7078" w:rsidRDefault="006C7078" w:rsidP="000840F3">
            <w:pPr>
              <w:spacing w:after="0"/>
              <w:jc w:val="both"/>
              <w:rPr>
                <w:sz w:val="18"/>
                <w:szCs w:val="18"/>
              </w:rPr>
            </w:pPr>
            <w:r>
              <w:rPr>
                <w:sz w:val="18"/>
                <w:szCs w:val="18"/>
              </w:rPr>
              <w:t>Yes</w:t>
            </w:r>
          </w:p>
        </w:tc>
      </w:tr>
      <w:tr w:rsidR="006C7078" w:rsidRPr="00EE1A30" w14:paraId="650638A3" w14:textId="77777777" w:rsidTr="00A1031A">
        <w:trPr>
          <w:cantSplit/>
          <w:trHeight w:val="8"/>
        </w:trPr>
        <w:tc>
          <w:tcPr>
            <w:tcW w:w="445" w:type="dxa"/>
            <w:shd w:val="clear" w:color="auto" w:fill="auto"/>
          </w:tcPr>
          <w:p w14:paraId="17DAB8E5" w14:textId="77777777" w:rsidR="006C7078" w:rsidRDefault="006C7078" w:rsidP="000840F3">
            <w:pPr>
              <w:spacing w:after="0"/>
              <w:jc w:val="both"/>
              <w:rPr>
                <w:sz w:val="18"/>
                <w:szCs w:val="18"/>
              </w:rPr>
            </w:pPr>
            <w:r>
              <w:rPr>
                <w:sz w:val="18"/>
                <w:szCs w:val="18"/>
              </w:rPr>
              <w:t>9</w:t>
            </w:r>
          </w:p>
        </w:tc>
        <w:tc>
          <w:tcPr>
            <w:tcW w:w="1257" w:type="dxa"/>
          </w:tcPr>
          <w:p w14:paraId="3CF3F0F9" w14:textId="77777777" w:rsidR="006C7078" w:rsidRPr="00EE1A30" w:rsidRDefault="00993CB5" w:rsidP="000840F3">
            <w:pPr>
              <w:spacing w:after="0"/>
              <w:jc w:val="both"/>
              <w:rPr>
                <w:sz w:val="18"/>
                <w:szCs w:val="18"/>
              </w:rPr>
            </w:pPr>
            <w:r w:rsidRPr="00993CB5">
              <w:rPr>
                <w:sz w:val="18"/>
                <w:szCs w:val="18"/>
              </w:rPr>
              <w:t>Percentage of surface water bodies included in operational monitoring compared to total failing good ecological status</w:t>
            </w:r>
          </w:p>
        </w:tc>
        <w:tc>
          <w:tcPr>
            <w:tcW w:w="708" w:type="dxa"/>
            <w:shd w:val="clear" w:color="auto" w:fill="auto"/>
          </w:tcPr>
          <w:p w14:paraId="75705ABE"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2562681"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6E1009E3" w14:textId="77777777" w:rsidR="006C7078" w:rsidRDefault="006C7078" w:rsidP="000840F3">
            <w:pPr>
              <w:spacing w:after="0"/>
              <w:jc w:val="both"/>
              <w:rPr>
                <w:sz w:val="18"/>
                <w:szCs w:val="18"/>
              </w:rPr>
            </w:pPr>
            <w:r w:rsidRPr="00EE1A30">
              <w:rPr>
                <w:sz w:val="18"/>
                <w:szCs w:val="18"/>
              </w:rPr>
              <w:t>Percentage of surface water bodies included in operational monitoring compared to total number of surface water bodies failing to achieve good ecological status.</w:t>
            </w:r>
          </w:p>
        </w:tc>
        <w:tc>
          <w:tcPr>
            <w:tcW w:w="2268" w:type="dxa"/>
            <w:shd w:val="clear" w:color="auto" w:fill="auto"/>
          </w:tcPr>
          <w:p w14:paraId="7858405F"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and at water body level.</w:t>
            </w:r>
          </w:p>
        </w:tc>
        <w:tc>
          <w:tcPr>
            <w:tcW w:w="1115" w:type="dxa"/>
            <w:shd w:val="clear" w:color="auto" w:fill="auto"/>
          </w:tcPr>
          <w:p w14:paraId="6CAA86E7" w14:textId="77777777" w:rsidR="006C7078" w:rsidRDefault="006C7078" w:rsidP="000840F3">
            <w:pPr>
              <w:spacing w:after="0"/>
              <w:jc w:val="both"/>
              <w:rPr>
                <w:sz w:val="18"/>
                <w:szCs w:val="18"/>
              </w:rPr>
            </w:pPr>
            <w:r>
              <w:rPr>
                <w:sz w:val="18"/>
                <w:szCs w:val="18"/>
              </w:rPr>
              <w:t>No</w:t>
            </w:r>
          </w:p>
        </w:tc>
      </w:tr>
      <w:tr w:rsidR="006C7078" w:rsidRPr="00EE1A30" w14:paraId="73CD5EAD" w14:textId="77777777" w:rsidTr="00A1031A">
        <w:trPr>
          <w:cantSplit/>
          <w:trHeight w:val="8"/>
        </w:trPr>
        <w:tc>
          <w:tcPr>
            <w:tcW w:w="445" w:type="dxa"/>
            <w:shd w:val="clear" w:color="auto" w:fill="auto"/>
          </w:tcPr>
          <w:p w14:paraId="3AB7B4A2" w14:textId="77777777" w:rsidR="006C7078" w:rsidRDefault="006C7078" w:rsidP="000840F3">
            <w:pPr>
              <w:spacing w:after="0"/>
              <w:jc w:val="both"/>
              <w:rPr>
                <w:sz w:val="18"/>
                <w:szCs w:val="18"/>
              </w:rPr>
            </w:pPr>
            <w:r>
              <w:rPr>
                <w:sz w:val="18"/>
                <w:szCs w:val="18"/>
              </w:rPr>
              <w:t>10</w:t>
            </w:r>
          </w:p>
        </w:tc>
        <w:tc>
          <w:tcPr>
            <w:tcW w:w="1257" w:type="dxa"/>
          </w:tcPr>
          <w:p w14:paraId="34998883" w14:textId="77777777" w:rsidR="006C7078" w:rsidRPr="00EE1A30" w:rsidRDefault="00993CB5" w:rsidP="000840F3">
            <w:pPr>
              <w:spacing w:after="0"/>
              <w:jc w:val="both"/>
              <w:rPr>
                <w:sz w:val="18"/>
                <w:szCs w:val="18"/>
              </w:rPr>
            </w:pPr>
            <w:r w:rsidRPr="00993CB5">
              <w:rPr>
                <w:sz w:val="18"/>
                <w:szCs w:val="18"/>
              </w:rPr>
              <w:t>Number of operational sites in relation to the population density of the Member State</w:t>
            </w:r>
          </w:p>
        </w:tc>
        <w:tc>
          <w:tcPr>
            <w:tcW w:w="708" w:type="dxa"/>
            <w:shd w:val="clear" w:color="auto" w:fill="auto"/>
          </w:tcPr>
          <w:p w14:paraId="0116E562"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666A8145"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1EEE1567" w14:textId="77777777" w:rsidR="006C7078" w:rsidRDefault="006C7078" w:rsidP="000840F3">
            <w:pPr>
              <w:spacing w:after="0"/>
              <w:jc w:val="both"/>
              <w:rPr>
                <w:sz w:val="18"/>
                <w:szCs w:val="18"/>
              </w:rPr>
            </w:pPr>
            <w:r w:rsidRPr="00EE1A30">
              <w:rPr>
                <w:sz w:val="18"/>
                <w:szCs w:val="18"/>
              </w:rPr>
              <w:t>Number of operational sites in relation to the population density of the Member State; population density is used as an indicator of the amount of potential pressure from human activity.</w:t>
            </w:r>
          </w:p>
        </w:tc>
        <w:tc>
          <w:tcPr>
            <w:tcW w:w="2268" w:type="dxa"/>
            <w:shd w:val="clear" w:color="auto" w:fill="auto"/>
          </w:tcPr>
          <w:p w14:paraId="2EB7CD7C"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5C52E94F" w14:textId="77777777" w:rsidR="006C7078" w:rsidRDefault="006C7078" w:rsidP="000840F3">
            <w:pPr>
              <w:spacing w:after="0"/>
              <w:jc w:val="both"/>
              <w:rPr>
                <w:sz w:val="18"/>
                <w:szCs w:val="18"/>
              </w:rPr>
            </w:pPr>
            <w:r>
              <w:rPr>
                <w:sz w:val="18"/>
                <w:szCs w:val="18"/>
              </w:rPr>
              <w:t>Yes</w:t>
            </w:r>
          </w:p>
        </w:tc>
      </w:tr>
      <w:tr w:rsidR="006C7078" w:rsidRPr="00EE1A30" w14:paraId="1199838D" w14:textId="77777777" w:rsidTr="00A1031A">
        <w:trPr>
          <w:cantSplit/>
          <w:trHeight w:val="8"/>
        </w:trPr>
        <w:tc>
          <w:tcPr>
            <w:tcW w:w="445" w:type="dxa"/>
            <w:shd w:val="clear" w:color="auto" w:fill="auto"/>
          </w:tcPr>
          <w:p w14:paraId="28B61107" w14:textId="77777777" w:rsidR="006C7078" w:rsidRDefault="006C7078" w:rsidP="000840F3">
            <w:pPr>
              <w:spacing w:after="0"/>
              <w:jc w:val="both"/>
              <w:rPr>
                <w:sz w:val="18"/>
                <w:szCs w:val="18"/>
              </w:rPr>
            </w:pPr>
            <w:r>
              <w:rPr>
                <w:sz w:val="18"/>
                <w:szCs w:val="18"/>
              </w:rPr>
              <w:t>11</w:t>
            </w:r>
          </w:p>
        </w:tc>
        <w:tc>
          <w:tcPr>
            <w:tcW w:w="1257" w:type="dxa"/>
          </w:tcPr>
          <w:p w14:paraId="6BB80EE2" w14:textId="77777777" w:rsidR="006C7078" w:rsidRPr="00EE1A30" w:rsidRDefault="00993CB5" w:rsidP="000840F3">
            <w:pPr>
              <w:spacing w:after="0"/>
              <w:jc w:val="both"/>
              <w:rPr>
                <w:sz w:val="18"/>
                <w:szCs w:val="18"/>
              </w:rPr>
            </w:pPr>
            <w:r w:rsidRPr="00993CB5">
              <w:rPr>
                <w:sz w:val="18"/>
                <w:szCs w:val="18"/>
              </w:rPr>
              <w:t>Percentage of surface water bodies included in operational monitoring in which each biological quality element is measured</w:t>
            </w:r>
          </w:p>
        </w:tc>
        <w:tc>
          <w:tcPr>
            <w:tcW w:w="708" w:type="dxa"/>
            <w:shd w:val="clear" w:color="auto" w:fill="auto"/>
          </w:tcPr>
          <w:p w14:paraId="0F1FF009"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57484D61"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0BCD605A" w14:textId="77777777" w:rsidR="006C7078" w:rsidRDefault="006C7078" w:rsidP="000840F3">
            <w:pPr>
              <w:spacing w:after="0"/>
              <w:jc w:val="both"/>
              <w:rPr>
                <w:sz w:val="18"/>
                <w:szCs w:val="18"/>
              </w:rPr>
            </w:pPr>
            <w:r w:rsidRPr="00EE1A30">
              <w:rPr>
                <w:sz w:val="18"/>
                <w:szCs w:val="18"/>
              </w:rPr>
              <w:t>Percentage of surface water bodies included in operational monitoring in which phytoplankton, other aquatic flora, macroinvertebrates and fish are monitored.</w:t>
            </w:r>
          </w:p>
        </w:tc>
        <w:tc>
          <w:tcPr>
            <w:tcW w:w="2268" w:type="dxa"/>
            <w:shd w:val="clear" w:color="auto" w:fill="auto"/>
          </w:tcPr>
          <w:p w14:paraId="60F61590"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5BA63058" w14:textId="77777777" w:rsidR="006C7078" w:rsidRDefault="006C7078" w:rsidP="000840F3">
            <w:pPr>
              <w:spacing w:after="0"/>
              <w:jc w:val="both"/>
              <w:rPr>
                <w:sz w:val="18"/>
                <w:szCs w:val="18"/>
              </w:rPr>
            </w:pPr>
            <w:r>
              <w:rPr>
                <w:sz w:val="18"/>
                <w:szCs w:val="18"/>
              </w:rPr>
              <w:t>Yes</w:t>
            </w:r>
          </w:p>
        </w:tc>
      </w:tr>
      <w:tr w:rsidR="006C7078" w:rsidRPr="00EE1A30" w14:paraId="477D9932" w14:textId="77777777" w:rsidTr="00A1031A">
        <w:trPr>
          <w:cantSplit/>
          <w:trHeight w:val="8"/>
        </w:trPr>
        <w:tc>
          <w:tcPr>
            <w:tcW w:w="445" w:type="dxa"/>
            <w:shd w:val="clear" w:color="auto" w:fill="auto"/>
          </w:tcPr>
          <w:p w14:paraId="49587B0F" w14:textId="77777777" w:rsidR="006C7078" w:rsidRDefault="006C7078" w:rsidP="000840F3">
            <w:pPr>
              <w:spacing w:after="0"/>
              <w:jc w:val="both"/>
              <w:rPr>
                <w:sz w:val="18"/>
                <w:szCs w:val="18"/>
              </w:rPr>
            </w:pPr>
            <w:r>
              <w:rPr>
                <w:sz w:val="18"/>
                <w:szCs w:val="18"/>
              </w:rPr>
              <w:t>12</w:t>
            </w:r>
          </w:p>
        </w:tc>
        <w:tc>
          <w:tcPr>
            <w:tcW w:w="1257" w:type="dxa"/>
          </w:tcPr>
          <w:p w14:paraId="6275C930" w14:textId="77777777" w:rsidR="006C7078" w:rsidRPr="00EE1A30" w:rsidRDefault="00993CB5" w:rsidP="000840F3">
            <w:pPr>
              <w:spacing w:after="0"/>
              <w:jc w:val="both"/>
              <w:rPr>
                <w:sz w:val="18"/>
                <w:szCs w:val="18"/>
              </w:rPr>
            </w:pPr>
            <w:r w:rsidRPr="00993CB5">
              <w:rPr>
                <w:sz w:val="18"/>
                <w:szCs w:val="18"/>
              </w:rPr>
              <w:t>Percentage of surface water bodies monitored and classified (on the basis of monitoring or extrapolation) for chemical status</w:t>
            </w:r>
          </w:p>
        </w:tc>
        <w:tc>
          <w:tcPr>
            <w:tcW w:w="708" w:type="dxa"/>
            <w:shd w:val="clear" w:color="auto" w:fill="auto"/>
          </w:tcPr>
          <w:p w14:paraId="5BB40F00"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25B067AA"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B85B77A" w14:textId="77777777" w:rsidR="006C7078" w:rsidRDefault="006C7078" w:rsidP="000840F3">
            <w:pPr>
              <w:spacing w:after="0"/>
              <w:jc w:val="both"/>
              <w:rPr>
                <w:sz w:val="18"/>
                <w:szCs w:val="18"/>
              </w:rPr>
            </w:pPr>
            <w:r w:rsidRPr="00EE1A30">
              <w:rPr>
                <w:sz w:val="18"/>
                <w:szCs w:val="18"/>
              </w:rPr>
              <w:t>Percentage of surface water bodies classified for chemical status compared to the percentage of water bodies monitored for Priority Substances.</w:t>
            </w:r>
          </w:p>
        </w:tc>
        <w:tc>
          <w:tcPr>
            <w:tcW w:w="2268" w:type="dxa"/>
            <w:shd w:val="clear" w:color="auto" w:fill="auto"/>
          </w:tcPr>
          <w:p w14:paraId="53DCB18A" w14:textId="77777777" w:rsidR="006C7078" w:rsidRDefault="006C7078" w:rsidP="000840F3">
            <w:pPr>
              <w:spacing w:after="0"/>
              <w:jc w:val="both"/>
              <w:rPr>
                <w:sz w:val="18"/>
                <w:szCs w:val="18"/>
              </w:rPr>
            </w:pPr>
            <w:r w:rsidRPr="00EE1A30">
              <w:rPr>
                <w:sz w:val="18"/>
                <w:szCs w:val="18"/>
              </w:rPr>
              <w:t>Aggregation on the basis of information reported at water body and monitoring site levels.</w:t>
            </w:r>
          </w:p>
        </w:tc>
        <w:tc>
          <w:tcPr>
            <w:tcW w:w="1115" w:type="dxa"/>
            <w:shd w:val="clear" w:color="auto" w:fill="auto"/>
          </w:tcPr>
          <w:p w14:paraId="5493DC77" w14:textId="77777777" w:rsidR="006C7078" w:rsidRDefault="006C7078" w:rsidP="000840F3">
            <w:pPr>
              <w:spacing w:after="0"/>
              <w:jc w:val="both"/>
              <w:rPr>
                <w:sz w:val="18"/>
                <w:szCs w:val="18"/>
              </w:rPr>
            </w:pPr>
            <w:r>
              <w:rPr>
                <w:sz w:val="18"/>
                <w:szCs w:val="18"/>
              </w:rPr>
              <w:t>Yes</w:t>
            </w:r>
          </w:p>
        </w:tc>
      </w:tr>
      <w:tr w:rsidR="006C7078" w:rsidRPr="00EE1A30" w14:paraId="1BB0E12C" w14:textId="77777777" w:rsidTr="00A1031A">
        <w:trPr>
          <w:cantSplit/>
          <w:trHeight w:val="212"/>
        </w:trPr>
        <w:tc>
          <w:tcPr>
            <w:tcW w:w="445" w:type="dxa"/>
            <w:shd w:val="clear" w:color="auto" w:fill="auto"/>
          </w:tcPr>
          <w:p w14:paraId="386AF672" w14:textId="77777777" w:rsidR="006C7078" w:rsidRDefault="006C7078" w:rsidP="000840F3">
            <w:pPr>
              <w:spacing w:after="0"/>
              <w:jc w:val="both"/>
              <w:rPr>
                <w:sz w:val="18"/>
                <w:szCs w:val="18"/>
              </w:rPr>
            </w:pPr>
            <w:r>
              <w:rPr>
                <w:sz w:val="18"/>
                <w:szCs w:val="18"/>
              </w:rPr>
              <w:lastRenderedPageBreak/>
              <w:t>13</w:t>
            </w:r>
          </w:p>
        </w:tc>
        <w:tc>
          <w:tcPr>
            <w:tcW w:w="1257" w:type="dxa"/>
          </w:tcPr>
          <w:p w14:paraId="7A7D40BD" w14:textId="77777777" w:rsidR="006C7078" w:rsidRPr="00EE1A30" w:rsidRDefault="00993CB5" w:rsidP="000840F3">
            <w:pPr>
              <w:spacing w:after="0"/>
              <w:jc w:val="both"/>
              <w:rPr>
                <w:sz w:val="18"/>
                <w:szCs w:val="18"/>
              </w:rPr>
            </w:pPr>
            <w:r w:rsidRPr="00993CB5">
              <w:rPr>
                <w:sz w:val="18"/>
                <w:szCs w:val="18"/>
              </w:rPr>
              <w:t>Percentage of surface water bodies in which each Priority Substance is monitored</w:t>
            </w:r>
          </w:p>
        </w:tc>
        <w:tc>
          <w:tcPr>
            <w:tcW w:w="708" w:type="dxa"/>
            <w:shd w:val="clear" w:color="auto" w:fill="auto"/>
          </w:tcPr>
          <w:p w14:paraId="32297DE2"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CCF1E3D"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30C813E1" w14:textId="77777777" w:rsidR="006C7078" w:rsidRDefault="006C7078" w:rsidP="000840F3">
            <w:pPr>
              <w:spacing w:after="0"/>
              <w:jc w:val="both"/>
              <w:rPr>
                <w:sz w:val="18"/>
                <w:szCs w:val="18"/>
              </w:rPr>
            </w:pPr>
            <w:r w:rsidRPr="00EE1A30">
              <w:rPr>
                <w:sz w:val="18"/>
                <w:szCs w:val="18"/>
              </w:rPr>
              <w:t>Percentage of surface water bodies in which each Priority Substance is monitored.</w:t>
            </w:r>
          </w:p>
        </w:tc>
        <w:tc>
          <w:tcPr>
            <w:tcW w:w="2268" w:type="dxa"/>
            <w:shd w:val="clear" w:color="auto" w:fill="auto"/>
          </w:tcPr>
          <w:p w14:paraId="06AF7309" w14:textId="77777777" w:rsidR="006C7078" w:rsidRDefault="006C7078" w:rsidP="000840F3">
            <w:pPr>
              <w:spacing w:after="0"/>
              <w:jc w:val="both"/>
              <w:rPr>
                <w:sz w:val="18"/>
                <w:szCs w:val="18"/>
              </w:rPr>
            </w:pPr>
            <w:r w:rsidRPr="00EE1A30">
              <w:rPr>
                <w:sz w:val="18"/>
                <w:szCs w:val="18"/>
              </w:rPr>
              <w:t>Aggregation on the basis of information reported at water body and monitoring site levels.</w:t>
            </w:r>
          </w:p>
        </w:tc>
        <w:tc>
          <w:tcPr>
            <w:tcW w:w="1115" w:type="dxa"/>
            <w:shd w:val="clear" w:color="auto" w:fill="auto"/>
          </w:tcPr>
          <w:p w14:paraId="13DCE103" w14:textId="77777777" w:rsidR="006C7078" w:rsidRDefault="006C7078" w:rsidP="000840F3">
            <w:pPr>
              <w:spacing w:after="0"/>
              <w:jc w:val="both"/>
              <w:rPr>
                <w:sz w:val="18"/>
                <w:szCs w:val="18"/>
              </w:rPr>
            </w:pPr>
            <w:r w:rsidRPr="00EE1A30">
              <w:rPr>
                <w:sz w:val="18"/>
                <w:szCs w:val="18"/>
              </w:rPr>
              <w:t>It was not possible to produce (reporting of individual priority substances was optional; in addition in many cases information was not available in RBMP or background documents; generally very poor reporting of chemical status reflecting implementation gaps)</w:t>
            </w:r>
          </w:p>
        </w:tc>
      </w:tr>
      <w:tr w:rsidR="006C7078" w:rsidRPr="00EE1A30" w14:paraId="72E41010" w14:textId="77777777" w:rsidTr="00A1031A">
        <w:trPr>
          <w:cantSplit/>
          <w:trHeight w:val="4"/>
        </w:trPr>
        <w:tc>
          <w:tcPr>
            <w:tcW w:w="445" w:type="dxa"/>
            <w:shd w:val="clear" w:color="auto" w:fill="auto"/>
          </w:tcPr>
          <w:p w14:paraId="6BBB077C" w14:textId="77777777" w:rsidR="006C7078" w:rsidRDefault="006C7078" w:rsidP="000840F3">
            <w:pPr>
              <w:spacing w:after="0"/>
              <w:jc w:val="both"/>
              <w:rPr>
                <w:sz w:val="18"/>
                <w:szCs w:val="18"/>
              </w:rPr>
            </w:pPr>
            <w:r>
              <w:rPr>
                <w:sz w:val="18"/>
                <w:szCs w:val="18"/>
              </w:rPr>
              <w:t>14</w:t>
            </w:r>
          </w:p>
        </w:tc>
        <w:tc>
          <w:tcPr>
            <w:tcW w:w="1257" w:type="dxa"/>
          </w:tcPr>
          <w:p w14:paraId="011B0A39" w14:textId="77777777" w:rsidR="006C7078" w:rsidRPr="00EE1A30" w:rsidRDefault="00993CB5" w:rsidP="000840F3">
            <w:pPr>
              <w:spacing w:after="0"/>
              <w:jc w:val="both"/>
              <w:rPr>
                <w:sz w:val="18"/>
                <w:szCs w:val="18"/>
              </w:rPr>
            </w:pPr>
            <w:r w:rsidRPr="00993CB5">
              <w:rPr>
                <w:sz w:val="18"/>
                <w:szCs w:val="18"/>
              </w:rPr>
              <w:t>Number of surface water monitoring sites per Priority Substance</w:t>
            </w:r>
          </w:p>
        </w:tc>
        <w:tc>
          <w:tcPr>
            <w:tcW w:w="708" w:type="dxa"/>
            <w:shd w:val="clear" w:color="auto" w:fill="auto"/>
          </w:tcPr>
          <w:p w14:paraId="0563EF06" w14:textId="77777777" w:rsidR="006C7078" w:rsidRDefault="006C7078" w:rsidP="000840F3">
            <w:pPr>
              <w:spacing w:after="0"/>
              <w:jc w:val="both"/>
              <w:rPr>
                <w:sz w:val="18"/>
                <w:szCs w:val="18"/>
              </w:rPr>
            </w:pPr>
            <w:r w:rsidRPr="00EE1A30">
              <w:rPr>
                <w:sz w:val="18"/>
                <w:szCs w:val="18"/>
              </w:rPr>
              <w:t>Chart or table</w:t>
            </w:r>
          </w:p>
        </w:tc>
        <w:tc>
          <w:tcPr>
            <w:tcW w:w="747" w:type="dxa"/>
            <w:shd w:val="clear" w:color="auto" w:fill="auto"/>
          </w:tcPr>
          <w:p w14:paraId="65D56324" w14:textId="77777777" w:rsidR="006C7078" w:rsidRDefault="006C7078" w:rsidP="000840F3">
            <w:pPr>
              <w:spacing w:after="0"/>
              <w:jc w:val="both"/>
              <w:rPr>
                <w:sz w:val="18"/>
                <w:szCs w:val="18"/>
              </w:rPr>
            </w:pPr>
            <w:r w:rsidRPr="00EE1A30">
              <w:rPr>
                <w:sz w:val="18"/>
                <w:szCs w:val="18"/>
              </w:rPr>
              <w:t>EU/MS/ RBD/SU</w:t>
            </w:r>
          </w:p>
        </w:tc>
        <w:tc>
          <w:tcPr>
            <w:tcW w:w="2372" w:type="dxa"/>
            <w:shd w:val="clear" w:color="auto" w:fill="auto"/>
          </w:tcPr>
          <w:p w14:paraId="464936A1" w14:textId="77777777" w:rsidR="006C7078" w:rsidRDefault="006C7078" w:rsidP="000840F3">
            <w:pPr>
              <w:spacing w:after="0"/>
              <w:jc w:val="both"/>
              <w:rPr>
                <w:sz w:val="18"/>
                <w:szCs w:val="18"/>
              </w:rPr>
            </w:pPr>
            <w:r w:rsidRPr="00EE1A30">
              <w:rPr>
                <w:sz w:val="18"/>
                <w:szCs w:val="18"/>
              </w:rPr>
              <w:t>Number of monitoring sites per Priority Substance differentiating matrix and purpose (status and trend).</w:t>
            </w:r>
          </w:p>
        </w:tc>
        <w:tc>
          <w:tcPr>
            <w:tcW w:w="2268" w:type="dxa"/>
            <w:shd w:val="clear" w:color="auto" w:fill="auto"/>
          </w:tcPr>
          <w:p w14:paraId="01C198DB"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7B11BF47" w14:textId="77777777" w:rsidR="006C7078" w:rsidRDefault="006C7078" w:rsidP="000840F3">
            <w:pPr>
              <w:spacing w:after="0"/>
              <w:jc w:val="both"/>
              <w:rPr>
                <w:sz w:val="18"/>
                <w:szCs w:val="18"/>
              </w:rPr>
            </w:pPr>
            <w:r>
              <w:rPr>
                <w:sz w:val="18"/>
                <w:szCs w:val="18"/>
              </w:rPr>
              <w:t>No</w:t>
            </w:r>
          </w:p>
        </w:tc>
      </w:tr>
      <w:tr w:rsidR="006C7078" w:rsidRPr="00EE1A30" w14:paraId="1CBB62F6" w14:textId="77777777" w:rsidTr="00A1031A">
        <w:trPr>
          <w:cantSplit/>
          <w:trHeight w:val="8"/>
        </w:trPr>
        <w:tc>
          <w:tcPr>
            <w:tcW w:w="445" w:type="dxa"/>
            <w:shd w:val="clear" w:color="auto" w:fill="auto"/>
          </w:tcPr>
          <w:p w14:paraId="32491D97" w14:textId="77777777" w:rsidR="006C7078" w:rsidRDefault="006C7078" w:rsidP="000840F3">
            <w:pPr>
              <w:spacing w:after="0"/>
              <w:jc w:val="both"/>
              <w:rPr>
                <w:sz w:val="18"/>
                <w:szCs w:val="18"/>
              </w:rPr>
            </w:pPr>
            <w:r>
              <w:rPr>
                <w:sz w:val="18"/>
                <w:szCs w:val="18"/>
              </w:rPr>
              <w:t>15</w:t>
            </w:r>
          </w:p>
        </w:tc>
        <w:tc>
          <w:tcPr>
            <w:tcW w:w="1257" w:type="dxa"/>
          </w:tcPr>
          <w:p w14:paraId="3A00F35C" w14:textId="77777777" w:rsidR="006C7078" w:rsidRPr="00EE1A30" w:rsidRDefault="00993CB5" w:rsidP="000840F3">
            <w:pPr>
              <w:spacing w:after="0"/>
              <w:jc w:val="both"/>
              <w:rPr>
                <w:sz w:val="18"/>
                <w:szCs w:val="18"/>
              </w:rPr>
            </w:pPr>
            <w:r w:rsidRPr="00993CB5">
              <w:rPr>
                <w:sz w:val="18"/>
                <w:szCs w:val="18"/>
              </w:rPr>
              <w:t>Number of Priority Substances reliably monitored in surveillance and/or operational monitoring</w:t>
            </w:r>
          </w:p>
        </w:tc>
        <w:tc>
          <w:tcPr>
            <w:tcW w:w="708" w:type="dxa"/>
            <w:shd w:val="clear" w:color="auto" w:fill="auto"/>
          </w:tcPr>
          <w:p w14:paraId="5184F187"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432B177"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57CF11DF" w14:textId="77777777" w:rsidR="006C7078" w:rsidRDefault="006C7078" w:rsidP="000840F3">
            <w:pPr>
              <w:spacing w:after="0"/>
              <w:jc w:val="both"/>
              <w:rPr>
                <w:sz w:val="18"/>
                <w:szCs w:val="18"/>
              </w:rPr>
            </w:pPr>
            <w:r w:rsidRPr="00EE1A30">
              <w:rPr>
                <w:sz w:val="18"/>
                <w:szCs w:val="18"/>
              </w:rPr>
              <w:t>Number of Priority Substances monitored in accordance with QA/QC Directive performance requirements in surveillance and/or operational monitoring.</w:t>
            </w:r>
          </w:p>
        </w:tc>
        <w:tc>
          <w:tcPr>
            <w:tcW w:w="2268" w:type="dxa"/>
            <w:shd w:val="clear" w:color="auto" w:fill="auto"/>
          </w:tcPr>
          <w:p w14:paraId="3DED8A94" w14:textId="77777777" w:rsidR="006C7078" w:rsidRDefault="006C7078" w:rsidP="000840F3">
            <w:pPr>
              <w:spacing w:after="0"/>
              <w:jc w:val="both"/>
              <w:rPr>
                <w:sz w:val="18"/>
                <w:szCs w:val="18"/>
              </w:rPr>
            </w:pPr>
            <w:r w:rsidRPr="00EE1A30">
              <w:rPr>
                <w:sz w:val="18"/>
                <w:szCs w:val="18"/>
              </w:rPr>
              <w:t>Aggregation of information reported at RBD level.</w:t>
            </w:r>
          </w:p>
        </w:tc>
        <w:tc>
          <w:tcPr>
            <w:tcW w:w="1115" w:type="dxa"/>
            <w:shd w:val="clear" w:color="auto" w:fill="auto"/>
          </w:tcPr>
          <w:p w14:paraId="5CEA1F30" w14:textId="77777777" w:rsidR="006C7078" w:rsidRDefault="006C7078" w:rsidP="000840F3">
            <w:pPr>
              <w:spacing w:after="0"/>
              <w:jc w:val="both"/>
              <w:rPr>
                <w:sz w:val="18"/>
                <w:szCs w:val="18"/>
              </w:rPr>
            </w:pPr>
            <w:r w:rsidRPr="00EE1A30">
              <w:rPr>
                <w:sz w:val="18"/>
                <w:szCs w:val="18"/>
              </w:rPr>
              <w:t>It was not possible to produce (necessary information on QA/QC Directive implementation was not included in reporting requirements because not yet implemented)</w:t>
            </w:r>
          </w:p>
        </w:tc>
      </w:tr>
      <w:tr w:rsidR="006C7078" w:rsidRPr="00EE1A30" w14:paraId="1DB9A748" w14:textId="77777777" w:rsidTr="00A1031A">
        <w:trPr>
          <w:cantSplit/>
          <w:trHeight w:val="8"/>
        </w:trPr>
        <w:tc>
          <w:tcPr>
            <w:tcW w:w="445" w:type="dxa"/>
            <w:shd w:val="clear" w:color="auto" w:fill="auto"/>
          </w:tcPr>
          <w:p w14:paraId="5BD027C5" w14:textId="77777777" w:rsidR="006C7078" w:rsidRDefault="006C7078" w:rsidP="000840F3">
            <w:pPr>
              <w:spacing w:after="0"/>
              <w:jc w:val="both"/>
              <w:rPr>
                <w:sz w:val="18"/>
                <w:szCs w:val="18"/>
              </w:rPr>
            </w:pPr>
            <w:r>
              <w:rPr>
                <w:sz w:val="18"/>
                <w:szCs w:val="18"/>
              </w:rPr>
              <w:t>16</w:t>
            </w:r>
          </w:p>
        </w:tc>
        <w:tc>
          <w:tcPr>
            <w:tcW w:w="1257" w:type="dxa"/>
          </w:tcPr>
          <w:p w14:paraId="5B929771" w14:textId="77777777" w:rsidR="006C7078" w:rsidRPr="00EE1A30" w:rsidRDefault="00993CB5" w:rsidP="000840F3">
            <w:pPr>
              <w:spacing w:after="0"/>
              <w:jc w:val="both"/>
              <w:rPr>
                <w:sz w:val="18"/>
                <w:szCs w:val="18"/>
              </w:rPr>
            </w:pPr>
            <w:r w:rsidRPr="00993CB5">
              <w:rPr>
                <w:sz w:val="18"/>
                <w:szCs w:val="18"/>
              </w:rPr>
              <w:t>Priority Substances subjected to trend monitoring in sediment</w:t>
            </w:r>
          </w:p>
        </w:tc>
        <w:tc>
          <w:tcPr>
            <w:tcW w:w="708" w:type="dxa"/>
            <w:shd w:val="clear" w:color="auto" w:fill="auto"/>
          </w:tcPr>
          <w:p w14:paraId="21C8B2F4" w14:textId="77777777" w:rsidR="006C7078" w:rsidRDefault="006C7078" w:rsidP="000840F3">
            <w:pPr>
              <w:spacing w:after="0"/>
              <w:jc w:val="both"/>
              <w:rPr>
                <w:sz w:val="18"/>
                <w:szCs w:val="18"/>
              </w:rPr>
            </w:pPr>
            <w:r w:rsidRPr="00EE1A30">
              <w:rPr>
                <w:sz w:val="18"/>
                <w:szCs w:val="18"/>
              </w:rPr>
              <w:t>Table</w:t>
            </w:r>
          </w:p>
        </w:tc>
        <w:tc>
          <w:tcPr>
            <w:tcW w:w="747" w:type="dxa"/>
            <w:shd w:val="clear" w:color="auto" w:fill="auto"/>
          </w:tcPr>
          <w:p w14:paraId="2B85F982"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4DC1B2EA" w14:textId="77777777" w:rsidR="006C7078" w:rsidRDefault="006C7078" w:rsidP="000840F3">
            <w:pPr>
              <w:spacing w:after="0"/>
              <w:jc w:val="both"/>
              <w:rPr>
                <w:sz w:val="18"/>
                <w:szCs w:val="18"/>
              </w:rPr>
            </w:pPr>
            <w:r w:rsidRPr="00EE1A30">
              <w:rPr>
                <w:sz w:val="18"/>
                <w:szCs w:val="18"/>
              </w:rPr>
              <w:t>Priority substances subjected to trend monitoring in sediment.</w:t>
            </w:r>
          </w:p>
        </w:tc>
        <w:tc>
          <w:tcPr>
            <w:tcW w:w="2268" w:type="dxa"/>
            <w:shd w:val="clear" w:color="auto" w:fill="auto"/>
          </w:tcPr>
          <w:p w14:paraId="1AF987D0" w14:textId="77777777" w:rsidR="006C7078" w:rsidRDefault="006C7078" w:rsidP="000840F3">
            <w:pPr>
              <w:spacing w:after="0"/>
              <w:jc w:val="both"/>
              <w:rPr>
                <w:sz w:val="18"/>
                <w:szCs w:val="18"/>
              </w:rPr>
            </w:pPr>
            <w:r w:rsidRPr="00EE1A30">
              <w:rPr>
                <w:sz w:val="18"/>
                <w:szCs w:val="18"/>
              </w:rPr>
              <w:t>Aggregation of information reported at water body level.</w:t>
            </w:r>
          </w:p>
        </w:tc>
        <w:tc>
          <w:tcPr>
            <w:tcW w:w="1115" w:type="dxa"/>
            <w:shd w:val="clear" w:color="auto" w:fill="auto"/>
          </w:tcPr>
          <w:p w14:paraId="71DBF101" w14:textId="77777777" w:rsidR="006C7078" w:rsidRDefault="006C7078" w:rsidP="000840F3">
            <w:pPr>
              <w:spacing w:after="0"/>
              <w:jc w:val="both"/>
              <w:rPr>
                <w:sz w:val="18"/>
                <w:szCs w:val="18"/>
              </w:rPr>
            </w:pPr>
            <w:r w:rsidRPr="00EE1A30">
              <w:rPr>
                <w:sz w:val="18"/>
                <w:szCs w:val="18"/>
              </w:rPr>
              <w:t>It was not possible to produce (necessary information was not included in reporting requirements)</w:t>
            </w:r>
          </w:p>
        </w:tc>
      </w:tr>
      <w:tr w:rsidR="006C7078" w:rsidRPr="00EE1A30" w14:paraId="01ED5811" w14:textId="77777777" w:rsidTr="00A1031A">
        <w:trPr>
          <w:cantSplit/>
          <w:trHeight w:val="8"/>
        </w:trPr>
        <w:tc>
          <w:tcPr>
            <w:tcW w:w="445" w:type="dxa"/>
            <w:shd w:val="clear" w:color="auto" w:fill="auto"/>
          </w:tcPr>
          <w:p w14:paraId="765328A1" w14:textId="77777777" w:rsidR="006C7078" w:rsidRDefault="006C7078" w:rsidP="000840F3">
            <w:pPr>
              <w:spacing w:after="0"/>
              <w:jc w:val="both"/>
              <w:rPr>
                <w:sz w:val="18"/>
                <w:szCs w:val="18"/>
              </w:rPr>
            </w:pPr>
            <w:r>
              <w:rPr>
                <w:sz w:val="18"/>
                <w:szCs w:val="18"/>
              </w:rPr>
              <w:t>17</w:t>
            </w:r>
          </w:p>
        </w:tc>
        <w:tc>
          <w:tcPr>
            <w:tcW w:w="1257" w:type="dxa"/>
          </w:tcPr>
          <w:p w14:paraId="6F4AA085" w14:textId="77777777" w:rsidR="006C7078" w:rsidRPr="00EE1A30" w:rsidRDefault="00993CB5" w:rsidP="000840F3">
            <w:pPr>
              <w:spacing w:after="0"/>
              <w:jc w:val="both"/>
              <w:rPr>
                <w:sz w:val="18"/>
                <w:szCs w:val="18"/>
              </w:rPr>
            </w:pPr>
            <w:r w:rsidRPr="00993CB5">
              <w:rPr>
                <w:sz w:val="18"/>
                <w:szCs w:val="18"/>
              </w:rPr>
              <w:t>Priority Substances subjected to trend monitoring in biota</w:t>
            </w:r>
          </w:p>
        </w:tc>
        <w:tc>
          <w:tcPr>
            <w:tcW w:w="708" w:type="dxa"/>
            <w:shd w:val="clear" w:color="auto" w:fill="auto"/>
          </w:tcPr>
          <w:p w14:paraId="1CFD0E12" w14:textId="77777777" w:rsidR="006C7078" w:rsidRDefault="006C7078" w:rsidP="000840F3">
            <w:pPr>
              <w:spacing w:after="0"/>
              <w:jc w:val="both"/>
              <w:rPr>
                <w:sz w:val="18"/>
                <w:szCs w:val="18"/>
              </w:rPr>
            </w:pPr>
            <w:r w:rsidRPr="00EE1A30">
              <w:rPr>
                <w:sz w:val="18"/>
                <w:szCs w:val="18"/>
              </w:rPr>
              <w:t>Table</w:t>
            </w:r>
          </w:p>
        </w:tc>
        <w:tc>
          <w:tcPr>
            <w:tcW w:w="747" w:type="dxa"/>
            <w:shd w:val="clear" w:color="auto" w:fill="auto"/>
          </w:tcPr>
          <w:p w14:paraId="331196D7"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44D488D4" w14:textId="77777777" w:rsidR="006C7078" w:rsidRDefault="006C7078" w:rsidP="000840F3">
            <w:pPr>
              <w:spacing w:after="0"/>
              <w:jc w:val="both"/>
              <w:rPr>
                <w:sz w:val="18"/>
                <w:szCs w:val="18"/>
              </w:rPr>
            </w:pPr>
            <w:r w:rsidRPr="00EE1A30">
              <w:rPr>
                <w:sz w:val="18"/>
                <w:szCs w:val="18"/>
              </w:rPr>
              <w:t>Priority Substances subjected to trend monitoring in biota (by MS)</w:t>
            </w:r>
          </w:p>
        </w:tc>
        <w:tc>
          <w:tcPr>
            <w:tcW w:w="2268" w:type="dxa"/>
            <w:shd w:val="clear" w:color="auto" w:fill="auto"/>
          </w:tcPr>
          <w:p w14:paraId="2891F4E0" w14:textId="77777777" w:rsidR="006C7078" w:rsidRDefault="006C7078" w:rsidP="000840F3">
            <w:pPr>
              <w:spacing w:after="0"/>
              <w:jc w:val="both"/>
              <w:rPr>
                <w:sz w:val="18"/>
                <w:szCs w:val="18"/>
              </w:rPr>
            </w:pPr>
            <w:r w:rsidRPr="00EE1A30">
              <w:rPr>
                <w:sz w:val="18"/>
                <w:szCs w:val="18"/>
              </w:rPr>
              <w:t>Aggregation of information reported at water body level.</w:t>
            </w:r>
          </w:p>
        </w:tc>
        <w:tc>
          <w:tcPr>
            <w:tcW w:w="1115" w:type="dxa"/>
            <w:shd w:val="clear" w:color="auto" w:fill="auto"/>
          </w:tcPr>
          <w:p w14:paraId="026BF046" w14:textId="77777777" w:rsidR="006C7078" w:rsidRDefault="006C7078" w:rsidP="000840F3">
            <w:pPr>
              <w:spacing w:after="0"/>
              <w:jc w:val="both"/>
              <w:rPr>
                <w:sz w:val="18"/>
                <w:szCs w:val="18"/>
              </w:rPr>
            </w:pPr>
            <w:r w:rsidRPr="00EE1A30">
              <w:rPr>
                <w:sz w:val="18"/>
                <w:szCs w:val="18"/>
              </w:rPr>
              <w:t>It was not possible to produce (necessary information was not included in reporting requirements)</w:t>
            </w:r>
          </w:p>
        </w:tc>
      </w:tr>
      <w:tr w:rsidR="006C7078" w:rsidRPr="00EE1A30" w14:paraId="5E391C2F" w14:textId="77777777" w:rsidTr="00A1031A">
        <w:trPr>
          <w:cantSplit/>
          <w:trHeight w:val="8"/>
        </w:trPr>
        <w:tc>
          <w:tcPr>
            <w:tcW w:w="445" w:type="dxa"/>
            <w:shd w:val="clear" w:color="auto" w:fill="auto"/>
          </w:tcPr>
          <w:p w14:paraId="09584538" w14:textId="77777777" w:rsidR="006C7078" w:rsidRDefault="006C7078" w:rsidP="000840F3">
            <w:pPr>
              <w:spacing w:after="0"/>
              <w:jc w:val="both"/>
              <w:rPr>
                <w:sz w:val="18"/>
                <w:szCs w:val="18"/>
              </w:rPr>
            </w:pPr>
            <w:r>
              <w:rPr>
                <w:sz w:val="18"/>
                <w:szCs w:val="18"/>
              </w:rPr>
              <w:lastRenderedPageBreak/>
              <w:t>18</w:t>
            </w:r>
          </w:p>
        </w:tc>
        <w:tc>
          <w:tcPr>
            <w:tcW w:w="1257" w:type="dxa"/>
          </w:tcPr>
          <w:p w14:paraId="1A6432EF" w14:textId="77777777" w:rsidR="006C7078" w:rsidRPr="00EE1A30" w:rsidRDefault="00993CB5" w:rsidP="000840F3">
            <w:pPr>
              <w:spacing w:after="0"/>
              <w:jc w:val="both"/>
              <w:rPr>
                <w:sz w:val="18"/>
                <w:szCs w:val="18"/>
              </w:rPr>
            </w:pPr>
            <w:r w:rsidRPr="00993CB5">
              <w:rPr>
                <w:sz w:val="18"/>
                <w:szCs w:val="18"/>
              </w:rPr>
              <w:t>Priority Substances showing upward trend in biota or sediment</w:t>
            </w:r>
          </w:p>
        </w:tc>
        <w:tc>
          <w:tcPr>
            <w:tcW w:w="708" w:type="dxa"/>
            <w:shd w:val="clear" w:color="auto" w:fill="auto"/>
          </w:tcPr>
          <w:p w14:paraId="1102B285" w14:textId="77777777" w:rsidR="006C7078" w:rsidRDefault="006C7078" w:rsidP="000840F3">
            <w:pPr>
              <w:spacing w:after="0"/>
              <w:jc w:val="both"/>
              <w:rPr>
                <w:sz w:val="18"/>
                <w:szCs w:val="18"/>
              </w:rPr>
            </w:pPr>
            <w:r w:rsidRPr="00EE1A30">
              <w:rPr>
                <w:sz w:val="18"/>
                <w:szCs w:val="18"/>
              </w:rPr>
              <w:t>Table</w:t>
            </w:r>
          </w:p>
        </w:tc>
        <w:tc>
          <w:tcPr>
            <w:tcW w:w="747" w:type="dxa"/>
            <w:shd w:val="clear" w:color="auto" w:fill="auto"/>
          </w:tcPr>
          <w:p w14:paraId="2F87425F"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30A04AE" w14:textId="77777777" w:rsidR="006C7078" w:rsidRDefault="006C7078" w:rsidP="000840F3">
            <w:pPr>
              <w:spacing w:after="0"/>
              <w:jc w:val="both"/>
              <w:rPr>
                <w:sz w:val="18"/>
                <w:szCs w:val="18"/>
              </w:rPr>
            </w:pPr>
            <w:r w:rsidRPr="00EE1A30">
              <w:rPr>
                <w:sz w:val="18"/>
                <w:szCs w:val="18"/>
              </w:rPr>
              <w:t>Priority Substances showing upward trend in biota or sediment, with matrix</w:t>
            </w:r>
          </w:p>
        </w:tc>
        <w:tc>
          <w:tcPr>
            <w:tcW w:w="2268" w:type="dxa"/>
            <w:shd w:val="clear" w:color="auto" w:fill="auto"/>
          </w:tcPr>
          <w:p w14:paraId="62626A87" w14:textId="77777777" w:rsidR="006C7078" w:rsidRDefault="006C7078" w:rsidP="000840F3">
            <w:pPr>
              <w:spacing w:after="0"/>
              <w:jc w:val="both"/>
              <w:rPr>
                <w:sz w:val="18"/>
                <w:szCs w:val="18"/>
              </w:rPr>
            </w:pPr>
            <w:r w:rsidRPr="00EE1A30">
              <w:rPr>
                <w:sz w:val="18"/>
                <w:szCs w:val="18"/>
              </w:rPr>
              <w:t>Aggregation of information reported at water body level.</w:t>
            </w:r>
          </w:p>
        </w:tc>
        <w:tc>
          <w:tcPr>
            <w:tcW w:w="1115" w:type="dxa"/>
            <w:shd w:val="clear" w:color="auto" w:fill="auto"/>
          </w:tcPr>
          <w:p w14:paraId="749DA112" w14:textId="77777777" w:rsidR="006C7078" w:rsidRDefault="006C7078" w:rsidP="000840F3">
            <w:pPr>
              <w:spacing w:after="0"/>
              <w:jc w:val="both"/>
              <w:rPr>
                <w:sz w:val="18"/>
                <w:szCs w:val="18"/>
              </w:rPr>
            </w:pPr>
            <w:r w:rsidRPr="00EE1A30">
              <w:rPr>
                <w:sz w:val="18"/>
                <w:szCs w:val="18"/>
              </w:rPr>
              <w:t>It was not possible to produce (necessary information was not included in reporting requirements)</w:t>
            </w:r>
          </w:p>
        </w:tc>
      </w:tr>
      <w:tr w:rsidR="006C7078" w:rsidRPr="00EE1A30" w14:paraId="3B458900" w14:textId="77777777" w:rsidTr="00A1031A">
        <w:trPr>
          <w:cantSplit/>
          <w:trHeight w:val="8"/>
        </w:trPr>
        <w:tc>
          <w:tcPr>
            <w:tcW w:w="445" w:type="dxa"/>
            <w:shd w:val="clear" w:color="auto" w:fill="auto"/>
          </w:tcPr>
          <w:p w14:paraId="4FFB1F73" w14:textId="77777777" w:rsidR="006C7078" w:rsidRDefault="006C7078" w:rsidP="000840F3">
            <w:pPr>
              <w:spacing w:after="0"/>
              <w:jc w:val="both"/>
              <w:rPr>
                <w:sz w:val="18"/>
                <w:szCs w:val="18"/>
              </w:rPr>
            </w:pPr>
            <w:r>
              <w:rPr>
                <w:sz w:val="18"/>
                <w:szCs w:val="18"/>
              </w:rPr>
              <w:t>19</w:t>
            </w:r>
          </w:p>
        </w:tc>
        <w:tc>
          <w:tcPr>
            <w:tcW w:w="1257" w:type="dxa"/>
          </w:tcPr>
          <w:p w14:paraId="6FF25996" w14:textId="77777777" w:rsidR="006C7078" w:rsidRPr="00EE1A30" w:rsidRDefault="00993CB5" w:rsidP="000840F3">
            <w:pPr>
              <w:spacing w:after="0"/>
              <w:jc w:val="both"/>
              <w:rPr>
                <w:sz w:val="18"/>
                <w:szCs w:val="18"/>
              </w:rPr>
            </w:pPr>
            <w:r w:rsidRPr="00993CB5">
              <w:rPr>
                <w:sz w:val="18"/>
                <w:szCs w:val="18"/>
              </w:rPr>
              <w:t>Groundwater monitoring sites</w:t>
            </w:r>
          </w:p>
        </w:tc>
        <w:tc>
          <w:tcPr>
            <w:tcW w:w="708" w:type="dxa"/>
            <w:shd w:val="clear" w:color="auto" w:fill="auto"/>
          </w:tcPr>
          <w:p w14:paraId="3F63D564" w14:textId="77777777" w:rsidR="006C7078" w:rsidRDefault="006C7078" w:rsidP="000840F3">
            <w:pPr>
              <w:spacing w:after="0"/>
              <w:jc w:val="both"/>
              <w:rPr>
                <w:sz w:val="18"/>
                <w:szCs w:val="18"/>
              </w:rPr>
            </w:pPr>
            <w:r w:rsidRPr="00EE1A30">
              <w:rPr>
                <w:sz w:val="18"/>
                <w:szCs w:val="18"/>
              </w:rPr>
              <w:t>Map</w:t>
            </w:r>
          </w:p>
        </w:tc>
        <w:tc>
          <w:tcPr>
            <w:tcW w:w="747" w:type="dxa"/>
            <w:shd w:val="clear" w:color="auto" w:fill="auto"/>
          </w:tcPr>
          <w:p w14:paraId="73FE2794" w14:textId="77777777" w:rsidR="006C7078" w:rsidRDefault="006C7078" w:rsidP="000840F3">
            <w:pPr>
              <w:spacing w:after="0"/>
              <w:jc w:val="both"/>
              <w:rPr>
                <w:sz w:val="18"/>
                <w:szCs w:val="18"/>
              </w:rPr>
            </w:pPr>
            <w:r w:rsidRPr="00EE1A30">
              <w:rPr>
                <w:sz w:val="18"/>
                <w:szCs w:val="18"/>
              </w:rPr>
              <w:t>Site</w:t>
            </w:r>
          </w:p>
        </w:tc>
        <w:tc>
          <w:tcPr>
            <w:tcW w:w="2372" w:type="dxa"/>
            <w:shd w:val="clear" w:color="auto" w:fill="auto"/>
          </w:tcPr>
          <w:p w14:paraId="78415931" w14:textId="77777777" w:rsidR="006C7078" w:rsidRDefault="006C7078" w:rsidP="000840F3">
            <w:pPr>
              <w:spacing w:after="0"/>
              <w:jc w:val="both"/>
              <w:rPr>
                <w:sz w:val="18"/>
                <w:szCs w:val="18"/>
              </w:rPr>
            </w:pPr>
            <w:r w:rsidRPr="00EE1A30">
              <w:rPr>
                <w:sz w:val="18"/>
                <w:szCs w:val="18"/>
              </w:rPr>
              <w:t>Map of groundwater monitoring sites for quantitative and chemical monitoring.</w:t>
            </w:r>
          </w:p>
        </w:tc>
        <w:tc>
          <w:tcPr>
            <w:tcW w:w="2268" w:type="dxa"/>
            <w:shd w:val="clear" w:color="auto" w:fill="auto"/>
          </w:tcPr>
          <w:p w14:paraId="7E079360" w14:textId="77777777" w:rsidR="006C7078" w:rsidRDefault="006C7078" w:rsidP="000840F3">
            <w:pPr>
              <w:spacing w:after="0"/>
              <w:jc w:val="both"/>
              <w:rPr>
                <w:sz w:val="18"/>
                <w:szCs w:val="18"/>
              </w:rPr>
            </w:pPr>
            <w:r w:rsidRPr="00EE1A30">
              <w:rPr>
                <w:sz w:val="18"/>
                <w:szCs w:val="18"/>
              </w:rPr>
              <w:t>Geographical location of monitoring sites as reported.</w:t>
            </w:r>
          </w:p>
        </w:tc>
        <w:tc>
          <w:tcPr>
            <w:tcW w:w="1115" w:type="dxa"/>
            <w:shd w:val="clear" w:color="auto" w:fill="auto"/>
          </w:tcPr>
          <w:p w14:paraId="03ADBD58" w14:textId="77777777" w:rsidR="006C7078" w:rsidRDefault="006C7078" w:rsidP="000840F3">
            <w:pPr>
              <w:spacing w:after="0"/>
              <w:jc w:val="both"/>
              <w:rPr>
                <w:sz w:val="18"/>
                <w:szCs w:val="18"/>
              </w:rPr>
            </w:pPr>
            <w:r>
              <w:rPr>
                <w:sz w:val="18"/>
                <w:szCs w:val="18"/>
              </w:rPr>
              <w:t>Yes</w:t>
            </w:r>
          </w:p>
        </w:tc>
      </w:tr>
      <w:tr w:rsidR="006C7078" w:rsidRPr="00EE1A30" w14:paraId="6C9F4053" w14:textId="77777777" w:rsidTr="00A1031A">
        <w:trPr>
          <w:cantSplit/>
          <w:trHeight w:val="8"/>
        </w:trPr>
        <w:tc>
          <w:tcPr>
            <w:tcW w:w="445" w:type="dxa"/>
            <w:shd w:val="clear" w:color="auto" w:fill="auto"/>
          </w:tcPr>
          <w:p w14:paraId="75A58908" w14:textId="77777777" w:rsidR="006C7078" w:rsidRDefault="006C7078" w:rsidP="000840F3">
            <w:pPr>
              <w:spacing w:after="0"/>
              <w:jc w:val="both"/>
              <w:rPr>
                <w:sz w:val="18"/>
                <w:szCs w:val="18"/>
              </w:rPr>
            </w:pPr>
            <w:r>
              <w:rPr>
                <w:sz w:val="18"/>
                <w:szCs w:val="18"/>
              </w:rPr>
              <w:t>20</w:t>
            </w:r>
          </w:p>
        </w:tc>
        <w:tc>
          <w:tcPr>
            <w:tcW w:w="1257" w:type="dxa"/>
          </w:tcPr>
          <w:p w14:paraId="6A86F569" w14:textId="77777777" w:rsidR="006C7078" w:rsidRPr="00EE1A30" w:rsidRDefault="00993CB5" w:rsidP="000840F3">
            <w:pPr>
              <w:spacing w:after="0"/>
              <w:jc w:val="both"/>
              <w:rPr>
                <w:sz w:val="18"/>
                <w:szCs w:val="18"/>
              </w:rPr>
            </w:pPr>
            <w:r w:rsidRPr="00993CB5">
              <w:rPr>
                <w:sz w:val="18"/>
                <w:szCs w:val="18"/>
              </w:rPr>
              <w:t>Number of monitoring sites for quantitative and chemical groundwater monitoring</w:t>
            </w:r>
          </w:p>
        </w:tc>
        <w:tc>
          <w:tcPr>
            <w:tcW w:w="708" w:type="dxa"/>
            <w:shd w:val="clear" w:color="auto" w:fill="auto"/>
          </w:tcPr>
          <w:p w14:paraId="5681A093" w14:textId="77777777" w:rsidR="006C7078" w:rsidRDefault="006C7078" w:rsidP="000840F3">
            <w:pPr>
              <w:spacing w:after="0"/>
              <w:jc w:val="both"/>
              <w:rPr>
                <w:sz w:val="18"/>
                <w:szCs w:val="18"/>
              </w:rPr>
            </w:pPr>
            <w:r w:rsidRPr="00EE1A30">
              <w:rPr>
                <w:sz w:val="18"/>
                <w:szCs w:val="18"/>
              </w:rPr>
              <w:t xml:space="preserve">Chart </w:t>
            </w:r>
          </w:p>
        </w:tc>
        <w:tc>
          <w:tcPr>
            <w:tcW w:w="747" w:type="dxa"/>
            <w:shd w:val="clear" w:color="auto" w:fill="auto"/>
          </w:tcPr>
          <w:p w14:paraId="45FA02AA"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234516BD" w14:textId="77777777" w:rsidR="006C7078" w:rsidRDefault="006C7078" w:rsidP="000840F3">
            <w:pPr>
              <w:spacing w:after="0"/>
              <w:jc w:val="both"/>
              <w:rPr>
                <w:sz w:val="18"/>
                <w:szCs w:val="18"/>
              </w:rPr>
            </w:pPr>
            <w:r w:rsidRPr="00EE1A30">
              <w:rPr>
                <w:sz w:val="18"/>
                <w:szCs w:val="18"/>
              </w:rPr>
              <w:t>Number of monitoring sites for quantitative and chemical groundwater monitoring.</w:t>
            </w:r>
          </w:p>
        </w:tc>
        <w:tc>
          <w:tcPr>
            <w:tcW w:w="2268" w:type="dxa"/>
            <w:shd w:val="clear" w:color="auto" w:fill="auto"/>
          </w:tcPr>
          <w:p w14:paraId="2C86287A"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31CBA5AA" w14:textId="77777777" w:rsidR="006C7078" w:rsidRDefault="006C7078" w:rsidP="000840F3">
            <w:pPr>
              <w:spacing w:after="0"/>
              <w:jc w:val="both"/>
              <w:rPr>
                <w:sz w:val="18"/>
                <w:szCs w:val="18"/>
              </w:rPr>
            </w:pPr>
            <w:r>
              <w:rPr>
                <w:sz w:val="18"/>
                <w:szCs w:val="18"/>
              </w:rPr>
              <w:t>Yes</w:t>
            </w:r>
          </w:p>
        </w:tc>
      </w:tr>
      <w:tr w:rsidR="006C7078" w:rsidRPr="00EE1A30" w14:paraId="0EAC9654" w14:textId="77777777" w:rsidTr="00A1031A">
        <w:trPr>
          <w:cantSplit/>
          <w:trHeight w:val="8"/>
        </w:trPr>
        <w:tc>
          <w:tcPr>
            <w:tcW w:w="445" w:type="dxa"/>
            <w:shd w:val="clear" w:color="auto" w:fill="auto"/>
          </w:tcPr>
          <w:p w14:paraId="34739AA0" w14:textId="77777777" w:rsidR="006C7078" w:rsidRDefault="006C7078" w:rsidP="000840F3">
            <w:pPr>
              <w:spacing w:after="0"/>
              <w:jc w:val="both"/>
              <w:rPr>
                <w:sz w:val="18"/>
                <w:szCs w:val="18"/>
              </w:rPr>
            </w:pPr>
            <w:r>
              <w:rPr>
                <w:sz w:val="18"/>
                <w:szCs w:val="18"/>
              </w:rPr>
              <w:t>21</w:t>
            </w:r>
          </w:p>
        </w:tc>
        <w:tc>
          <w:tcPr>
            <w:tcW w:w="1257" w:type="dxa"/>
          </w:tcPr>
          <w:p w14:paraId="51FFCA4F" w14:textId="77777777" w:rsidR="006C7078" w:rsidRPr="00EE1A30" w:rsidRDefault="00993CB5" w:rsidP="000840F3">
            <w:pPr>
              <w:spacing w:after="0"/>
              <w:jc w:val="both"/>
              <w:rPr>
                <w:sz w:val="18"/>
                <w:szCs w:val="18"/>
              </w:rPr>
            </w:pPr>
            <w:r w:rsidRPr="00993CB5">
              <w:rPr>
                <w:sz w:val="18"/>
                <w:szCs w:val="18"/>
              </w:rPr>
              <w:t>Density of groundwater monitoring sites for quantitative and chemical monitoring</w:t>
            </w:r>
          </w:p>
        </w:tc>
        <w:tc>
          <w:tcPr>
            <w:tcW w:w="708" w:type="dxa"/>
            <w:shd w:val="clear" w:color="auto" w:fill="auto"/>
          </w:tcPr>
          <w:p w14:paraId="5D011EE6"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0F0B5478"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40B43D2F" w14:textId="77777777" w:rsidR="006C7078" w:rsidRDefault="006C7078" w:rsidP="000840F3">
            <w:pPr>
              <w:spacing w:after="0"/>
              <w:jc w:val="both"/>
              <w:rPr>
                <w:sz w:val="18"/>
                <w:szCs w:val="18"/>
              </w:rPr>
            </w:pPr>
            <w:r w:rsidRPr="00EE1A30">
              <w:rPr>
                <w:sz w:val="18"/>
                <w:szCs w:val="18"/>
              </w:rPr>
              <w:t>Number of groundwater monitoring sites per 1000km</w:t>
            </w:r>
            <w:r w:rsidRPr="00EE1A30">
              <w:rPr>
                <w:sz w:val="18"/>
                <w:szCs w:val="18"/>
                <w:vertAlign w:val="superscript"/>
              </w:rPr>
              <w:t>2</w:t>
            </w:r>
            <w:r w:rsidRPr="00EE1A30">
              <w:rPr>
                <w:sz w:val="18"/>
                <w:szCs w:val="18"/>
              </w:rPr>
              <w:t xml:space="preserve"> of groundwater area for quantitative and chemical monitoring.</w:t>
            </w:r>
          </w:p>
        </w:tc>
        <w:tc>
          <w:tcPr>
            <w:tcW w:w="2268" w:type="dxa"/>
            <w:shd w:val="clear" w:color="auto" w:fill="auto"/>
          </w:tcPr>
          <w:p w14:paraId="5D9C19C0" w14:textId="77777777" w:rsidR="006C7078" w:rsidRDefault="006C7078" w:rsidP="000840F3">
            <w:pPr>
              <w:spacing w:after="0"/>
              <w:jc w:val="both"/>
              <w:rPr>
                <w:sz w:val="18"/>
                <w:szCs w:val="18"/>
              </w:rPr>
            </w:pPr>
            <w:r w:rsidRPr="00EE1A30">
              <w:rPr>
                <w:sz w:val="18"/>
                <w:szCs w:val="18"/>
              </w:rPr>
              <w:t>Aggregation on the basis of the information reported at monitoring site level and total surface area of the RBD.</w:t>
            </w:r>
          </w:p>
        </w:tc>
        <w:tc>
          <w:tcPr>
            <w:tcW w:w="1115" w:type="dxa"/>
            <w:shd w:val="clear" w:color="auto" w:fill="auto"/>
          </w:tcPr>
          <w:p w14:paraId="4894C73F" w14:textId="77777777" w:rsidR="006C7078" w:rsidRDefault="006C7078" w:rsidP="000840F3">
            <w:pPr>
              <w:spacing w:after="0"/>
              <w:jc w:val="both"/>
              <w:rPr>
                <w:sz w:val="18"/>
                <w:szCs w:val="18"/>
              </w:rPr>
            </w:pPr>
            <w:r>
              <w:rPr>
                <w:sz w:val="18"/>
                <w:szCs w:val="18"/>
              </w:rPr>
              <w:t>Yes</w:t>
            </w:r>
          </w:p>
        </w:tc>
      </w:tr>
      <w:tr w:rsidR="006C7078" w:rsidRPr="00EE1A30" w14:paraId="1D7DECA8" w14:textId="77777777" w:rsidTr="00A1031A">
        <w:trPr>
          <w:cantSplit/>
          <w:trHeight w:val="8"/>
        </w:trPr>
        <w:tc>
          <w:tcPr>
            <w:tcW w:w="445" w:type="dxa"/>
            <w:shd w:val="clear" w:color="auto" w:fill="auto"/>
          </w:tcPr>
          <w:p w14:paraId="0E0FD136" w14:textId="77777777" w:rsidR="006C7078" w:rsidRDefault="006C7078" w:rsidP="000840F3">
            <w:pPr>
              <w:spacing w:after="0"/>
              <w:jc w:val="both"/>
              <w:rPr>
                <w:sz w:val="18"/>
                <w:szCs w:val="18"/>
              </w:rPr>
            </w:pPr>
            <w:r>
              <w:rPr>
                <w:sz w:val="18"/>
                <w:szCs w:val="18"/>
              </w:rPr>
              <w:t>22</w:t>
            </w:r>
          </w:p>
        </w:tc>
        <w:tc>
          <w:tcPr>
            <w:tcW w:w="1257" w:type="dxa"/>
          </w:tcPr>
          <w:p w14:paraId="0FD9BD0B" w14:textId="77777777" w:rsidR="006C7078" w:rsidRPr="00EE1A30" w:rsidRDefault="00993CB5" w:rsidP="000840F3">
            <w:pPr>
              <w:spacing w:after="0"/>
              <w:jc w:val="both"/>
              <w:rPr>
                <w:sz w:val="18"/>
                <w:szCs w:val="18"/>
              </w:rPr>
            </w:pPr>
            <w:r w:rsidRPr="00993CB5">
              <w:rPr>
                <w:sz w:val="18"/>
                <w:szCs w:val="18"/>
              </w:rPr>
              <w:t>Percentage of groundwater bodies in quantitative monitoring</w:t>
            </w:r>
          </w:p>
        </w:tc>
        <w:tc>
          <w:tcPr>
            <w:tcW w:w="708" w:type="dxa"/>
            <w:shd w:val="clear" w:color="auto" w:fill="auto"/>
          </w:tcPr>
          <w:p w14:paraId="2F35F9DB"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44BF1C80"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2B54173" w14:textId="77777777" w:rsidR="006C7078" w:rsidRDefault="006C7078" w:rsidP="000840F3">
            <w:pPr>
              <w:spacing w:after="0"/>
              <w:jc w:val="both"/>
              <w:rPr>
                <w:sz w:val="18"/>
                <w:szCs w:val="18"/>
              </w:rPr>
            </w:pPr>
            <w:r w:rsidRPr="00EE1A30">
              <w:rPr>
                <w:sz w:val="18"/>
                <w:szCs w:val="18"/>
              </w:rPr>
              <w:t>Percentage of groundwater bodies included in quantitative monitoring.</w:t>
            </w:r>
          </w:p>
        </w:tc>
        <w:tc>
          <w:tcPr>
            <w:tcW w:w="2268" w:type="dxa"/>
            <w:shd w:val="clear" w:color="auto" w:fill="auto"/>
          </w:tcPr>
          <w:p w14:paraId="2E9CC8A6"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4FCA431F" w14:textId="77777777" w:rsidR="006C7078" w:rsidRDefault="006C7078" w:rsidP="000840F3">
            <w:pPr>
              <w:spacing w:after="0"/>
              <w:jc w:val="both"/>
              <w:rPr>
                <w:sz w:val="18"/>
                <w:szCs w:val="18"/>
              </w:rPr>
            </w:pPr>
            <w:r>
              <w:rPr>
                <w:sz w:val="18"/>
                <w:szCs w:val="18"/>
              </w:rPr>
              <w:t>Yes</w:t>
            </w:r>
          </w:p>
        </w:tc>
      </w:tr>
      <w:tr w:rsidR="006C7078" w:rsidRPr="00EE1A30" w14:paraId="53FAD234" w14:textId="77777777" w:rsidTr="00A1031A">
        <w:trPr>
          <w:cantSplit/>
          <w:trHeight w:val="8"/>
        </w:trPr>
        <w:tc>
          <w:tcPr>
            <w:tcW w:w="445" w:type="dxa"/>
            <w:shd w:val="clear" w:color="auto" w:fill="auto"/>
          </w:tcPr>
          <w:p w14:paraId="02ECAE32" w14:textId="77777777" w:rsidR="006C7078" w:rsidRDefault="006C7078" w:rsidP="000840F3">
            <w:pPr>
              <w:spacing w:after="0"/>
              <w:jc w:val="both"/>
              <w:rPr>
                <w:sz w:val="18"/>
                <w:szCs w:val="18"/>
              </w:rPr>
            </w:pPr>
            <w:r>
              <w:rPr>
                <w:sz w:val="18"/>
                <w:szCs w:val="18"/>
              </w:rPr>
              <w:t>23</w:t>
            </w:r>
          </w:p>
        </w:tc>
        <w:tc>
          <w:tcPr>
            <w:tcW w:w="1257" w:type="dxa"/>
          </w:tcPr>
          <w:p w14:paraId="4CE35A61" w14:textId="77777777" w:rsidR="006C7078" w:rsidRPr="00EE1A30" w:rsidRDefault="00993CB5" w:rsidP="000840F3">
            <w:pPr>
              <w:spacing w:after="0"/>
              <w:jc w:val="both"/>
              <w:rPr>
                <w:sz w:val="18"/>
                <w:szCs w:val="18"/>
              </w:rPr>
            </w:pPr>
            <w:r w:rsidRPr="00993CB5">
              <w:rPr>
                <w:sz w:val="18"/>
                <w:szCs w:val="18"/>
              </w:rPr>
              <w:t>Number of monitoring sites per groundwater body for quantitative monitoring</w:t>
            </w:r>
          </w:p>
        </w:tc>
        <w:tc>
          <w:tcPr>
            <w:tcW w:w="708" w:type="dxa"/>
            <w:shd w:val="clear" w:color="auto" w:fill="auto"/>
          </w:tcPr>
          <w:p w14:paraId="490F0725"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6091E0FE" w14:textId="77777777" w:rsidR="006C7078" w:rsidRDefault="006C7078" w:rsidP="000840F3">
            <w:pPr>
              <w:spacing w:after="0"/>
              <w:jc w:val="both"/>
              <w:rPr>
                <w:sz w:val="18"/>
                <w:szCs w:val="18"/>
              </w:rPr>
            </w:pPr>
            <w:r w:rsidRPr="00EE1A30">
              <w:rPr>
                <w:sz w:val="18"/>
                <w:szCs w:val="18"/>
              </w:rPr>
              <w:t>EU</w:t>
            </w:r>
          </w:p>
        </w:tc>
        <w:tc>
          <w:tcPr>
            <w:tcW w:w="2372" w:type="dxa"/>
            <w:shd w:val="clear" w:color="auto" w:fill="auto"/>
          </w:tcPr>
          <w:p w14:paraId="57716636" w14:textId="77777777" w:rsidR="006C7078" w:rsidRDefault="006C7078" w:rsidP="000840F3">
            <w:pPr>
              <w:spacing w:after="0"/>
              <w:jc w:val="both"/>
              <w:rPr>
                <w:sz w:val="18"/>
                <w:szCs w:val="18"/>
              </w:rPr>
            </w:pPr>
            <w:r w:rsidRPr="00EE1A30">
              <w:rPr>
                <w:sz w:val="18"/>
                <w:szCs w:val="18"/>
              </w:rPr>
              <w:t>Number of groundwater bodies with 0, 1, 2-5, 6-10, and 11 and more monitoring sites for quantitative monitoring.</w:t>
            </w:r>
          </w:p>
        </w:tc>
        <w:tc>
          <w:tcPr>
            <w:tcW w:w="2268" w:type="dxa"/>
            <w:shd w:val="clear" w:color="auto" w:fill="auto"/>
          </w:tcPr>
          <w:p w14:paraId="346AFBB6"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074743A5" w14:textId="77777777" w:rsidR="006C7078" w:rsidRDefault="006C7078" w:rsidP="000840F3">
            <w:pPr>
              <w:spacing w:after="0"/>
              <w:jc w:val="both"/>
              <w:rPr>
                <w:sz w:val="18"/>
                <w:szCs w:val="18"/>
              </w:rPr>
            </w:pPr>
            <w:r>
              <w:rPr>
                <w:sz w:val="18"/>
                <w:szCs w:val="18"/>
              </w:rPr>
              <w:t>Yes</w:t>
            </w:r>
          </w:p>
        </w:tc>
      </w:tr>
      <w:tr w:rsidR="006C7078" w:rsidRPr="00EE1A30" w14:paraId="15759E64" w14:textId="77777777" w:rsidTr="00A1031A">
        <w:trPr>
          <w:cantSplit/>
          <w:trHeight w:val="8"/>
        </w:trPr>
        <w:tc>
          <w:tcPr>
            <w:tcW w:w="445" w:type="dxa"/>
            <w:shd w:val="clear" w:color="auto" w:fill="auto"/>
          </w:tcPr>
          <w:p w14:paraId="585EF6BF" w14:textId="77777777" w:rsidR="006C7078" w:rsidRDefault="006C7078" w:rsidP="000840F3">
            <w:pPr>
              <w:spacing w:after="0"/>
              <w:jc w:val="both"/>
              <w:rPr>
                <w:sz w:val="18"/>
                <w:szCs w:val="18"/>
              </w:rPr>
            </w:pPr>
            <w:r>
              <w:rPr>
                <w:sz w:val="18"/>
                <w:szCs w:val="18"/>
              </w:rPr>
              <w:t>24</w:t>
            </w:r>
          </w:p>
        </w:tc>
        <w:tc>
          <w:tcPr>
            <w:tcW w:w="1257" w:type="dxa"/>
          </w:tcPr>
          <w:p w14:paraId="4E2CDFC4" w14:textId="77777777" w:rsidR="006C7078" w:rsidRPr="00EE1A30" w:rsidRDefault="00993CB5" w:rsidP="000840F3">
            <w:pPr>
              <w:spacing w:after="0"/>
              <w:jc w:val="both"/>
              <w:rPr>
                <w:sz w:val="18"/>
                <w:szCs w:val="18"/>
              </w:rPr>
            </w:pPr>
            <w:r w:rsidRPr="00993CB5">
              <w:rPr>
                <w:sz w:val="18"/>
                <w:szCs w:val="18"/>
              </w:rPr>
              <w:t>Percentage of groundwater bodies in chemical surveillance monitoring</w:t>
            </w:r>
          </w:p>
        </w:tc>
        <w:tc>
          <w:tcPr>
            <w:tcW w:w="708" w:type="dxa"/>
            <w:shd w:val="clear" w:color="auto" w:fill="auto"/>
          </w:tcPr>
          <w:p w14:paraId="2A914F00"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239082F3"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79FC76D8" w14:textId="77777777" w:rsidR="006C7078" w:rsidRDefault="006C7078" w:rsidP="000840F3">
            <w:pPr>
              <w:spacing w:after="0"/>
              <w:jc w:val="both"/>
              <w:rPr>
                <w:sz w:val="18"/>
                <w:szCs w:val="18"/>
              </w:rPr>
            </w:pPr>
            <w:r w:rsidRPr="00EE1A30">
              <w:rPr>
                <w:sz w:val="18"/>
                <w:szCs w:val="18"/>
              </w:rPr>
              <w:t>Percentage of groundwater bodies in chemical surveillance monitoring.</w:t>
            </w:r>
          </w:p>
        </w:tc>
        <w:tc>
          <w:tcPr>
            <w:tcW w:w="2268" w:type="dxa"/>
            <w:shd w:val="clear" w:color="auto" w:fill="auto"/>
          </w:tcPr>
          <w:p w14:paraId="6568431D"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6BE3991B" w14:textId="77777777" w:rsidR="006C7078" w:rsidRDefault="006C7078" w:rsidP="000840F3">
            <w:pPr>
              <w:spacing w:after="0"/>
              <w:jc w:val="both"/>
              <w:rPr>
                <w:sz w:val="18"/>
                <w:szCs w:val="18"/>
              </w:rPr>
            </w:pPr>
            <w:r>
              <w:rPr>
                <w:sz w:val="18"/>
                <w:szCs w:val="18"/>
              </w:rPr>
              <w:t>Yes</w:t>
            </w:r>
          </w:p>
        </w:tc>
      </w:tr>
      <w:tr w:rsidR="006C7078" w:rsidRPr="00EE1A30" w14:paraId="1D7D8E48" w14:textId="77777777" w:rsidTr="00A1031A">
        <w:trPr>
          <w:cantSplit/>
          <w:trHeight w:val="8"/>
        </w:trPr>
        <w:tc>
          <w:tcPr>
            <w:tcW w:w="445" w:type="dxa"/>
            <w:shd w:val="clear" w:color="auto" w:fill="auto"/>
          </w:tcPr>
          <w:p w14:paraId="5C4A2649" w14:textId="77777777" w:rsidR="006C7078" w:rsidRDefault="006C7078" w:rsidP="000840F3">
            <w:pPr>
              <w:spacing w:after="0"/>
              <w:jc w:val="both"/>
              <w:rPr>
                <w:sz w:val="18"/>
                <w:szCs w:val="18"/>
              </w:rPr>
            </w:pPr>
            <w:r>
              <w:rPr>
                <w:sz w:val="18"/>
                <w:szCs w:val="18"/>
              </w:rPr>
              <w:t>25</w:t>
            </w:r>
          </w:p>
        </w:tc>
        <w:tc>
          <w:tcPr>
            <w:tcW w:w="1257" w:type="dxa"/>
          </w:tcPr>
          <w:p w14:paraId="23ABB50F" w14:textId="77777777" w:rsidR="006C7078" w:rsidRPr="00EE1A30" w:rsidRDefault="00993CB5" w:rsidP="000840F3">
            <w:pPr>
              <w:spacing w:after="0"/>
              <w:jc w:val="both"/>
              <w:rPr>
                <w:sz w:val="18"/>
                <w:szCs w:val="18"/>
              </w:rPr>
            </w:pPr>
            <w:r w:rsidRPr="00993CB5">
              <w:rPr>
                <w:sz w:val="18"/>
                <w:szCs w:val="18"/>
              </w:rPr>
              <w:t>Groundwater bodies included in chemical surveillance monitoring where all core parameters are monitored</w:t>
            </w:r>
          </w:p>
        </w:tc>
        <w:tc>
          <w:tcPr>
            <w:tcW w:w="708" w:type="dxa"/>
            <w:shd w:val="clear" w:color="auto" w:fill="auto"/>
          </w:tcPr>
          <w:p w14:paraId="0D4DC191"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B07853B"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6A8F130E" w14:textId="77777777" w:rsidR="006C7078" w:rsidRDefault="006C7078" w:rsidP="000840F3">
            <w:pPr>
              <w:spacing w:after="0"/>
              <w:jc w:val="both"/>
              <w:rPr>
                <w:sz w:val="18"/>
                <w:szCs w:val="18"/>
              </w:rPr>
            </w:pPr>
            <w:r w:rsidRPr="00EE1A30">
              <w:rPr>
                <w:sz w:val="18"/>
                <w:szCs w:val="18"/>
              </w:rPr>
              <w:t>Percentage of groundwater bodies included in chemical surveillance monitoring where all core parameters are monitored.</w:t>
            </w:r>
          </w:p>
        </w:tc>
        <w:tc>
          <w:tcPr>
            <w:tcW w:w="2268" w:type="dxa"/>
            <w:shd w:val="clear" w:color="auto" w:fill="auto"/>
          </w:tcPr>
          <w:p w14:paraId="0DDAEC36" w14:textId="77777777" w:rsidR="006C7078" w:rsidRDefault="006C7078" w:rsidP="000840F3">
            <w:pPr>
              <w:spacing w:after="0"/>
              <w:jc w:val="both"/>
              <w:rPr>
                <w:sz w:val="18"/>
                <w:szCs w:val="18"/>
              </w:rPr>
            </w:pPr>
            <w:r w:rsidRPr="00EE1A30">
              <w:rPr>
                <w:sz w:val="18"/>
                <w:szCs w:val="18"/>
              </w:rPr>
              <w:t>Aggregation on the basis of the information reported at monitoring site level.</w:t>
            </w:r>
          </w:p>
        </w:tc>
        <w:tc>
          <w:tcPr>
            <w:tcW w:w="1115" w:type="dxa"/>
            <w:shd w:val="clear" w:color="auto" w:fill="auto"/>
          </w:tcPr>
          <w:p w14:paraId="22A48B37" w14:textId="77777777" w:rsidR="006C7078" w:rsidRDefault="006C7078" w:rsidP="000840F3">
            <w:pPr>
              <w:spacing w:after="0"/>
              <w:jc w:val="both"/>
              <w:rPr>
                <w:sz w:val="18"/>
                <w:szCs w:val="18"/>
              </w:rPr>
            </w:pPr>
            <w:r>
              <w:rPr>
                <w:sz w:val="18"/>
                <w:szCs w:val="18"/>
              </w:rPr>
              <w:t>Yes</w:t>
            </w:r>
          </w:p>
        </w:tc>
      </w:tr>
      <w:tr w:rsidR="006C7078" w:rsidRPr="00EE1A30" w14:paraId="3D51BC86" w14:textId="77777777" w:rsidTr="00A1031A">
        <w:trPr>
          <w:cantSplit/>
          <w:trHeight w:val="8"/>
        </w:trPr>
        <w:tc>
          <w:tcPr>
            <w:tcW w:w="445" w:type="dxa"/>
            <w:shd w:val="clear" w:color="auto" w:fill="auto"/>
          </w:tcPr>
          <w:p w14:paraId="74C816B3" w14:textId="77777777" w:rsidR="006C7078" w:rsidRDefault="006C7078" w:rsidP="000840F3">
            <w:pPr>
              <w:spacing w:after="0"/>
              <w:jc w:val="both"/>
              <w:rPr>
                <w:sz w:val="18"/>
                <w:szCs w:val="18"/>
              </w:rPr>
            </w:pPr>
            <w:r>
              <w:rPr>
                <w:sz w:val="18"/>
                <w:szCs w:val="18"/>
              </w:rPr>
              <w:t>26</w:t>
            </w:r>
          </w:p>
        </w:tc>
        <w:tc>
          <w:tcPr>
            <w:tcW w:w="1257" w:type="dxa"/>
          </w:tcPr>
          <w:p w14:paraId="3B1BDA39" w14:textId="77777777" w:rsidR="006C7078" w:rsidRPr="00EE1A30" w:rsidRDefault="00993CB5" w:rsidP="000840F3">
            <w:pPr>
              <w:spacing w:after="0"/>
              <w:jc w:val="both"/>
              <w:rPr>
                <w:sz w:val="18"/>
                <w:szCs w:val="18"/>
              </w:rPr>
            </w:pPr>
            <w:r w:rsidRPr="00993CB5">
              <w:rPr>
                <w:sz w:val="18"/>
                <w:szCs w:val="18"/>
              </w:rPr>
              <w:t>Percentage of groundwater bodies in chemical operational monitoring</w:t>
            </w:r>
          </w:p>
        </w:tc>
        <w:tc>
          <w:tcPr>
            <w:tcW w:w="708" w:type="dxa"/>
            <w:shd w:val="clear" w:color="auto" w:fill="auto"/>
          </w:tcPr>
          <w:p w14:paraId="368F86AA"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3B2DE5F3"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6ADB6BF9" w14:textId="77777777" w:rsidR="006C7078" w:rsidRDefault="006C7078" w:rsidP="000840F3">
            <w:pPr>
              <w:spacing w:after="0"/>
              <w:jc w:val="both"/>
              <w:rPr>
                <w:sz w:val="18"/>
                <w:szCs w:val="18"/>
              </w:rPr>
            </w:pPr>
            <w:r w:rsidRPr="00EE1A30">
              <w:rPr>
                <w:sz w:val="18"/>
                <w:szCs w:val="18"/>
              </w:rPr>
              <w:t>Percentage of groundwater bodies in chemical operational monitoring.</w:t>
            </w:r>
          </w:p>
        </w:tc>
        <w:tc>
          <w:tcPr>
            <w:tcW w:w="2268" w:type="dxa"/>
            <w:shd w:val="clear" w:color="auto" w:fill="auto"/>
          </w:tcPr>
          <w:p w14:paraId="7ECA2158"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2B6E30C5" w14:textId="77777777" w:rsidR="006C7078" w:rsidRDefault="006C7078" w:rsidP="000840F3">
            <w:pPr>
              <w:spacing w:after="0"/>
              <w:jc w:val="both"/>
              <w:rPr>
                <w:sz w:val="18"/>
                <w:szCs w:val="18"/>
              </w:rPr>
            </w:pPr>
            <w:r>
              <w:rPr>
                <w:sz w:val="18"/>
                <w:szCs w:val="18"/>
              </w:rPr>
              <w:t>Yes</w:t>
            </w:r>
          </w:p>
        </w:tc>
      </w:tr>
      <w:tr w:rsidR="006C7078" w:rsidRPr="00EE1A30" w14:paraId="3D33BFC7" w14:textId="77777777" w:rsidTr="00A1031A">
        <w:trPr>
          <w:cantSplit/>
          <w:trHeight w:val="8"/>
        </w:trPr>
        <w:tc>
          <w:tcPr>
            <w:tcW w:w="445" w:type="dxa"/>
            <w:shd w:val="clear" w:color="auto" w:fill="auto"/>
          </w:tcPr>
          <w:p w14:paraId="03BA3B0C" w14:textId="77777777" w:rsidR="006C7078" w:rsidRDefault="006C7078" w:rsidP="000840F3">
            <w:pPr>
              <w:spacing w:after="0"/>
              <w:jc w:val="both"/>
              <w:rPr>
                <w:sz w:val="18"/>
                <w:szCs w:val="18"/>
              </w:rPr>
            </w:pPr>
            <w:r>
              <w:rPr>
                <w:sz w:val="18"/>
                <w:szCs w:val="18"/>
              </w:rPr>
              <w:lastRenderedPageBreak/>
              <w:t>27</w:t>
            </w:r>
          </w:p>
        </w:tc>
        <w:tc>
          <w:tcPr>
            <w:tcW w:w="1257" w:type="dxa"/>
          </w:tcPr>
          <w:p w14:paraId="1A77F116" w14:textId="77777777" w:rsidR="006C7078" w:rsidRPr="00EE1A30" w:rsidRDefault="00993CB5" w:rsidP="000840F3">
            <w:pPr>
              <w:spacing w:after="0"/>
              <w:jc w:val="both"/>
              <w:rPr>
                <w:sz w:val="18"/>
                <w:szCs w:val="18"/>
              </w:rPr>
            </w:pPr>
            <w:r w:rsidRPr="00993CB5">
              <w:rPr>
                <w:sz w:val="18"/>
                <w:szCs w:val="18"/>
              </w:rPr>
              <w:t>Relative number of groundwater bodies included in operational monitoring and those with significant pressures</w:t>
            </w:r>
          </w:p>
        </w:tc>
        <w:tc>
          <w:tcPr>
            <w:tcW w:w="708" w:type="dxa"/>
            <w:shd w:val="clear" w:color="auto" w:fill="auto"/>
          </w:tcPr>
          <w:p w14:paraId="0668958A"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53D799D" w14:textId="77777777" w:rsidR="006C7078" w:rsidRDefault="006C7078" w:rsidP="000840F3">
            <w:pPr>
              <w:spacing w:after="0"/>
              <w:jc w:val="both"/>
              <w:rPr>
                <w:sz w:val="18"/>
                <w:szCs w:val="18"/>
              </w:rPr>
            </w:pPr>
            <w:r w:rsidRPr="00EE1A30">
              <w:rPr>
                <w:sz w:val="18"/>
                <w:szCs w:val="18"/>
              </w:rPr>
              <w:t>MS</w:t>
            </w:r>
          </w:p>
        </w:tc>
        <w:tc>
          <w:tcPr>
            <w:tcW w:w="2372" w:type="dxa"/>
            <w:shd w:val="clear" w:color="auto" w:fill="auto"/>
          </w:tcPr>
          <w:p w14:paraId="526F7BDD" w14:textId="77777777" w:rsidR="006C7078" w:rsidRDefault="006C7078" w:rsidP="000840F3">
            <w:pPr>
              <w:spacing w:after="0"/>
              <w:jc w:val="both"/>
              <w:rPr>
                <w:sz w:val="18"/>
                <w:szCs w:val="18"/>
              </w:rPr>
            </w:pPr>
            <w:r w:rsidRPr="00EE1A30">
              <w:rPr>
                <w:sz w:val="18"/>
                <w:szCs w:val="18"/>
              </w:rPr>
              <w:t>Relative number of groundwater bodies included in operational monitoring and those with significant pressures.</w:t>
            </w:r>
          </w:p>
        </w:tc>
        <w:tc>
          <w:tcPr>
            <w:tcW w:w="2268" w:type="dxa"/>
            <w:shd w:val="clear" w:color="auto" w:fill="auto"/>
          </w:tcPr>
          <w:p w14:paraId="19EFA27B"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19391051" w14:textId="77777777" w:rsidR="006C7078" w:rsidRDefault="006C7078" w:rsidP="000840F3">
            <w:pPr>
              <w:spacing w:after="0"/>
              <w:jc w:val="both"/>
              <w:rPr>
                <w:sz w:val="18"/>
                <w:szCs w:val="18"/>
              </w:rPr>
            </w:pPr>
            <w:r>
              <w:rPr>
                <w:sz w:val="18"/>
                <w:szCs w:val="18"/>
              </w:rPr>
              <w:t>Yes</w:t>
            </w:r>
          </w:p>
        </w:tc>
      </w:tr>
      <w:tr w:rsidR="006C7078" w:rsidRPr="00EE1A30" w14:paraId="18258874" w14:textId="77777777" w:rsidTr="00A1031A">
        <w:trPr>
          <w:cantSplit/>
          <w:trHeight w:val="8"/>
        </w:trPr>
        <w:tc>
          <w:tcPr>
            <w:tcW w:w="445" w:type="dxa"/>
            <w:shd w:val="clear" w:color="auto" w:fill="auto"/>
          </w:tcPr>
          <w:p w14:paraId="055112A8" w14:textId="77777777" w:rsidR="006C7078" w:rsidRDefault="006C7078" w:rsidP="000840F3">
            <w:pPr>
              <w:spacing w:after="0"/>
              <w:jc w:val="both"/>
              <w:rPr>
                <w:sz w:val="18"/>
                <w:szCs w:val="18"/>
              </w:rPr>
            </w:pPr>
            <w:r>
              <w:rPr>
                <w:sz w:val="18"/>
                <w:szCs w:val="18"/>
              </w:rPr>
              <w:t>28</w:t>
            </w:r>
          </w:p>
        </w:tc>
        <w:tc>
          <w:tcPr>
            <w:tcW w:w="1257" w:type="dxa"/>
          </w:tcPr>
          <w:p w14:paraId="124576F3" w14:textId="77777777" w:rsidR="006C7078" w:rsidRPr="00EE1A30" w:rsidRDefault="00993CB5" w:rsidP="000840F3">
            <w:pPr>
              <w:spacing w:after="0"/>
              <w:jc w:val="both"/>
              <w:rPr>
                <w:sz w:val="18"/>
                <w:szCs w:val="18"/>
              </w:rPr>
            </w:pPr>
            <w:r w:rsidRPr="00993CB5">
              <w:rPr>
                <w:sz w:val="18"/>
                <w:szCs w:val="18"/>
              </w:rPr>
              <w:t>Number of monitoring sites per groundwater body for chemical monitoring</w:t>
            </w:r>
          </w:p>
        </w:tc>
        <w:tc>
          <w:tcPr>
            <w:tcW w:w="708" w:type="dxa"/>
            <w:shd w:val="clear" w:color="auto" w:fill="auto"/>
          </w:tcPr>
          <w:p w14:paraId="0DF0F96F" w14:textId="77777777" w:rsidR="006C7078" w:rsidRDefault="006C7078" w:rsidP="000840F3">
            <w:pPr>
              <w:spacing w:after="0"/>
              <w:jc w:val="both"/>
              <w:rPr>
                <w:sz w:val="18"/>
                <w:szCs w:val="18"/>
              </w:rPr>
            </w:pPr>
            <w:r w:rsidRPr="00EE1A30">
              <w:rPr>
                <w:sz w:val="18"/>
                <w:szCs w:val="18"/>
              </w:rPr>
              <w:t>Chart</w:t>
            </w:r>
          </w:p>
        </w:tc>
        <w:tc>
          <w:tcPr>
            <w:tcW w:w="747" w:type="dxa"/>
            <w:shd w:val="clear" w:color="auto" w:fill="auto"/>
          </w:tcPr>
          <w:p w14:paraId="709DD0CB" w14:textId="77777777" w:rsidR="006C7078" w:rsidRDefault="006C7078" w:rsidP="000840F3">
            <w:pPr>
              <w:spacing w:after="0"/>
              <w:jc w:val="both"/>
              <w:rPr>
                <w:sz w:val="18"/>
                <w:szCs w:val="18"/>
              </w:rPr>
            </w:pPr>
            <w:r w:rsidRPr="00EE1A30">
              <w:rPr>
                <w:sz w:val="18"/>
                <w:szCs w:val="18"/>
              </w:rPr>
              <w:t>EU</w:t>
            </w:r>
          </w:p>
        </w:tc>
        <w:tc>
          <w:tcPr>
            <w:tcW w:w="2372" w:type="dxa"/>
            <w:shd w:val="clear" w:color="auto" w:fill="auto"/>
          </w:tcPr>
          <w:p w14:paraId="715FE1CC" w14:textId="77777777" w:rsidR="006C7078" w:rsidRDefault="006C7078" w:rsidP="000840F3">
            <w:pPr>
              <w:spacing w:after="0"/>
              <w:jc w:val="both"/>
              <w:rPr>
                <w:sz w:val="18"/>
                <w:szCs w:val="18"/>
              </w:rPr>
            </w:pPr>
            <w:r w:rsidRPr="00EE1A30">
              <w:rPr>
                <w:sz w:val="18"/>
                <w:szCs w:val="18"/>
              </w:rPr>
              <w:t>Number of groundwater bodies with 0, 1, 2-5, 6-10, and 11 and more monitoring sites for chemical monitoring.</w:t>
            </w:r>
          </w:p>
        </w:tc>
        <w:tc>
          <w:tcPr>
            <w:tcW w:w="2268" w:type="dxa"/>
            <w:shd w:val="clear" w:color="auto" w:fill="auto"/>
          </w:tcPr>
          <w:p w14:paraId="06663816" w14:textId="77777777" w:rsidR="006C7078" w:rsidRDefault="006C7078" w:rsidP="000840F3">
            <w:pPr>
              <w:spacing w:after="0"/>
              <w:jc w:val="both"/>
              <w:rPr>
                <w:sz w:val="18"/>
                <w:szCs w:val="18"/>
              </w:rPr>
            </w:pPr>
            <w:r w:rsidRPr="00EE1A30">
              <w:rPr>
                <w:sz w:val="18"/>
                <w:szCs w:val="18"/>
              </w:rPr>
              <w:t>Aggregation on the basis of the water body information reported at monitoring site level.</w:t>
            </w:r>
          </w:p>
        </w:tc>
        <w:tc>
          <w:tcPr>
            <w:tcW w:w="1115" w:type="dxa"/>
            <w:shd w:val="clear" w:color="auto" w:fill="auto"/>
          </w:tcPr>
          <w:p w14:paraId="1A8269E7" w14:textId="77777777" w:rsidR="006C7078" w:rsidRDefault="006C7078" w:rsidP="000840F3">
            <w:pPr>
              <w:spacing w:after="0"/>
              <w:jc w:val="both"/>
              <w:rPr>
                <w:sz w:val="18"/>
                <w:szCs w:val="18"/>
              </w:rPr>
            </w:pPr>
            <w:r>
              <w:rPr>
                <w:sz w:val="18"/>
                <w:szCs w:val="18"/>
              </w:rPr>
              <w:t>Yes</w:t>
            </w:r>
          </w:p>
        </w:tc>
      </w:tr>
      <w:tr w:rsidR="006C7078" w:rsidRPr="00EE1A30" w14:paraId="0D10D2B0" w14:textId="77777777" w:rsidTr="00A1031A">
        <w:trPr>
          <w:cantSplit/>
          <w:trHeight w:val="3288"/>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2F09331" w14:textId="77777777" w:rsidR="006C7078" w:rsidRDefault="006C7078" w:rsidP="000840F3">
            <w:pPr>
              <w:spacing w:after="0"/>
              <w:jc w:val="both"/>
              <w:rPr>
                <w:sz w:val="18"/>
                <w:szCs w:val="18"/>
              </w:rPr>
            </w:pPr>
            <w:r>
              <w:rPr>
                <w:sz w:val="18"/>
                <w:szCs w:val="18"/>
              </w:rPr>
              <w:t>29</w:t>
            </w:r>
          </w:p>
        </w:tc>
        <w:tc>
          <w:tcPr>
            <w:tcW w:w="1257" w:type="dxa"/>
            <w:tcBorders>
              <w:top w:val="single" w:sz="4" w:space="0" w:color="auto"/>
              <w:left w:val="single" w:sz="4" w:space="0" w:color="auto"/>
              <w:bottom w:val="single" w:sz="4" w:space="0" w:color="auto"/>
              <w:right w:val="single" w:sz="4" w:space="0" w:color="auto"/>
            </w:tcBorders>
          </w:tcPr>
          <w:p w14:paraId="124BC2D4" w14:textId="77777777" w:rsidR="006C7078" w:rsidRPr="00EE1A30" w:rsidRDefault="00A1031A" w:rsidP="000840F3">
            <w:pPr>
              <w:spacing w:after="0"/>
              <w:jc w:val="both"/>
              <w:rPr>
                <w:sz w:val="18"/>
                <w:szCs w:val="18"/>
              </w:rPr>
            </w:pPr>
            <w:r w:rsidRPr="00A1031A">
              <w:rPr>
                <w:sz w:val="18"/>
                <w:szCs w:val="18"/>
              </w:rPr>
              <w:t>Trend in median (a) total ammonium, (b) total phosphorus and (c) nitrate concentration of river water bodies, grouped by ecological status/poten</w:t>
            </w:r>
            <w:r w:rsidR="00CB79D2">
              <w:rPr>
                <w:sz w:val="18"/>
                <w:szCs w:val="18"/>
              </w:rPr>
              <w:t>-</w:t>
            </w:r>
            <w:r w:rsidRPr="00A1031A">
              <w:rPr>
                <w:sz w:val="18"/>
                <w:szCs w:val="18"/>
              </w:rPr>
              <w:t>tial class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7DF470" w14:textId="77777777" w:rsidR="006C7078" w:rsidRDefault="006C7078" w:rsidP="000840F3">
            <w:pPr>
              <w:spacing w:after="0"/>
              <w:jc w:val="both"/>
              <w:rPr>
                <w:sz w:val="18"/>
                <w:szCs w:val="18"/>
              </w:rPr>
            </w:pPr>
            <w:r w:rsidRPr="00EE1A30">
              <w:rPr>
                <w:sz w:val="18"/>
                <w:szCs w:val="18"/>
              </w:rPr>
              <w:t>Chart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E175A16" w14:textId="77777777" w:rsidR="006C7078" w:rsidRDefault="006C7078" w:rsidP="000840F3">
            <w:pPr>
              <w:spacing w:after="0"/>
              <w:jc w:val="both"/>
              <w:rPr>
                <w:sz w:val="18"/>
                <w:szCs w:val="18"/>
              </w:rPr>
            </w:pPr>
            <w:r w:rsidRPr="00EE1A30">
              <w:rPr>
                <w:sz w:val="18"/>
                <w:szCs w:val="18"/>
              </w:rPr>
              <w:t>EU</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00E7B8F7" w14:textId="77777777" w:rsidR="006C7078" w:rsidRDefault="006C7078" w:rsidP="000840F3">
            <w:pPr>
              <w:spacing w:after="0"/>
              <w:jc w:val="both"/>
              <w:rPr>
                <w:sz w:val="18"/>
                <w:szCs w:val="18"/>
              </w:rPr>
            </w:pPr>
            <w:r w:rsidRPr="00EE1A30">
              <w:rPr>
                <w:sz w:val="18"/>
                <w:szCs w:val="18"/>
              </w:rPr>
              <w:t>WFD water body information linked with WISE-SoE long time series data on water quality in rivers for (a) total ammonium, (b) total phosphorus and (c) nitrate concentration. The trend in water quality is presented for each ecological class and extrapolated to 2027 to illustrate if water bodies of moderate to poor ecological status will approach high or good ecological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AF8D55" w14:textId="77777777" w:rsidR="006C7078" w:rsidRDefault="006C7078" w:rsidP="000840F3">
            <w:pPr>
              <w:spacing w:after="0"/>
              <w:jc w:val="both"/>
              <w:rPr>
                <w:sz w:val="18"/>
                <w:szCs w:val="18"/>
              </w:rPr>
            </w:pPr>
            <w:r w:rsidRPr="00EE1A30">
              <w:rPr>
                <w:sz w:val="18"/>
                <w:szCs w:val="18"/>
              </w:rPr>
              <w:t>Aggregation on the basis of the information reported at water body level combined with information on river water quality from the WISE-SoE database.</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DCDD928" w14:textId="77777777" w:rsidR="006C7078" w:rsidRPr="00DD6DEC" w:rsidRDefault="006C7078" w:rsidP="000840F3">
            <w:pPr>
              <w:spacing w:after="0"/>
              <w:jc w:val="both"/>
              <w:rPr>
                <w:sz w:val="18"/>
                <w:szCs w:val="18"/>
              </w:rPr>
            </w:pPr>
            <w:r>
              <w:rPr>
                <w:sz w:val="18"/>
                <w:szCs w:val="18"/>
              </w:rPr>
              <w:t>Yes</w:t>
            </w:r>
          </w:p>
        </w:tc>
      </w:tr>
    </w:tbl>
    <w:p w14:paraId="596F66DA" w14:textId="77777777" w:rsidR="002F2826" w:rsidRPr="00EE1A30" w:rsidRDefault="002F2826" w:rsidP="000840F3">
      <w:pPr>
        <w:jc w:val="both"/>
        <w:rPr>
          <w:sz w:val="20"/>
        </w:rPr>
      </w:pPr>
      <w:r w:rsidRPr="00EE1A30">
        <w:rPr>
          <w:b/>
          <w:sz w:val="20"/>
        </w:rPr>
        <w:t>Notes:</w:t>
      </w:r>
      <w:r w:rsidRPr="00EE1A30">
        <w:rPr>
          <w:sz w:val="20"/>
        </w:rPr>
        <w:t xml:space="preserve"> * Scale of information: EU = European; MS = National, Member State; RBD = River Basin District; SU = Sub-unit; WB = water body; Site = monitoring site</w:t>
      </w:r>
    </w:p>
    <w:p w14:paraId="21C9ACE3" w14:textId="77777777" w:rsidR="009948C0" w:rsidRPr="00A8624D" w:rsidRDefault="009948C0" w:rsidP="000840F3">
      <w:pPr>
        <w:jc w:val="both"/>
      </w:pPr>
      <w:r w:rsidRPr="00EE1A30">
        <w:t>Example o</w:t>
      </w:r>
      <w:r w:rsidR="0049545A">
        <w:t>f</w:t>
      </w:r>
      <w:r w:rsidRPr="00EE1A30">
        <w:t xml:space="preserve"> combining water quality results with information on ecological status and potential – more examples are available in ETC/ICM 2012</w:t>
      </w:r>
      <w:r w:rsidRPr="00DD6DEC">
        <w:rPr>
          <w:rStyle w:val="Refdenotaalpie"/>
        </w:rPr>
        <w:footnoteReference w:id="5"/>
      </w:r>
      <w:r w:rsidRPr="00DD6DEC">
        <w:t>.</w:t>
      </w:r>
      <w:r w:rsidR="00E7042F" w:rsidRPr="00851B21">
        <w:t xml:space="preserve"> </w:t>
      </w:r>
    </w:p>
    <w:p w14:paraId="50FA4553" w14:textId="77777777" w:rsidR="009948C0" w:rsidRPr="00DD6DEC" w:rsidDel="00DA21CB" w:rsidRDefault="006F25ED" w:rsidP="000840F3">
      <w:pPr>
        <w:pStyle w:val="Descripcin"/>
        <w:jc w:val="both"/>
      </w:pPr>
      <w:r w:rsidRPr="006F25ED">
        <w:t xml:space="preserve">Figure </w:t>
      </w:r>
      <w:r w:rsidR="00772732" w:rsidRPr="006F25ED" w:rsidDel="00DA21CB">
        <w:fldChar w:fldCharType="begin"/>
      </w:r>
      <w:r w:rsidRPr="006F25ED">
        <w:instrText xml:space="preserve"> SEQ Figure \* ARABIC </w:instrText>
      </w:r>
      <w:r w:rsidR="00772732" w:rsidRPr="006F25ED" w:rsidDel="00DA21CB">
        <w:fldChar w:fldCharType="separate"/>
      </w:r>
      <w:r w:rsidR="00F66939">
        <w:rPr>
          <w:noProof/>
        </w:rPr>
        <w:t>3</w:t>
      </w:r>
      <w:r w:rsidR="00772732" w:rsidRPr="006F25ED" w:rsidDel="00DA21CB">
        <w:rPr>
          <w:noProof/>
        </w:rPr>
        <w:fldChar w:fldCharType="end"/>
      </w:r>
      <w:r w:rsidRPr="006F25ED">
        <w:tab/>
        <w:t>Rivers: Concentration range (1st quartile, median and 3rd quartile) of annual average nutrient concentrations in river water bodies in different classes of ecological status or potential (high to bad)</w:t>
      </w:r>
    </w:p>
    <w:p w14:paraId="2C425838" w14:textId="77777777" w:rsidR="009948C0" w:rsidRPr="00DD6DEC" w:rsidRDefault="006B23D0" w:rsidP="000840F3">
      <w:pPr>
        <w:jc w:val="both"/>
        <w:rPr>
          <w:noProof/>
          <w:lang w:eastAsia="en-GB"/>
        </w:rPr>
      </w:pPr>
      <w:r w:rsidRPr="00DD6DEC">
        <w:rPr>
          <w:noProof/>
          <w:lang w:val="es-ES" w:eastAsia="es-ES"/>
        </w:rPr>
        <w:lastRenderedPageBreak/>
        <w:drawing>
          <wp:inline distT="0" distB="0" distL="0" distR="0" wp14:anchorId="7CF8E8E1" wp14:editId="740AE8B6">
            <wp:extent cx="5724525" cy="22733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273300"/>
                    </a:xfrm>
                    <a:prstGeom prst="rect">
                      <a:avLst/>
                    </a:prstGeom>
                    <a:noFill/>
                    <a:ln>
                      <a:noFill/>
                    </a:ln>
                  </pic:spPr>
                </pic:pic>
              </a:graphicData>
            </a:graphic>
          </wp:inline>
        </w:drawing>
      </w:r>
    </w:p>
    <w:p w14:paraId="083F38BC" w14:textId="77777777" w:rsidR="009948C0" w:rsidRPr="00EE1A30" w:rsidRDefault="009948C0" w:rsidP="000840F3">
      <w:pPr>
        <w:jc w:val="both"/>
        <w:rPr>
          <w:sz w:val="20"/>
        </w:rPr>
      </w:pPr>
      <w:r w:rsidRPr="00851B21">
        <w:rPr>
          <w:b/>
          <w:sz w:val="20"/>
        </w:rPr>
        <w:t>Notes:</w:t>
      </w:r>
      <w:r w:rsidRPr="00A8624D">
        <w:rPr>
          <w:sz w:val="20"/>
        </w:rPr>
        <w:t xml:space="preserve"> Average of mean annual water quality concentration values over the years 2005-201</w:t>
      </w:r>
      <w:r w:rsidRPr="0071782C">
        <w:rPr>
          <w:sz w:val="20"/>
        </w:rPr>
        <w:t xml:space="preserve">0. Based on results from 3368 </w:t>
      </w:r>
      <w:r w:rsidR="004A489A" w:rsidRPr="00EE1A30">
        <w:rPr>
          <w:sz w:val="20"/>
        </w:rPr>
        <w:t xml:space="preserve">WISE-SoE </w:t>
      </w:r>
      <w:r w:rsidRPr="00EE1A30">
        <w:rPr>
          <w:sz w:val="20"/>
        </w:rPr>
        <w:t xml:space="preserve">river </w:t>
      </w:r>
      <w:r w:rsidR="004A489A" w:rsidRPr="00EE1A30">
        <w:rPr>
          <w:sz w:val="20"/>
        </w:rPr>
        <w:t>monitoring sites</w:t>
      </w:r>
      <w:r w:rsidRPr="00EE1A30">
        <w:rPr>
          <w:sz w:val="20"/>
        </w:rPr>
        <w:t xml:space="preserve"> in 16 Member States, dominated by river </w:t>
      </w:r>
      <w:r w:rsidR="004A489A" w:rsidRPr="00EE1A30">
        <w:rPr>
          <w:sz w:val="20"/>
        </w:rPr>
        <w:t>monitoring sites</w:t>
      </w:r>
      <w:r w:rsidRPr="00EE1A30">
        <w:rPr>
          <w:sz w:val="20"/>
        </w:rPr>
        <w:t xml:space="preserve"> in France (1416 </w:t>
      </w:r>
      <w:r w:rsidR="004A489A" w:rsidRPr="00EE1A30">
        <w:rPr>
          <w:sz w:val="20"/>
        </w:rPr>
        <w:t>sites</w:t>
      </w:r>
      <w:r w:rsidRPr="00EE1A30">
        <w:rPr>
          <w:sz w:val="20"/>
        </w:rPr>
        <w:t xml:space="preserve">) and the UK (555 </w:t>
      </w:r>
      <w:r w:rsidR="004A489A" w:rsidRPr="00EE1A30">
        <w:rPr>
          <w:sz w:val="20"/>
        </w:rPr>
        <w:t>sites</w:t>
      </w:r>
      <w:r w:rsidRPr="00EE1A30">
        <w:rPr>
          <w:sz w:val="20"/>
        </w:rPr>
        <w:t>).</w:t>
      </w:r>
    </w:p>
    <w:p w14:paraId="7C703658" w14:textId="77777777" w:rsidR="00A616F4" w:rsidRPr="00EE1A30" w:rsidRDefault="006F25ED" w:rsidP="000840F3">
      <w:pPr>
        <w:pStyle w:val="Ttulo2"/>
        <w:jc w:val="both"/>
      </w:pPr>
      <w:bookmarkStart w:id="25" w:name="_Toc386464226"/>
      <w:bookmarkStart w:id="26" w:name="_Toc425522053"/>
      <w:bookmarkStart w:id="27" w:name="_Toc430961561"/>
      <w:bookmarkStart w:id="28" w:name="_Toc433807986"/>
      <w:r w:rsidRPr="006F25ED">
        <w:t>Contents of the 2016 reporting</w:t>
      </w:r>
      <w:bookmarkEnd w:id="19"/>
      <w:bookmarkEnd w:id="25"/>
      <w:bookmarkEnd w:id="26"/>
      <w:bookmarkEnd w:id="27"/>
      <w:bookmarkEnd w:id="28"/>
      <w:r w:rsidRPr="006F25ED">
        <w:t xml:space="preserve"> </w:t>
      </w:r>
    </w:p>
    <w:p w14:paraId="77E1DB0E" w14:textId="77777777" w:rsidR="009948C0" w:rsidRPr="00EE1A30" w:rsidRDefault="009948C0" w:rsidP="000840F3">
      <w:pPr>
        <w:jc w:val="both"/>
      </w:pPr>
      <w:r w:rsidRPr="00EE1A30">
        <w:t xml:space="preserve">The data and information </w:t>
      </w:r>
      <w:r w:rsidR="00CB02C6" w:rsidRPr="00EE1A30">
        <w:t xml:space="preserve">on monitoring </w:t>
      </w:r>
      <w:r w:rsidRPr="00EE1A30">
        <w:t xml:space="preserve">to be reported </w:t>
      </w:r>
      <w:r w:rsidR="00CB02C6" w:rsidRPr="00EE1A30">
        <w:t xml:space="preserve">under Article 8 of the WFD </w:t>
      </w:r>
      <w:r w:rsidR="004A489A" w:rsidRPr="00EE1A30">
        <w:t>include</w:t>
      </w:r>
      <w:r w:rsidRPr="00EE1A30">
        <w:t xml:space="preserve"> a description of the monitoring s</w:t>
      </w:r>
      <w:r w:rsidR="004A489A" w:rsidRPr="00EE1A30">
        <w:t>ites</w:t>
      </w:r>
      <w:r w:rsidR="00CB02C6" w:rsidRPr="00EE1A30">
        <w:t xml:space="preserve">, </w:t>
      </w:r>
      <w:r w:rsidRPr="00EE1A30">
        <w:t>a specification of the different QEs and chemical substances monitored</w:t>
      </w:r>
      <w:r w:rsidR="004A489A" w:rsidRPr="00EE1A30">
        <w:t xml:space="preserve"> </w:t>
      </w:r>
      <w:r w:rsidRPr="00EE1A30">
        <w:t xml:space="preserve">at </w:t>
      </w:r>
      <w:r w:rsidR="004A489A" w:rsidRPr="00EE1A30">
        <w:t>each site</w:t>
      </w:r>
      <w:r w:rsidR="00CB02C6" w:rsidRPr="00EE1A30">
        <w:t>, and information relating to the associated monitoring programmes</w:t>
      </w:r>
      <w:r w:rsidRPr="00EE1A30">
        <w:t>.</w:t>
      </w:r>
    </w:p>
    <w:p w14:paraId="2E9DA97D" w14:textId="77777777" w:rsidR="009948C0" w:rsidRPr="00EE1A30" w:rsidRDefault="00FD7F29" w:rsidP="000840F3">
      <w:pPr>
        <w:jc w:val="both"/>
      </w:pPr>
      <w:r>
        <w:fldChar w:fldCharType="begin"/>
      </w:r>
      <w:r>
        <w:instrText xml:space="preserve"> REF _Ref385340210 \h  \* MERGEFORMAT </w:instrText>
      </w:r>
      <w:r>
        <w:fldChar w:fldCharType="separate"/>
      </w:r>
      <w:r w:rsidR="00F66939" w:rsidRPr="006F25ED">
        <w:t xml:space="preserve">Figure </w:t>
      </w:r>
      <w:r w:rsidR="00F66939">
        <w:t>4</w:t>
      </w:r>
      <w:r>
        <w:fldChar w:fldCharType="end"/>
      </w:r>
      <w:r w:rsidR="009948C0" w:rsidRPr="00DD6DEC">
        <w:t xml:space="preserve"> presents a conceptual overview of </w:t>
      </w:r>
      <w:r w:rsidR="004A489A" w:rsidRPr="00851B21">
        <w:t xml:space="preserve">the monitoring data </w:t>
      </w:r>
      <w:r w:rsidR="009948C0" w:rsidRPr="00A8624D">
        <w:t>report</w:t>
      </w:r>
      <w:r w:rsidR="004A489A" w:rsidRPr="0071782C">
        <w:t>ed under the</w:t>
      </w:r>
      <w:r w:rsidR="009948C0" w:rsidRPr="00587683">
        <w:t xml:space="preserve"> WFD and </w:t>
      </w:r>
      <w:r w:rsidR="004A489A" w:rsidRPr="00587683">
        <w:t xml:space="preserve">the </w:t>
      </w:r>
      <w:r w:rsidR="009948C0" w:rsidRPr="00EE1A30">
        <w:t xml:space="preserve">monitoring results </w:t>
      </w:r>
      <w:r w:rsidR="004A489A" w:rsidRPr="00EE1A30">
        <w:t xml:space="preserve">reported </w:t>
      </w:r>
      <w:r w:rsidR="009948C0" w:rsidRPr="00EE1A30">
        <w:t xml:space="preserve">to </w:t>
      </w:r>
      <w:r w:rsidR="004A489A" w:rsidRPr="00EE1A30">
        <w:t xml:space="preserve">the </w:t>
      </w:r>
      <w:r w:rsidR="009948C0" w:rsidRPr="00EE1A30">
        <w:t xml:space="preserve">EEA </w:t>
      </w:r>
      <w:r w:rsidR="004A489A" w:rsidRPr="00EE1A30">
        <w:t>(</w:t>
      </w:r>
      <w:r w:rsidR="009948C0" w:rsidRPr="00EE1A30">
        <w:t>WISE</w:t>
      </w:r>
      <w:r w:rsidR="004A489A" w:rsidRPr="00EE1A30">
        <w:t>-</w:t>
      </w:r>
      <w:r w:rsidR="009948C0" w:rsidRPr="00EE1A30">
        <w:t>S</w:t>
      </w:r>
      <w:r w:rsidR="004A489A" w:rsidRPr="00EE1A30">
        <w:t>o</w:t>
      </w:r>
      <w:r w:rsidR="009948C0" w:rsidRPr="00EE1A30">
        <w:t>E</w:t>
      </w:r>
      <w:r w:rsidR="004A489A" w:rsidRPr="00EE1A30">
        <w:t>)</w:t>
      </w:r>
      <w:r w:rsidR="009948C0" w:rsidRPr="00EE1A30">
        <w:t>. In both reporting streams</w:t>
      </w:r>
      <w:r w:rsidR="004A489A" w:rsidRPr="00EE1A30">
        <w:t>,</w:t>
      </w:r>
      <w:r w:rsidR="009948C0" w:rsidRPr="00EE1A30">
        <w:t xml:space="preserve"> the monitoring s</w:t>
      </w:r>
      <w:r w:rsidR="004A489A" w:rsidRPr="00EE1A30">
        <w:t>ites</w:t>
      </w:r>
      <w:r w:rsidR="009948C0" w:rsidRPr="00EE1A30">
        <w:t xml:space="preserve"> have </w:t>
      </w:r>
      <w:r w:rsidR="00D11D91">
        <w:t>a</w:t>
      </w:r>
      <w:r w:rsidR="004A489A" w:rsidRPr="00EE1A30">
        <w:t xml:space="preserve"> unique </w:t>
      </w:r>
      <w:r w:rsidR="009948C0" w:rsidRPr="00EE1A30">
        <w:t>s</w:t>
      </w:r>
      <w:r w:rsidR="004A489A" w:rsidRPr="00EE1A30">
        <w:t xml:space="preserve">ite </w:t>
      </w:r>
      <w:r w:rsidR="009948C0" w:rsidRPr="00EE1A30">
        <w:t>code</w:t>
      </w:r>
      <w:r w:rsidR="00D11D91">
        <w:t>, which allows the information to be joined with the spatial data and additional information reported in the common WISE Spatial Data reporting flow.</w:t>
      </w:r>
    </w:p>
    <w:p w14:paraId="717BEE8F" w14:textId="77777777" w:rsidR="009948C0" w:rsidRPr="00DD6DEC" w:rsidRDefault="006F25ED" w:rsidP="000840F3">
      <w:pPr>
        <w:pStyle w:val="Descripcin"/>
        <w:jc w:val="both"/>
      </w:pPr>
      <w:bookmarkStart w:id="29" w:name="_Ref385340210"/>
      <w:r w:rsidRPr="006F25ED">
        <w:t xml:space="preserve">Figure </w:t>
      </w:r>
      <w:r w:rsidR="00772732">
        <w:fldChar w:fldCharType="begin"/>
      </w:r>
      <w:r w:rsidR="006C7F95">
        <w:instrText xml:space="preserve"> SEQ Figure \* ARABIC </w:instrText>
      </w:r>
      <w:r w:rsidR="00772732">
        <w:fldChar w:fldCharType="separate"/>
      </w:r>
      <w:r w:rsidR="00F66939">
        <w:rPr>
          <w:noProof/>
        </w:rPr>
        <w:t>4</w:t>
      </w:r>
      <w:r w:rsidR="00772732">
        <w:rPr>
          <w:noProof/>
        </w:rPr>
        <w:fldChar w:fldCharType="end"/>
      </w:r>
      <w:bookmarkEnd w:id="29"/>
      <w:r w:rsidRPr="006F25ED">
        <w:t>:</w:t>
      </w:r>
      <w:r w:rsidR="009948C0" w:rsidRPr="00DD6DEC">
        <w:t xml:space="preserve"> Conceptual overview of reporting of WFD monitoring metadata (Article 8) and reporting monitoring results to EEA WISE </w:t>
      </w:r>
      <w:r w:rsidR="00D11D91" w:rsidRPr="00DD6DEC">
        <w:t>S</w:t>
      </w:r>
      <w:r w:rsidR="00D11D91">
        <w:t>o</w:t>
      </w:r>
      <w:r w:rsidR="00D11D91" w:rsidRPr="00DD6DEC">
        <w:t xml:space="preserve">E </w:t>
      </w:r>
    </w:p>
    <w:p w14:paraId="3A7BCF19" w14:textId="77777777" w:rsidR="009948C0" w:rsidRPr="00DD6DEC" w:rsidRDefault="00D11D91" w:rsidP="000840F3">
      <w:pPr>
        <w:pStyle w:val="Descripcin"/>
        <w:jc w:val="both"/>
      </w:pPr>
      <w:r>
        <w:rPr>
          <w:noProof/>
          <w:lang w:val="es-ES" w:eastAsia="es-ES"/>
        </w:rPr>
        <w:drawing>
          <wp:inline distT="0" distB="0" distL="0" distR="0" wp14:anchorId="565FA6E8" wp14:editId="2E92F0C4">
            <wp:extent cx="6286500" cy="3141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042" cy="3148637"/>
                    </a:xfrm>
                    <a:prstGeom prst="rect">
                      <a:avLst/>
                    </a:prstGeom>
                    <a:noFill/>
                  </pic:spPr>
                </pic:pic>
              </a:graphicData>
            </a:graphic>
          </wp:inline>
        </w:drawing>
      </w:r>
    </w:p>
    <w:p w14:paraId="3AC4C22E" w14:textId="77777777" w:rsidR="009948C0" w:rsidRPr="00DD6DEC" w:rsidRDefault="009948C0" w:rsidP="000840F3">
      <w:pPr>
        <w:jc w:val="both"/>
        <w:rPr>
          <w:noProof/>
          <w:lang w:eastAsia="en-GB"/>
        </w:rPr>
      </w:pPr>
    </w:p>
    <w:p w14:paraId="295A3F38" w14:textId="77777777" w:rsidR="009948C0" w:rsidRPr="0071782C" w:rsidRDefault="009948C0" w:rsidP="000840F3">
      <w:pPr>
        <w:jc w:val="both"/>
      </w:pPr>
      <w:r w:rsidRPr="00851B21">
        <w:rPr>
          <w:b/>
        </w:rPr>
        <w:t>Member States are expe</w:t>
      </w:r>
      <w:r w:rsidRPr="00A8624D">
        <w:rPr>
          <w:b/>
        </w:rPr>
        <w:t xml:space="preserve">cted to report to EEA </w:t>
      </w:r>
      <w:r w:rsidR="00D11D91">
        <w:rPr>
          <w:b/>
        </w:rPr>
        <w:t>WISE SoE</w:t>
      </w:r>
      <w:r w:rsidRPr="00A8624D">
        <w:rPr>
          <w:b/>
        </w:rPr>
        <w:t>:</w:t>
      </w:r>
    </w:p>
    <w:p w14:paraId="06381F63" w14:textId="77777777" w:rsidR="009948C0" w:rsidRPr="00EE1A30" w:rsidRDefault="009948C0" w:rsidP="000840F3">
      <w:pPr>
        <w:numPr>
          <w:ilvl w:val="0"/>
          <w:numId w:val="3"/>
        </w:numPr>
        <w:jc w:val="both"/>
      </w:pPr>
      <w:r w:rsidRPr="00EE1A30">
        <w:lastRenderedPageBreak/>
        <w:t>Water quality results incl</w:t>
      </w:r>
      <w:r w:rsidR="00E7042F" w:rsidRPr="00EE1A30">
        <w:t>uding P</w:t>
      </w:r>
      <w:r w:rsidRPr="00EE1A30">
        <w:t xml:space="preserve">riority </w:t>
      </w:r>
      <w:r w:rsidR="00E7042F" w:rsidRPr="00EE1A30">
        <w:t>S</w:t>
      </w:r>
      <w:r w:rsidRPr="00EE1A30">
        <w:t xml:space="preserve">ubstances and </w:t>
      </w:r>
      <w:r w:rsidR="00E7042F" w:rsidRPr="00EE1A30">
        <w:t>R</w:t>
      </w:r>
      <w:r w:rsidRPr="00EE1A30">
        <w:t xml:space="preserve">iver </w:t>
      </w:r>
      <w:r w:rsidR="00E7042F" w:rsidRPr="00EE1A30">
        <w:t>B</w:t>
      </w:r>
      <w:r w:rsidRPr="00EE1A30">
        <w:t xml:space="preserve">asin </w:t>
      </w:r>
      <w:r w:rsidR="00E7042F" w:rsidRPr="00EE1A30">
        <w:t>S</w:t>
      </w:r>
      <w:r w:rsidRPr="00EE1A30">
        <w:t xml:space="preserve">pecific </w:t>
      </w:r>
      <w:r w:rsidR="00E7042F" w:rsidRPr="00EE1A30">
        <w:t>P</w:t>
      </w:r>
      <w:r w:rsidRPr="00EE1A30">
        <w:t>ollutants to EEAs Waterbases on groundwater, rivers, lakes, transitional waters and coastal waters</w:t>
      </w:r>
    </w:p>
    <w:p w14:paraId="3218DCDA" w14:textId="77777777" w:rsidR="009948C0" w:rsidRPr="00EE1A30" w:rsidRDefault="009948C0" w:rsidP="000840F3">
      <w:pPr>
        <w:numPr>
          <w:ilvl w:val="0"/>
          <w:numId w:val="3"/>
        </w:numPr>
        <w:jc w:val="both"/>
      </w:pPr>
      <w:r w:rsidRPr="00EE1A30">
        <w:t>Results from monitoring Biological Quality Elements to EEAs Waterbases on rivers, lakes, transitional waters and coastal waters</w:t>
      </w:r>
    </w:p>
    <w:p w14:paraId="7EDD6066" w14:textId="77777777" w:rsidR="009948C0" w:rsidRPr="00EE1A30" w:rsidRDefault="009948C0" w:rsidP="000840F3">
      <w:pPr>
        <w:jc w:val="both"/>
      </w:pPr>
      <w:r w:rsidRPr="00EE1A30">
        <w:t xml:space="preserve">The reporting requirements are further described </w:t>
      </w:r>
      <w:r w:rsidR="00AF2BEF">
        <w:t>in</w:t>
      </w:r>
      <w:r w:rsidR="0049545A">
        <w:t xml:space="preserve"> the Reporting Obligations Database (ROD)</w:t>
      </w:r>
      <w:r w:rsidR="0049545A">
        <w:rPr>
          <w:rStyle w:val="Refdenotaalpie"/>
        </w:rPr>
        <w:footnoteReference w:id="6"/>
      </w:r>
      <w:r w:rsidR="00AF2BEF">
        <w:t xml:space="preserve"> </w:t>
      </w:r>
    </w:p>
    <w:p w14:paraId="0DC814A8" w14:textId="77777777" w:rsidR="009948C0" w:rsidRPr="00EE1A30" w:rsidRDefault="00A548FF" w:rsidP="000840F3">
      <w:pPr>
        <w:jc w:val="both"/>
      </w:pPr>
      <w:r>
        <w:t xml:space="preserve">The information reported under the WISE Spatial Data flow provides the common reference spatial data sets for monitoring sites and water bodies. This information is shered across thematic data </w:t>
      </w:r>
      <w:r w:rsidR="00BA6A8C" w:rsidRPr="00EE1A30">
        <w:t xml:space="preserve">to ensure </w:t>
      </w:r>
      <w:r w:rsidR="009948C0" w:rsidRPr="00EE1A30">
        <w:t>consistency between the different water related directives (WFD, NiD, UWWT, Bathing Water) and WISE</w:t>
      </w:r>
      <w:r w:rsidR="00BA6A8C" w:rsidRPr="00EE1A30">
        <w:t>-</w:t>
      </w:r>
      <w:r w:rsidR="009948C0" w:rsidRPr="00EE1A30">
        <w:t>SoE.</w:t>
      </w:r>
    </w:p>
    <w:p w14:paraId="4FCD1E36" w14:textId="77777777" w:rsidR="00A616F4" w:rsidRDefault="000227D0" w:rsidP="0010226A">
      <w:pPr>
        <w:pStyle w:val="Ttulo3"/>
      </w:pPr>
      <w:r w:rsidRPr="00EE1A30">
        <w:t xml:space="preserve">Schema </w:t>
      </w:r>
      <w:r w:rsidR="00AF3BE8" w:rsidRPr="00EE1A30">
        <w:t>s</w:t>
      </w:r>
      <w:r w:rsidRPr="00EE1A30">
        <w:t>ketch</w:t>
      </w:r>
    </w:p>
    <w:p w14:paraId="0B0CEBC4" w14:textId="77777777" w:rsidR="00946613" w:rsidRPr="00946613" w:rsidRDefault="00946613" w:rsidP="000840F3">
      <w:pPr>
        <w:jc w:val="both"/>
      </w:pPr>
      <w:r>
        <w:t>See Annex 10.</w:t>
      </w:r>
      <w:r w:rsidR="00695C74">
        <w:t>4.</w:t>
      </w:r>
    </w:p>
    <w:p w14:paraId="09BD7222" w14:textId="77777777" w:rsidR="000227D0" w:rsidRPr="00EE1A30" w:rsidRDefault="000227D0" w:rsidP="0010226A">
      <w:pPr>
        <w:pStyle w:val="Ttulo3"/>
      </w:pPr>
      <w:bookmarkStart w:id="30" w:name="_Ref382300197"/>
      <w:r w:rsidRPr="00EE1A30">
        <w:t>Data and information to be reported using the schemas</w:t>
      </w:r>
      <w:bookmarkEnd w:id="30"/>
    </w:p>
    <w:p w14:paraId="43D0311B" w14:textId="77777777" w:rsidR="00695C74" w:rsidRPr="00EE1A30" w:rsidRDefault="00695C74" w:rsidP="000840F3">
      <w:pPr>
        <w:jc w:val="both"/>
      </w:pPr>
      <w:r w:rsidRPr="00EE1A30">
        <w:t>Information regarding monitoring programmes should be reported at RBD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95C74" w:rsidRPr="00EE1A30" w14:paraId="75E44536" w14:textId="77777777" w:rsidTr="003F0806">
        <w:tc>
          <w:tcPr>
            <w:tcW w:w="9847" w:type="dxa"/>
            <w:shd w:val="clear" w:color="auto" w:fill="auto"/>
          </w:tcPr>
          <w:p w14:paraId="24F8BFD6" w14:textId="77777777" w:rsidR="00695C74" w:rsidRPr="00EE1A30" w:rsidRDefault="00695C74" w:rsidP="000840F3">
            <w:pPr>
              <w:spacing w:after="120"/>
              <w:jc w:val="both"/>
              <w:rPr>
                <w:b/>
                <w:szCs w:val="24"/>
              </w:rPr>
            </w:pPr>
            <w:r>
              <w:rPr>
                <w:b/>
                <w:szCs w:val="24"/>
              </w:rPr>
              <w:t>Schema: Monitoring</w:t>
            </w:r>
          </w:p>
        </w:tc>
      </w:tr>
      <w:tr w:rsidR="00695C74" w:rsidRPr="00EE1A30" w14:paraId="2595E309" w14:textId="77777777" w:rsidTr="003F0806">
        <w:tc>
          <w:tcPr>
            <w:tcW w:w="9847" w:type="dxa"/>
            <w:shd w:val="clear" w:color="auto" w:fill="auto"/>
          </w:tcPr>
          <w:p w14:paraId="51402BF7" w14:textId="77777777" w:rsidR="00695C74" w:rsidRDefault="00695C74" w:rsidP="000840F3">
            <w:pPr>
              <w:spacing w:after="120"/>
              <w:jc w:val="both"/>
              <w:rPr>
                <w:b/>
                <w:i/>
                <w:szCs w:val="24"/>
              </w:rPr>
            </w:pPr>
            <w:r>
              <w:rPr>
                <w:b/>
                <w:i/>
                <w:szCs w:val="24"/>
              </w:rPr>
              <w:t>Class: Programme</w:t>
            </w:r>
          </w:p>
          <w:p w14:paraId="25E38C9B" w14:textId="77777777" w:rsidR="00695C74" w:rsidRPr="00695C74" w:rsidRDefault="00695C74" w:rsidP="000840F3">
            <w:pPr>
              <w:spacing w:after="120"/>
              <w:jc w:val="both"/>
              <w:rPr>
                <w:i/>
                <w:szCs w:val="24"/>
              </w:rPr>
            </w:pPr>
            <w:r>
              <w:rPr>
                <w:b/>
                <w:i/>
                <w:szCs w:val="24"/>
              </w:rPr>
              <w:t>Properties</w:t>
            </w:r>
            <w:r>
              <w:rPr>
                <w:i/>
                <w:szCs w:val="24"/>
              </w:rPr>
              <w:t>: maxOccurs</w:t>
            </w:r>
            <w:r w:rsidR="003042C5">
              <w:rPr>
                <w:i/>
                <w:szCs w:val="24"/>
              </w:rPr>
              <w:t xml:space="preserve"> </w:t>
            </w:r>
            <w:r>
              <w:rPr>
                <w:i/>
                <w:szCs w:val="24"/>
              </w:rPr>
              <w:t>= unbounded minOccurs</w:t>
            </w:r>
            <w:r w:rsidR="003042C5">
              <w:rPr>
                <w:i/>
                <w:szCs w:val="24"/>
              </w:rPr>
              <w:t xml:space="preserve"> </w:t>
            </w:r>
            <w:r>
              <w:rPr>
                <w:i/>
                <w:szCs w:val="24"/>
              </w:rPr>
              <w:t>= 1</w:t>
            </w:r>
          </w:p>
        </w:tc>
      </w:tr>
      <w:tr w:rsidR="00695C74" w:rsidRPr="00EE1A30" w14:paraId="0225933C" w14:textId="77777777" w:rsidTr="003F0806">
        <w:tc>
          <w:tcPr>
            <w:tcW w:w="9847" w:type="dxa"/>
            <w:shd w:val="clear" w:color="auto" w:fill="auto"/>
          </w:tcPr>
          <w:p w14:paraId="0233AA1D" w14:textId="77777777" w:rsidR="00695C74" w:rsidRPr="00EE1A30" w:rsidRDefault="00695C74"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FB69FE">
              <w:rPr>
                <w:szCs w:val="24"/>
              </w:rPr>
              <w:t>euProgrammeCode</w:t>
            </w:r>
          </w:p>
          <w:p w14:paraId="1311C5D9" w14:textId="77777777" w:rsidR="00695C74" w:rsidRDefault="00695C74" w:rsidP="000840F3">
            <w:pPr>
              <w:spacing w:after="120"/>
              <w:jc w:val="both"/>
              <w:rPr>
                <w:szCs w:val="24"/>
              </w:rPr>
            </w:pPr>
            <w:r>
              <w:rPr>
                <w:b/>
                <w:szCs w:val="24"/>
              </w:rPr>
              <w:t xml:space="preserve">Field type / facets: </w:t>
            </w:r>
            <w:r w:rsidRPr="007C0ED8">
              <w:rPr>
                <w:szCs w:val="24"/>
              </w:rPr>
              <w:t>FeatureUniqueEUCodeType</w:t>
            </w:r>
          </w:p>
          <w:p w14:paraId="2BDFC8DD" w14:textId="77777777" w:rsidR="00695C74" w:rsidRPr="00EE1A30" w:rsidRDefault="00695C74" w:rsidP="000840F3">
            <w:pPr>
              <w:spacing w:after="120"/>
              <w:jc w:val="both"/>
              <w:rPr>
                <w:szCs w:val="24"/>
              </w:rPr>
            </w:pPr>
            <w:r w:rsidRPr="006F25ED">
              <w:rPr>
                <w:b/>
                <w:szCs w:val="24"/>
              </w:rPr>
              <w:t>Properties:</w:t>
            </w:r>
            <w:r>
              <w:rPr>
                <w:b/>
                <w:szCs w:val="24"/>
              </w:rPr>
              <w:t xml:space="preserve"> </w:t>
            </w:r>
            <w:r w:rsidRPr="00FB69FE">
              <w:rPr>
                <w:szCs w:val="24"/>
              </w:rPr>
              <w:t>maxOccurs =</w:t>
            </w:r>
            <w:r>
              <w:rPr>
                <w:szCs w:val="24"/>
              </w:rPr>
              <w:t xml:space="preserve"> 1 </w:t>
            </w:r>
            <w:r w:rsidRPr="00FB69FE">
              <w:rPr>
                <w:szCs w:val="24"/>
              </w:rPr>
              <w:t>minOccurs = 1</w:t>
            </w:r>
          </w:p>
          <w:p w14:paraId="43298526" w14:textId="77777777" w:rsidR="00695C74" w:rsidRDefault="00695C74" w:rsidP="000840F3">
            <w:pPr>
              <w:spacing w:after="120"/>
              <w:jc w:val="both"/>
              <w:rPr>
                <w:szCs w:val="24"/>
              </w:rPr>
            </w:pPr>
            <w:r w:rsidRPr="00EE1A30">
              <w:rPr>
                <w:b/>
                <w:szCs w:val="24"/>
              </w:rPr>
              <w:t>Guidance on completion of schema element</w:t>
            </w:r>
            <w:r w:rsidRPr="00EE1A30">
              <w:rPr>
                <w:szCs w:val="24"/>
              </w:rPr>
              <w:t xml:space="preserve">: </w:t>
            </w:r>
            <w:r w:rsidRPr="00551375">
              <w:rPr>
                <w:szCs w:val="24"/>
              </w:rPr>
              <w:t>Required. Unique EU code of the monitoring programme. Prefix the monitoring programme’s national, unique code with the Member State’s 2-alpha character ISO country code. The same code reported in 2007 and 2010 should be used for monitoring programmes still in existence.</w:t>
            </w:r>
          </w:p>
          <w:p w14:paraId="2AE5EBDB" w14:textId="77777777" w:rsidR="00695C74" w:rsidRDefault="00695C74" w:rsidP="000840F3">
            <w:pPr>
              <w:spacing w:after="120"/>
              <w:jc w:val="both"/>
              <w:rPr>
                <w:szCs w:val="24"/>
              </w:rPr>
            </w:pPr>
            <w:r w:rsidRPr="00EE1A30">
              <w:rPr>
                <w:b/>
                <w:szCs w:val="24"/>
              </w:rPr>
              <w:t>Quality checks</w:t>
            </w:r>
            <w:r w:rsidRPr="00EE1A30">
              <w:rPr>
                <w:szCs w:val="24"/>
              </w:rPr>
              <w:t xml:space="preserve">: </w:t>
            </w:r>
            <w:r w:rsidRPr="00FB69FE">
              <w:rPr>
                <w:szCs w:val="24"/>
              </w:rPr>
              <w:t xml:space="preserve">Element check: </w:t>
            </w:r>
            <w:r w:rsidRPr="00551375">
              <w:rPr>
                <w:szCs w:val="24"/>
              </w:rPr>
              <w:t xml:space="preserve">First 2 characters must be the Member State’s 2-alpha character ISO country code. </w:t>
            </w:r>
          </w:p>
          <w:p w14:paraId="5195FD5C" w14:textId="77777777" w:rsidR="00695C74" w:rsidRPr="00EE1A30" w:rsidRDefault="00695C74" w:rsidP="000840F3">
            <w:pPr>
              <w:spacing w:after="120"/>
              <w:jc w:val="both"/>
              <w:rPr>
                <w:b/>
                <w:szCs w:val="24"/>
              </w:rPr>
            </w:pPr>
            <w:r w:rsidRPr="00551375">
              <w:rPr>
                <w:szCs w:val="24"/>
              </w:rPr>
              <w:t xml:space="preserve">Within-schema check: euProgrammeCode must be unique. </w:t>
            </w:r>
          </w:p>
        </w:tc>
      </w:tr>
      <w:tr w:rsidR="00695C74" w:rsidRPr="00EE1A30" w14:paraId="62FAE3DF" w14:textId="77777777" w:rsidTr="003F0806">
        <w:tc>
          <w:tcPr>
            <w:tcW w:w="9847" w:type="dxa"/>
            <w:shd w:val="clear" w:color="auto" w:fill="auto"/>
          </w:tcPr>
          <w:p w14:paraId="768E0BFB" w14:textId="77777777" w:rsidR="00695C74" w:rsidRPr="00DD6DEC" w:rsidRDefault="00695C74"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551375">
              <w:rPr>
                <w:szCs w:val="24"/>
              </w:rPr>
              <w:t>programmeName</w:t>
            </w:r>
          </w:p>
          <w:p w14:paraId="426E9C50" w14:textId="77777777" w:rsidR="00695C74" w:rsidRDefault="00695C74" w:rsidP="000840F3">
            <w:pPr>
              <w:spacing w:after="120"/>
              <w:jc w:val="both"/>
              <w:rPr>
                <w:szCs w:val="24"/>
              </w:rPr>
            </w:pPr>
            <w:r>
              <w:rPr>
                <w:b/>
                <w:szCs w:val="24"/>
              </w:rPr>
              <w:t xml:space="preserve">Field type / facets: </w:t>
            </w:r>
            <w:r w:rsidRPr="00551375">
              <w:rPr>
                <w:szCs w:val="24"/>
              </w:rPr>
              <w:t>String250Type</w:t>
            </w:r>
          </w:p>
          <w:p w14:paraId="286F8AB2" w14:textId="77777777" w:rsidR="00695C74" w:rsidRPr="00587683" w:rsidRDefault="00695C74"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5A289C23" w14:textId="77777777" w:rsidR="00695C74" w:rsidRPr="00EE1A30" w:rsidRDefault="00695C74" w:rsidP="000840F3">
            <w:pPr>
              <w:spacing w:after="120"/>
              <w:jc w:val="both"/>
              <w:rPr>
                <w:b/>
                <w:szCs w:val="24"/>
              </w:rPr>
            </w:pPr>
            <w:r w:rsidRPr="00EE1A30">
              <w:rPr>
                <w:b/>
                <w:szCs w:val="24"/>
              </w:rPr>
              <w:t>Guidance on completion of schema element</w:t>
            </w:r>
            <w:r w:rsidRPr="00EE1A30">
              <w:rPr>
                <w:szCs w:val="24"/>
              </w:rPr>
              <w:t>: Required. Readily understandable name of the monitoring programme in English that is meaningful outside of the RBD or Member State. It should reflect its purpose, such as surveillance, operational, investigative or drinking water monitoring programme, and the water categories in which it is undertaken.</w:t>
            </w:r>
          </w:p>
        </w:tc>
      </w:tr>
      <w:tr w:rsidR="003042C5" w:rsidRPr="00EE1A30" w14:paraId="0559735D" w14:textId="77777777" w:rsidTr="003F0806">
        <w:tc>
          <w:tcPr>
            <w:tcW w:w="9847" w:type="dxa"/>
            <w:shd w:val="clear" w:color="auto" w:fill="auto"/>
          </w:tcPr>
          <w:p w14:paraId="4E04D733" w14:textId="77777777" w:rsidR="003042C5" w:rsidRPr="00DD6DEC" w:rsidRDefault="003042C5"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programmeCategoryRW</w:t>
            </w:r>
          </w:p>
          <w:p w14:paraId="2AC09CAA" w14:textId="77777777" w:rsidR="003042C5" w:rsidRDefault="003042C5" w:rsidP="000840F3">
            <w:pPr>
              <w:spacing w:after="120"/>
              <w:jc w:val="both"/>
              <w:rPr>
                <w:szCs w:val="24"/>
              </w:rPr>
            </w:pPr>
            <w:r>
              <w:rPr>
                <w:b/>
                <w:szCs w:val="24"/>
              </w:rPr>
              <w:lastRenderedPageBreak/>
              <w:t xml:space="preserve">Field type / facets: </w:t>
            </w:r>
            <w:r>
              <w:rPr>
                <w:szCs w:val="24"/>
              </w:rPr>
              <w:t>YesNoCode_Enum: Yes, No</w:t>
            </w:r>
          </w:p>
          <w:p w14:paraId="3A46F721"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4F8390DE"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rivers</w:t>
            </w:r>
            <w:r w:rsidRPr="00EE1A30">
              <w:rPr>
                <w:szCs w:val="24"/>
              </w:rPr>
              <w:t>.</w:t>
            </w:r>
          </w:p>
        </w:tc>
      </w:tr>
      <w:tr w:rsidR="003042C5" w:rsidRPr="00EE1A30" w14:paraId="363AE784" w14:textId="77777777" w:rsidTr="003F0806">
        <w:tc>
          <w:tcPr>
            <w:tcW w:w="9847" w:type="dxa"/>
            <w:shd w:val="clear" w:color="auto" w:fill="auto"/>
          </w:tcPr>
          <w:p w14:paraId="53AB5AAD" w14:textId="77777777" w:rsidR="003042C5" w:rsidRPr="00DD6DEC" w:rsidRDefault="003042C5"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Pr>
                <w:szCs w:val="24"/>
              </w:rPr>
              <w:t>programmeCategoryLW</w:t>
            </w:r>
          </w:p>
          <w:p w14:paraId="6FC278E9" w14:textId="77777777" w:rsidR="003042C5" w:rsidRDefault="003042C5" w:rsidP="000840F3">
            <w:pPr>
              <w:spacing w:after="120"/>
              <w:jc w:val="both"/>
              <w:rPr>
                <w:szCs w:val="24"/>
              </w:rPr>
            </w:pPr>
            <w:r>
              <w:rPr>
                <w:b/>
                <w:szCs w:val="24"/>
              </w:rPr>
              <w:t xml:space="preserve">Field type / facets: </w:t>
            </w:r>
            <w:r>
              <w:rPr>
                <w:szCs w:val="24"/>
              </w:rPr>
              <w:t>YesNoCode_Enum: Yes, No</w:t>
            </w:r>
          </w:p>
          <w:p w14:paraId="12A56939"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6EC27CCE"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lakes</w:t>
            </w:r>
            <w:r w:rsidRPr="00EE1A30">
              <w:rPr>
                <w:szCs w:val="24"/>
              </w:rPr>
              <w:t>.</w:t>
            </w:r>
          </w:p>
        </w:tc>
      </w:tr>
      <w:tr w:rsidR="003042C5" w:rsidRPr="00EE1A30" w14:paraId="56889CA9" w14:textId="77777777" w:rsidTr="003F0806">
        <w:tc>
          <w:tcPr>
            <w:tcW w:w="9847" w:type="dxa"/>
            <w:shd w:val="clear" w:color="auto" w:fill="auto"/>
          </w:tcPr>
          <w:p w14:paraId="0CD09663" w14:textId="77777777" w:rsidR="003042C5" w:rsidRPr="00DD6DEC" w:rsidRDefault="003042C5"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programmeCategoryTW</w:t>
            </w:r>
          </w:p>
          <w:p w14:paraId="392608DD" w14:textId="77777777" w:rsidR="003042C5" w:rsidRDefault="003042C5" w:rsidP="000840F3">
            <w:pPr>
              <w:spacing w:after="120"/>
              <w:jc w:val="both"/>
              <w:rPr>
                <w:szCs w:val="24"/>
              </w:rPr>
            </w:pPr>
            <w:r>
              <w:rPr>
                <w:b/>
                <w:szCs w:val="24"/>
              </w:rPr>
              <w:t xml:space="preserve">Field type / facets: </w:t>
            </w:r>
            <w:r>
              <w:rPr>
                <w:szCs w:val="24"/>
              </w:rPr>
              <w:t>YesNoCode_Enum: Yes, No</w:t>
            </w:r>
          </w:p>
          <w:p w14:paraId="032EE945"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39B7AD85"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transitional waters</w:t>
            </w:r>
            <w:r w:rsidRPr="00EE1A30">
              <w:rPr>
                <w:szCs w:val="24"/>
              </w:rPr>
              <w:t>.</w:t>
            </w:r>
          </w:p>
        </w:tc>
      </w:tr>
      <w:tr w:rsidR="003042C5" w:rsidRPr="00EE1A30" w14:paraId="7C4D1EEE" w14:textId="77777777" w:rsidTr="003F0806">
        <w:tc>
          <w:tcPr>
            <w:tcW w:w="9847" w:type="dxa"/>
            <w:shd w:val="clear" w:color="auto" w:fill="auto"/>
          </w:tcPr>
          <w:p w14:paraId="51EEEBF7" w14:textId="77777777" w:rsidR="003042C5" w:rsidRPr="00DD6DEC" w:rsidRDefault="003042C5"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programmeCategoryCW</w:t>
            </w:r>
          </w:p>
          <w:p w14:paraId="55DF4423" w14:textId="77777777" w:rsidR="003042C5" w:rsidRDefault="003042C5" w:rsidP="000840F3">
            <w:pPr>
              <w:spacing w:after="120"/>
              <w:jc w:val="both"/>
              <w:rPr>
                <w:szCs w:val="24"/>
              </w:rPr>
            </w:pPr>
            <w:r>
              <w:rPr>
                <w:b/>
                <w:szCs w:val="24"/>
              </w:rPr>
              <w:t xml:space="preserve">Field type / facets: </w:t>
            </w:r>
            <w:r>
              <w:rPr>
                <w:szCs w:val="24"/>
              </w:rPr>
              <w:t>YesNoCode_Enum: Yes, No</w:t>
            </w:r>
          </w:p>
          <w:p w14:paraId="7145D1A5"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1E88AC77"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coastal waters</w:t>
            </w:r>
            <w:r w:rsidRPr="00EE1A30">
              <w:rPr>
                <w:szCs w:val="24"/>
              </w:rPr>
              <w:t>.</w:t>
            </w:r>
          </w:p>
        </w:tc>
      </w:tr>
      <w:tr w:rsidR="003042C5" w:rsidRPr="00EE1A30" w14:paraId="23F3B5D4" w14:textId="77777777" w:rsidTr="003F0806">
        <w:tc>
          <w:tcPr>
            <w:tcW w:w="9847" w:type="dxa"/>
            <w:shd w:val="clear" w:color="auto" w:fill="auto"/>
          </w:tcPr>
          <w:p w14:paraId="35A8782A" w14:textId="77777777" w:rsidR="003042C5" w:rsidRPr="00DD6DEC" w:rsidRDefault="003042C5"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programmeCategoryTeW</w:t>
            </w:r>
          </w:p>
          <w:p w14:paraId="1B16A5B9" w14:textId="77777777" w:rsidR="003042C5" w:rsidRDefault="003042C5" w:rsidP="000840F3">
            <w:pPr>
              <w:spacing w:after="120"/>
              <w:jc w:val="both"/>
              <w:rPr>
                <w:szCs w:val="24"/>
              </w:rPr>
            </w:pPr>
            <w:r>
              <w:rPr>
                <w:b/>
                <w:szCs w:val="24"/>
              </w:rPr>
              <w:t xml:space="preserve">Field type / facets: </w:t>
            </w:r>
            <w:r>
              <w:rPr>
                <w:szCs w:val="24"/>
              </w:rPr>
              <w:t>YesNoCode_Enum: Yes, No</w:t>
            </w:r>
          </w:p>
          <w:p w14:paraId="4EE0621A"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11206C9E"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territorial waters</w:t>
            </w:r>
            <w:r w:rsidRPr="00EE1A30">
              <w:rPr>
                <w:szCs w:val="24"/>
              </w:rPr>
              <w:t>.</w:t>
            </w:r>
          </w:p>
        </w:tc>
      </w:tr>
      <w:tr w:rsidR="003042C5" w:rsidRPr="00EE1A30" w14:paraId="3A5DB83A" w14:textId="77777777" w:rsidTr="003F0806">
        <w:tc>
          <w:tcPr>
            <w:tcW w:w="9847" w:type="dxa"/>
            <w:shd w:val="clear" w:color="auto" w:fill="auto"/>
          </w:tcPr>
          <w:p w14:paraId="579343FB" w14:textId="77777777" w:rsidR="003042C5" w:rsidRPr="00DD6DEC" w:rsidRDefault="003042C5"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programmeCategoryGW</w:t>
            </w:r>
          </w:p>
          <w:p w14:paraId="47A3D657" w14:textId="77777777" w:rsidR="003042C5" w:rsidRDefault="003042C5" w:rsidP="000840F3">
            <w:pPr>
              <w:spacing w:after="120"/>
              <w:jc w:val="both"/>
              <w:rPr>
                <w:szCs w:val="24"/>
              </w:rPr>
            </w:pPr>
            <w:r>
              <w:rPr>
                <w:b/>
                <w:szCs w:val="24"/>
              </w:rPr>
              <w:t xml:space="preserve">Field type / facets: </w:t>
            </w:r>
            <w:r>
              <w:rPr>
                <w:szCs w:val="24"/>
              </w:rPr>
              <w:t>YesNoCode_Enum: Yes, No</w:t>
            </w:r>
          </w:p>
          <w:p w14:paraId="73629F7E" w14:textId="77777777" w:rsidR="003042C5" w:rsidRPr="00587683" w:rsidRDefault="003042C5" w:rsidP="000840F3">
            <w:pPr>
              <w:spacing w:after="120"/>
              <w:jc w:val="both"/>
              <w:rPr>
                <w:szCs w:val="24"/>
              </w:rPr>
            </w:pPr>
            <w:r w:rsidRPr="006F25ED">
              <w:rPr>
                <w:b/>
                <w:szCs w:val="24"/>
              </w:rPr>
              <w:t>Properties</w:t>
            </w:r>
            <w:r w:rsidRPr="00551375">
              <w:rPr>
                <w:szCs w:val="24"/>
              </w:rPr>
              <w:t>:</w:t>
            </w:r>
            <w:r>
              <w:rPr>
                <w:szCs w:val="24"/>
              </w:rPr>
              <w:t xml:space="preserve"> </w:t>
            </w:r>
            <w:r w:rsidRPr="00551375">
              <w:rPr>
                <w:szCs w:val="24"/>
              </w:rPr>
              <w:t>maxOccurs =1</w:t>
            </w:r>
            <w:r>
              <w:rPr>
                <w:szCs w:val="24"/>
              </w:rPr>
              <w:t xml:space="preserve"> </w:t>
            </w:r>
            <w:r w:rsidRPr="00551375">
              <w:rPr>
                <w:szCs w:val="24"/>
              </w:rPr>
              <w:t>minOccurs = 1</w:t>
            </w:r>
          </w:p>
          <w:p w14:paraId="298DA773" w14:textId="77777777" w:rsidR="003042C5" w:rsidRPr="006F25ED" w:rsidRDefault="003042C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Indicate if this monitoring programme is used for groundwater</w:t>
            </w:r>
            <w:r w:rsidRPr="00EE1A30">
              <w:rPr>
                <w:szCs w:val="24"/>
              </w:rPr>
              <w:t>.</w:t>
            </w:r>
          </w:p>
        </w:tc>
      </w:tr>
      <w:tr w:rsidR="004C2990" w:rsidRPr="00EE1A30" w14:paraId="1C4209D6" w14:textId="77777777" w:rsidTr="003F0806">
        <w:tc>
          <w:tcPr>
            <w:tcW w:w="9847" w:type="dxa"/>
            <w:shd w:val="clear" w:color="auto" w:fill="auto"/>
          </w:tcPr>
          <w:p w14:paraId="38714D8E" w14:textId="77777777" w:rsidR="004C2990" w:rsidRDefault="004C2990" w:rsidP="000840F3">
            <w:pPr>
              <w:spacing w:after="120"/>
              <w:jc w:val="both"/>
              <w:rPr>
                <w:szCs w:val="24"/>
              </w:rPr>
            </w:pPr>
            <w:r>
              <w:rPr>
                <w:b/>
                <w:szCs w:val="24"/>
              </w:rPr>
              <w:t>Schema element:</w:t>
            </w:r>
            <w:r w:rsidR="00E5475F" w:rsidRPr="00E5475F">
              <w:rPr>
                <w:szCs w:val="24"/>
              </w:rPr>
              <w:t xml:space="preserve"> </w:t>
            </w:r>
            <w:r w:rsidR="00773FBA">
              <w:rPr>
                <w:szCs w:val="24"/>
              </w:rPr>
              <w:t>programme</w:t>
            </w:r>
            <w:r w:rsidR="00773FBA" w:rsidRPr="00E5475F">
              <w:rPr>
                <w:szCs w:val="24"/>
              </w:rPr>
              <w:t>Reference</w:t>
            </w:r>
          </w:p>
          <w:p w14:paraId="6DB91B2C" w14:textId="77777777" w:rsidR="004C2990" w:rsidRDefault="00B72137" w:rsidP="000840F3">
            <w:pPr>
              <w:spacing w:after="120"/>
              <w:jc w:val="both"/>
              <w:rPr>
                <w:szCs w:val="24"/>
              </w:rPr>
            </w:pPr>
            <w:r>
              <w:rPr>
                <w:b/>
                <w:szCs w:val="24"/>
              </w:rPr>
              <w:t>Field type / facets:</w:t>
            </w:r>
            <w:r>
              <w:rPr>
                <w:szCs w:val="24"/>
              </w:rPr>
              <w:t xml:space="preserve"> ReferenceType (see Annex 9)</w:t>
            </w:r>
          </w:p>
          <w:p w14:paraId="715457F9" w14:textId="77777777" w:rsidR="00B72137" w:rsidRDefault="00B72137" w:rsidP="000840F3">
            <w:pPr>
              <w:spacing w:after="120"/>
              <w:jc w:val="both"/>
              <w:rPr>
                <w:szCs w:val="24"/>
              </w:rPr>
            </w:pPr>
            <w:r>
              <w:rPr>
                <w:b/>
                <w:szCs w:val="24"/>
              </w:rPr>
              <w:t>Properties</w:t>
            </w:r>
            <w:r>
              <w:rPr>
                <w:szCs w:val="24"/>
              </w:rPr>
              <w:t>: maxOccurs = unbounded minOccurs = 1</w:t>
            </w:r>
          </w:p>
          <w:p w14:paraId="4BBFE85D" w14:textId="77777777" w:rsidR="004C2990" w:rsidRPr="00B72137" w:rsidRDefault="00B72137" w:rsidP="000840F3">
            <w:pPr>
              <w:spacing w:after="120"/>
              <w:jc w:val="both"/>
              <w:rPr>
                <w:szCs w:val="24"/>
              </w:rPr>
            </w:pPr>
            <w:r>
              <w:rPr>
                <w:b/>
                <w:szCs w:val="24"/>
              </w:rPr>
              <w:t>Guidance on completion of schema element:</w:t>
            </w:r>
            <w:r>
              <w:rPr>
                <w:szCs w:val="24"/>
              </w:rPr>
              <w:t xml:space="preserve"> Required. Provide </w:t>
            </w:r>
            <w:r w:rsidRPr="00EE1A30">
              <w:rPr>
                <w:szCs w:val="24"/>
              </w:rPr>
              <w:t xml:space="preserve">references or hyperlinks to the documents and sections where relevant information relating to the </w:t>
            </w:r>
            <w:r>
              <w:rPr>
                <w:szCs w:val="24"/>
              </w:rPr>
              <w:t xml:space="preserve">monitoring programmes </w:t>
            </w:r>
            <w:r w:rsidRPr="00EE1A30">
              <w:rPr>
                <w:szCs w:val="24"/>
              </w:rPr>
              <w:t xml:space="preserve">can be found.  Guidance on what should be included in this document is provided in Section </w:t>
            </w:r>
            <w:r w:rsidR="00FD7F29">
              <w:fldChar w:fldCharType="begin"/>
            </w:r>
            <w:r w:rsidR="00FD7F29">
              <w:instrText xml:space="preserve"> REF _Ref402950055 \r \h  \* MERGEFORMAT </w:instrText>
            </w:r>
            <w:r w:rsidR="00FD7F29">
              <w:fldChar w:fldCharType="separate"/>
            </w:r>
            <w:r w:rsidR="00F66939" w:rsidRPr="00F66939">
              <w:rPr>
                <w:szCs w:val="24"/>
              </w:rPr>
              <w:t>4.3.4</w:t>
            </w:r>
            <w:r w:rsidR="00FD7F29">
              <w:fldChar w:fldCharType="end"/>
            </w:r>
            <w:r>
              <w:rPr>
                <w:szCs w:val="24"/>
              </w:rPr>
              <w:t xml:space="preserve">. </w:t>
            </w:r>
          </w:p>
        </w:tc>
      </w:tr>
    </w:tbl>
    <w:p w14:paraId="2C800640" w14:textId="77777777" w:rsidR="00695C74" w:rsidRDefault="00695C74" w:rsidP="000840F3">
      <w:pPr>
        <w:jc w:val="both"/>
      </w:pPr>
    </w:p>
    <w:p w14:paraId="467C7EDF" w14:textId="77777777" w:rsidR="00695C74" w:rsidRPr="00EE1A30" w:rsidRDefault="00F5365D" w:rsidP="000840F3">
      <w:pPr>
        <w:jc w:val="both"/>
      </w:pPr>
      <w:r>
        <w:t>The following class is used to provide information on the surface and groundwater monitoring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A6A8C" w:rsidRPr="00EE1A30" w14:paraId="1A0493F3" w14:textId="77777777" w:rsidTr="00D76067">
        <w:tc>
          <w:tcPr>
            <w:tcW w:w="9847" w:type="dxa"/>
            <w:shd w:val="clear" w:color="auto" w:fill="auto"/>
          </w:tcPr>
          <w:p w14:paraId="311BFEA3" w14:textId="77777777" w:rsidR="00BA6A8C" w:rsidRPr="00DD6DEC" w:rsidRDefault="00BA6A8C" w:rsidP="000840F3">
            <w:pPr>
              <w:spacing w:after="120"/>
              <w:jc w:val="both"/>
              <w:rPr>
                <w:b/>
                <w:szCs w:val="24"/>
              </w:rPr>
            </w:pPr>
            <w:r w:rsidRPr="00EE1A30">
              <w:rPr>
                <w:b/>
                <w:szCs w:val="24"/>
              </w:rPr>
              <w:lastRenderedPageBreak/>
              <w:t>Schema: Mon</w:t>
            </w:r>
            <w:r w:rsidR="006F25ED" w:rsidRPr="006F25ED">
              <w:rPr>
                <w:b/>
                <w:szCs w:val="24"/>
              </w:rPr>
              <w:t>itoring</w:t>
            </w:r>
            <w:r w:rsidR="003042C5">
              <w:rPr>
                <w:b/>
                <w:szCs w:val="24"/>
              </w:rPr>
              <w:t xml:space="preserve"> (continued)</w:t>
            </w:r>
          </w:p>
        </w:tc>
      </w:tr>
      <w:tr w:rsidR="003042C5" w:rsidRPr="00EE1A30" w14:paraId="006DBF88" w14:textId="77777777" w:rsidTr="00D76067">
        <w:tc>
          <w:tcPr>
            <w:tcW w:w="9847" w:type="dxa"/>
            <w:shd w:val="clear" w:color="auto" w:fill="auto"/>
          </w:tcPr>
          <w:p w14:paraId="3CAC97DC" w14:textId="77777777" w:rsidR="003042C5" w:rsidRDefault="00C75E91" w:rsidP="000840F3">
            <w:pPr>
              <w:spacing w:after="120"/>
              <w:jc w:val="both"/>
              <w:rPr>
                <w:b/>
                <w:i/>
                <w:szCs w:val="24"/>
              </w:rPr>
            </w:pPr>
            <w:r>
              <w:rPr>
                <w:b/>
                <w:i/>
                <w:szCs w:val="24"/>
              </w:rPr>
              <w:t>Class: MonitoringSite</w:t>
            </w:r>
          </w:p>
          <w:p w14:paraId="444AB0CF" w14:textId="77777777" w:rsidR="003042C5" w:rsidRPr="003042C5" w:rsidRDefault="003042C5" w:rsidP="000840F3">
            <w:pPr>
              <w:spacing w:after="120"/>
              <w:jc w:val="both"/>
              <w:rPr>
                <w:i/>
                <w:szCs w:val="24"/>
              </w:rPr>
            </w:pPr>
            <w:r>
              <w:rPr>
                <w:b/>
                <w:i/>
                <w:szCs w:val="24"/>
              </w:rPr>
              <w:t>Properties</w:t>
            </w:r>
            <w:r>
              <w:rPr>
                <w:i/>
                <w:szCs w:val="24"/>
              </w:rPr>
              <w:t>: maxOccurs = unbounded minOccurs = 1</w:t>
            </w:r>
          </w:p>
        </w:tc>
      </w:tr>
      <w:tr w:rsidR="000227D0" w:rsidRPr="00EE1A30" w14:paraId="43C82363" w14:textId="77777777" w:rsidTr="00D76067">
        <w:tc>
          <w:tcPr>
            <w:tcW w:w="9847" w:type="dxa"/>
            <w:shd w:val="clear" w:color="auto" w:fill="auto"/>
          </w:tcPr>
          <w:p w14:paraId="0D597F14" w14:textId="77777777" w:rsidR="000227D0"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A219B4" w:rsidRPr="00A219B4">
              <w:rPr>
                <w:szCs w:val="24"/>
              </w:rPr>
              <w:t>euMonitoringSiteCode</w:t>
            </w:r>
          </w:p>
          <w:p w14:paraId="3D6CDE5C" w14:textId="77777777" w:rsidR="000227D0" w:rsidRDefault="006B17DF" w:rsidP="000840F3">
            <w:pPr>
              <w:spacing w:after="120"/>
              <w:jc w:val="both"/>
              <w:rPr>
                <w:szCs w:val="24"/>
              </w:rPr>
            </w:pPr>
            <w:r>
              <w:rPr>
                <w:b/>
                <w:szCs w:val="24"/>
              </w:rPr>
              <w:t xml:space="preserve">Field type / facets: </w:t>
            </w:r>
            <w:r w:rsidR="00A219B4" w:rsidRPr="00A219B4">
              <w:rPr>
                <w:szCs w:val="24"/>
              </w:rPr>
              <w:t>FeatureUniqueEUCodeType</w:t>
            </w:r>
          </w:p>
          <w:p w14:paraId="149B4854" w14:textId="77777777" w:rsidR="00A219B4" w:rsidRPr="00587683" w:rsidRDefault="006F25ED" w:rsidP="000840F3">
            <w:pPr>
              <w:spacing w:after="120"/>
              <w:jc w:val="both"/>
              <w:rPr>
                <w:szCs w:val="24"/>
              </w:rPr>
            </w:pPr>
            <w:r w:rsidRPr="006F25ED">
              <w:rPr>
                <w:b/>
                <w:szCs w:val="24"/>
              </w:rPr>
              <w:t>Properties</w:t>
            </w:r>
            <w:r w:rsidR="00A219B4" w:rsidRPr="00A219B4">
              <w:rPr>
                <w:szCs w:val="24"/>
              </w:rPr>
              <w:t>:</w:t>
            </w:r>
            <w:r w:rsidR="00137DB7">
              <w:rPr>
                <w:szCs w:val="24"/>
              </w:rPr>
              <w:t xml:space="preserve"> </w:t>
            </w:r>
            <w:r w:rsidR="00A219B4" w:rsidRPr="00A219B4">
              <w:rPr>
                <w:szCs w:val="24"/>
              </w:rPr>
              <w:t>maxOccurs =1</w:t>
            </w:r>
            <w:r w:rsidR="00137DB7">
              <w:rPr>
                <w:szCs w:val="24"/>
              </w:rPr>
              <w:t xml:space="preserve"> </w:t>
            </w:r>
            <w:r w:rsidR="00A219B4" w:rsidRPr="00A219B4">
              <w:rPr>
                <w:szCs w:val="24"/>
              </w:rPr>
              <w:t>minOccurs = 1</w:t>
            </w:r>
          </w:p>
          <w:p w14:paraId="243272AB" w14:textId="77777777" w:rsidR="001E21B0" w:rsidRPr="00851B21" w:rsidRDefault="000227D0" w:rsidP="000840F3">
            <w:pPr>
              <w:spacing w:after="120"/>
              <w:jc w:val="both"/>
              <w:rPr>
                <w:szCs w:val="24"/>
              </w:rPr>
            </w:pPr>
            <w:r w:rsidRPr="00EE1A30">
              <w:rPr>
                <w:b/>
                <w:szCs w:val="24"/>
              </w:rPr>
              <w:t>Guidance</w:t>
            </w:r>
            <w:r w:rsidR="007147D3" w:rsidRPr="00EE1A30">
              <w:rPr>
                <w:b/>
                <w:szCs w:val="24"/>
              </w:rPr>
              <w:t xml:space="preserve"> on completion of schema element</w:t>
            </w:r>
            <w:r w:rsidRPr="00EE1A30">
              <w:rPr>
                <w:szCs w:val="24"/>
              </w:rPr>
              <w:t xml:space="preserve">: </w:t>
            </w:r>
            <w:r w:rsidR="0061058A" w:rsidRPr="00EE1A30">
              <w:rPr>
                <w:szCs w:val="24"/>
              </w:rPr>
              <w:t xml:space="preserve">Required. </w:t>
            </w:r>
            <w:r w:rsidR="001E21B0" w:rsidRPr="00EE1A30">
              <w:rPr>
                <w:szCs w:val="24"/>
              </w:rPr>
              <w:t xml:space="preserve">Unique </w:t>
            </w:r>
            <w:r w:rsidR="007147D3" w:rsidRPr="00EE1A30">
              <w:rPr>
                <w:szCs w:val="24"/>
              </w:rPr>
              <w:t>EU c</w:t>
            </w:r>
            <w:r w:rsidR="001E21B0" w:rsidRPr="00EE1A30">
              <w:rPr>
                <w:szCs w:val="24"/>
              </w:rPr>
              <w:t xml:space="preserve">ode </w:t>
            </w:r>
            <w:r w:rsidR="008901F6" w:rsidRPr="00EE1A30">
              <w:rPr>
                <w:szCs w:val="24"/>
              </w:rPr>
              <w:t xml:space="preserve">of </w:t>
            </w:r>
            <w:r w:rsidR="001E21B0" w:rsidRPr="00EE1A30">
              <w:rPr>
                <w:szCs w:val="24"/>
              </w:rPr>
              <w:t xml:space="preserve">the </w:t>
            </w:r>
            <w:r w:rsidR="007147D3" w:rsidRPr="00EE1A30">
              <w:rPr>
                <w:szCs w:val="24"/>
              </w:rPr>
              <w:t>surface water m</w:t>
            </w:r>
            <w:r w:rsidR="001E21B0" w:rsidRPr="00EE1A30">
              <w:rPr>
                <w:szCs w:val="24"/>
              </w:rPr>
              <w:t xml:space="preserve">onitoring </w:t>
            </w:r>
            <w:r w:rsidR="007147D3" w:rsidRPr="00EE1A30">
              <w:rPr>
                <w:szCs w:val="24"/>
              </w:rPr>
              <w:t>site</w:t>
            </w:r>
            <w:r w:rsidR="001E21B0" w:rsidRPr="00EE1A30">
              <w:rPr>
                <w:szCs w:val="24"/>
              </w:rPr>
              <w:t>.</w:t>
            </w:r>
            <w:r w:rsidR="0061058A" w:rsidRPr="00EE1A30">
              <w:rPr>
                <w:szCs w:val="24"/>
              </w:rPr>
              <w:t xml:space="preserve"> </w:t>
            </w:r>
            <w:r w:rsidR="00E5739E" w:rsidRPr="00EE1A30">
              <w:rPr>
                <w:szCs w:val="24"/>
              </w:rPr>
              <w:t>Prefix</w:t>
            </w:r>
            <w:r w:rsidR="007147D3" w:rsidRPr="00EE1A30">
              <w:rPr>
                <w:szCs w:val="24"/>
              </w:rPr>
              <w:t xml:space="preserve"> the </w:t>
            </w:r>
            <w:r w:rsidR="00E5739E" w:rsidRPr="00EE1A30">
              <w:rPr>
                <w:szCs w:val="24"/>
              </w:rPr>
              <w:t xml:space="preserve">surface water monitoring site’s national, unique code with the </w:t>
            </w:r>
            <w:r w:rsidR="007147D3" w:rsidRPr="00EE1A30">
              <w:rPr>
                <w:szCs w:val="24"/>
              </w:rPr>
              <w:t>Member State’s 2-alpha character ISO country code</w:t>
            </w:r>
            <w:r w:rsidR="002F138E" w:rsidRPr="00DD6DEC">
              <w:rPr>
                <w:rStyle w:val="Refdenotaalpie"/>
                <w:szCs w:val="24"/>
              </w:rPr>
              <w:footnoteReference w:id="7"/>
            </w:r>
            <w:r w:rsidR="007147D3" w:rsidRPr="00DD6DEC">
              <w:rPr>
                <w:szCs w:val="24"/>
              </w:rPr>
              <w:t>.</w:t>
            </w:r>
          </w:p>
          <w:p w14:paraId="3E65CDC8" w14:textId="77777777" w:rsidR="001178E8" w:rsidRDefault="000227D0" w:rsidP="000840F3">
            <w:pPr>
              <w:spacing w:after="120"/>
              <w:jc w:val="both"/>
              <w:rPr>
                <w:szCs w:val="24"/>
              </w:rPr>
            </w:pPr>
            <w:r w:rsidRPr="00A8624D">
              <w:rPr>
                <w:b/>
                <w:szCs w:val="24"/>
              </w:rPr>
              <w:t>Quality check</w:t>
            </w:r>
            <w:r w:rsidR="007147D3" w:rsidRPr="0071782C">
              <w:rPr>
                <w:b/>
                <w:szCs w:val="24"/>
              </w:rPr>
              <w:t>s</w:t>
            </w:r>
            <w:r w:rsidRPr="00587683">
              <w:rPr>
                <w:szCs w:val="24"/>
              </w:rPr>
              <w:t>:</w:t>
            </w:r>
            <w:r w:rsidR="007147D3" w:rsidRPr="00587683">
              <w:rPr>
                <w:szCs w:val="24"/>
              </w:rPr>
              <w:t xml:space="preserve"> </w:t>
            </w:r>
          </w:p>
          <w:p w14:paraId="62944C51" w14:textId="77777777" w:rsidR="001178E8" w:rsidRDefault="006F25ED" w:rsidP="000840F3">
            <w:pPr>
              <w:spacing w:after="120"/>
              <w:jc w:val="both"/>
              <w:rPr>
                <w:szCs w:val="24"/>
              </w:rPr>
            </w:pPr>
            <w:r w:rsidRPr="006F25ED">
              <w:rPr>
                <w:szCs w:val="24"/>
              </w:rPr>
              <w:t xml:space="preserve">Element check: First 2 characters must be the Member State’s 2-alpha character ISO country code. </w:t>
            </w:r>
          </w:p>
          <w:p w14:paraId="6E40B762" w14:textId="77777777" w:rsidR="00A219B4" w:rsidRPr="00A219B4" w:rsidRDefault="006F25ED" w:rsidP="000840F3">
            <w:pPr>
              <w:spacing w:after="120"/>
              <w:jc w:val="both"/>
              <w:rPr>
                <w:szCs w:val="24"/>
              </w:rPr>
            </w:pPr>
            <w:r w:rsidRPr="006F25ED">
              <w:rPr>
                <w:szCs w:val="24"/>
              </w:rPr>
              <w:t>Within-schema check: euMonitoringSiteCode must be unique.</w:t>
            </w:r>
          </w:p>
        </w:tc>
      </w:tr>
      <w:tr w:rsidR="00925309" w:rsidRPr="00EE1A30" w14:paraId="0392FDFB" w14:textId="77777777" w:rsidTr="003F0806">
        <w:tc>
          <w:tcPr>
            <w:tcW w:w="9847" w:type="dxa"/>
            <w:shd w:val="clear" w:color="auto" w:fill="auto"/>
          </w:tcPr>
          <w:p w14:paraId="70025F4F" w14:textId="77777777" w:rsidR="00925309" w:rsidRPr="00DD6DEC" w:rsidRDefault="00925309"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2F1778">
              <w:rPr>
                <w:szCs w:val="24"/>
              </w:rPr>
              <w:t>eu</w:t>
            </w:r>
            <w:r w:rsidRPr="00075913">
              <w:rPr>
                <w:szCs w:val="24"/>
              </w:rPr>
              <w:t>MonitoringSiteName</w:t>
            </w:r>
          </w:p>
          <w:p w14:paraId="260F4B71" w14:textId="77777777" w:rsidR="00925309" w:rsidRDefault="00925309" w:rsidP="000840F3">
            <w:pPr>
              <w:spacing w:after="120"/>
              <w:jc w:val="both"/>
              <w:rPr>
                <w:szCs w:val="24"/>
              </w:rPr>
            </w:pPr>
            <w:r>
              <w:rPr>
                <w:b/>
                <w:szCs w:val="24"/>
              </w:rPr>
              <w:t xml:space="preserve">Field type / facets: </w:t>
            </w:r>
            <w:r w:rsidRPr="00075913">
              <w:rPr>
                <w:szCs w:val="24"/>
              </w:rPr>
              <w:t>String250Type</w:t>
            </w:r>
          </w:p>
          <w:p w14:paraId="33CDFD8D" w14:textId="77777777" w:rsidR="00925309" w:rsidRPr="00EE1A30" w:rsidRDefault="00925309" w:rsidP="000840F3">
            <w:pPr>
              <w:spacing w:after="120"/>
              <w:jc w:val="both"/>
              <w:rPr>
                <w:szCs w:val="24"/>
              </w:rPr>
            </w:pPr>
            <w:r w:rsidRPr="006F25ED">
              <w:rPr>
                <w:b/>
                <w:szCs w:val="24"/>
              </w:rPr>
              <w:t>Properties:</w:t>
            </w:r>
            <w:r>
              <w:rPr>
                <w:b/>
                <w:szCs w:val="24"/>
              </w:rPr>
              <w:t xml:space="preserve"> </w:t>
            </w:r>
            <w:r w:rsidRPr="00075913">
              <w:rPr>
                <w:szCs w:val="24"/>
              </w:rPr>
              <w:t>maxOccurs =1</w:t>
            </w:r>
            <w:r>
              <w:rPr>
                <w:szCs w:val="24"/>
              </w:rPr>
              <w:t xml:space="preserve"> </w:t>
            </w:r>
            <w:r w:rsidRPr="00075913">
              <w:rPr>
                <w:szCs w:val="24"/>
              </w:rPr>
              <w:t>minOccurs = 1</w:t>
            </w:r>
          </w:p>
          <w:p w14:paraId="0084D95A" w14:textId="77777777" w:rsidR="00925309" w:rsidRPr="00EE1A30" w:rsidRDefault="00925309" w:rsidP="000840F3">
            <w:pPr>
              <w:spacing w:after="120"/>
              <w:jc w:val="both"/>
              <w:rPr>
                <w:b/>
                <w:szCs w:val="24"/>
              </w:rPr>
            </w:pPr>
            <w:r w:rsidRPr="00EE1A30">
              <w:rPr>
                <w:b/>
                <w:szCs w:val="24"/>
              </w:rPr>
              <w:t>Guidance on completion of schema element</w:t>
            </w:r>
            <w:r w:rsidRPr="00EE1A30">
              <w:rPr>
                <w:szCs w:val="24"/>
              </w:rPr>
              <w:t>: Required. Readily understandable name of the monitoring site in English that is meaningful outside of the RBD or Member State.</w:t>
            </w:r>
            <w:r>
              <w:rPr>
                <w:szCs w:val="24"/>
              </w:rPr>
              <w:t xml:space="preserve"> </w:t>
            </w:r>
          </w:p>
        </w:tc>
      </w:tr>
      <w:tr w:rsidR="003A46C6" w:rsidRPr="00EE1A30" w14:paraId="4C8D85F5" w14:textId="77777777" w:rsidTr="003F0806">
        <w:tc>
          <w:tcPr>
            <w:tcW w:w="9847" w:type="dxa"/>
            <w:shd w:val="clear" w:color="auto" w:fill="auto"/>
          </w:tcPr>
          <w:p w14:paraId="39264713" w14:textId="77777777" w:rsidR="003A46C6" w:rsidRDefault="003A46C6"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750095">
              <w:rPr>
                <w:szCs w:val="24"/>
              </w:rPr>
              <w:t>euWaterBodyCode</w:t>
            </w:r>
          </w:p>
          <w:p w14:paraId="0C816E6C" w14:textId="77777777" w:rsidR="003A46C6" w:rsidRDefault="003A46C6" w:rsidP="000840F3">
            <w:pPr>
              <w:spacing w:after="120"/>
              <w:jc w:val="both"/>
              <w:rPr>
                <w:szCs w:val="24"/>
              </w:rPr>
            </w:pPr>
            <w:r>
              <w:rPr>
                <w:b/>
                <w:szCs w:val="24"/>
              </w:rPr>
              <w:t xml:space="preserve">Field type / facets: </w:t>
            </w:r>
            <w:r w:rsidRPr="00750095">
              <w:rPr>
                <w:szCs w:val="24"/>
              </w:rPr>
              <w:t>FeatureUniqueEUCodeType</w:t>
            </w:r>
          </w:p>
          <w:p w14:paraId="5C75DE2E" w14:textId="77777777" w:rsidR="003A46C6" w:rsidRPr="00EE1A30" w:rsidRDefault="003A46C6" w:rsidP="000840F3">
            <w:pPr>
              <w:spacing w:after="120"/>
              <w:jc w:val="both"/>
              <w:rPr>
                <w:szCs w:val="24"/>
              </w:rPr>
            </w:pPr>
            <w:r w:rsidRPr="006F25ED">
              <w:rPr>
                <w:b/>
                <w:szCs w:val="24"/>
              </w:rPr>
              <w:t>Properties</w:t>
            </w:r>
            <w:r w:rsidRPr="00750095">
              <w:rPr>
                <w:szCs w:val="24"/>
              </w:rPr>
              <w:t>:</w:t>
            </w:r>
            <w:r>
              <w:rPr>
                <w:szCs w:val="24"/>
              </w:rPr>
              <w:t xml:space="preserve"> </w:t>
            </w:r>
            <w:r w:rsidRPr="00750095">
              <w:rPr>
                <w:szCs w:val="24"/>
              </w:rPr>
              <w:t>maxOccurs =1</w:t>
            </w:r>
            <w:r>
              <w:rPr>
                <w:szCs w:val="24"/>
              </w:rPr>
              <w:t xml:space="preserve"> </w:t>
            </w:r>
            <w:r w:rsidRPr="00750095">
              <w:rPr>
                <w:szCs w:val="24"/>
              </w:rPr>
              <w:t xml:space="preserve">minOccurs = </w:t>
            </w:r>
            <w:r w:rsidR="00C82035">
              <w:rPr>
                <w:szCs w:val="24"/>
              </w:rPr>
              <w:t>1</w:t>
            </w:r>
          </w:p>
          <w:p w14:paraId="30D96659" w14:textId="77777777" w:rsidR="003A46C6" w:rsidRPr="00EE1A30" w:rsidRDefault="003A46C6" w:rsidP="000840F3">
            <w:pPr>
              <w:spacing w:after="120"/>
              <w:jc w:val="both"/>
              <w:rPr>
                <w:szCs w:val="24"/>
              </w:rPr>
            </w:pPr>
            <w:r w:rsidRPr="00EE1A30">
              <w:rPr>
                <w:b/>
                <w:szCs w:val="24"/>
              </w:rPr>
              <w:t>Guidance on completion of schema element</w:t>
            </w:r>
            <w:r w:rsidRPr="00EE1A30">
              <w:rPr>
                <w:szCs w:val="24"/>
              </w:rPr>
              <w:t xml:space="preserve">: </w:t>
            </w:r>
            <w:r w:rsidR="00C82035">
              <w:rPr>
                <w:szCs w:val="24"/>
              </w:rPr>
              <w:t>Required</w:t>
            </w:r>
            <w:r w:rsidRPr="00EE1A30">
              <w:rPr>
                <w:szCs w:val="24"/>
              </w:rPr>
              <w:t>.</w:t>
            </w:r>
            <w:r>
              <w:rPr>
                <w:szCs w:val="24"/>
              </w:rPr>
              <w:t xml:space="preserve"> </w:t>
            </w:r>
            <w:r w:rsidR="00C82035">
              <w:rPr>
                <w:szCs w:val="24"/>
              </w:rPr>
              <w:t>U</w:t>
            </w:r>
            <w:r w:rsidRPr="00EE1A30">
              <w:rPr>
                <w:szCs w:val="24"/>
              </w:rPr>
              <w:t xml:space="preserve">nique EU code of the surface </w:t>
            </w:r>
            <w:r w:rsidR="00C82035">
              <w:rPr>
                <w:szCs w:val="24"/>
              </w:rPr>
              <w:t>or ground</w:t>
            </w:r>
            <w:r w:rsidRPr="00EE1A30">
              <w:rPr>
                <w:szCs w:val="24"/>
              </w:rPr>
              <w:t xml:space="preserve">water body as reported in the SWB </w:t>
            </w:r>
            <w:r w:rsidR="00C82035">
              <w:rPr>
                <w:szCs w:val="24"/>
              </w:rPr>
              <w:t xml:space="preserve">or GWB </w:t>
            </w:r>
            <w:r w:rsidRPr="00EE1A30">
              <w:rPr>
                <w:szCs w:val="24"/>
              </w:rPr>
              <w:t>schema</w:t>
            </w:r>
            <w:r w:rsidR="00C82035">
              <w:rPr>
                <w:szCs w:val="24"/>
              </w:rPr>
              <w:t>s</w:t>
            </w:r>
            <w:r w:rsidRPr="00EE1A30">
              <w:rPr>
                <w:szCs w:val="24"/>
              </w:rPr>
              <w:t xml:space="preserve"> in which the monitoring site is physically located in or near (in the rare cases where the monitoring site is not physically located in the water body).</w:t>
            </w:r>
            <w:r>
              <w:t xml:space="preserve"> </w:t>
            </w:r>
          </w:p>
          <w:p w14:paraId="1F3843CB" w14:textId="77777777" w:rsidR="003A46C6" w:rsidRPr="00EE1A30" w:rsidRDefault="003A46C6" w:rsidP="000840F3">
            <w:pPr>
              <w:spacing w:after="120"/>
              <w:jc w:val="both"/>
              <w:rPr>
                <w:szCs w:val="24"/>
              </w:rPr>
            </w:pPr>
            <w:r w:rsidRPr="00EE1A30">
              <w:rPr>
                <w:b/>
                <w:szCs w:val="24"/>
              </w:rPr>
              <w:t>Quality checks</w:t>
            </w:r>
            <w:r w:rsidRPr="00EE1A30">
              <w:rPr>
                <w:szCs w:val="24"/>
              </w:rPr>
              <w:t xml:space="preserve">: </w:t>
            </w:r>
            <w:r w:rsidRPr="00750095">
              <w:rPr>
                <w:szCs w:val="24"/>
              </w:rPr>
              <w:t xml:space="preserve">Cross-schema check: The </w:t>
            </w:r>
            <w:r w:rsidR="003F0806">
              <w:rPr>
                <w:szCs w:val="24"/>
              </w:rPr>
              <w:t xml:space="preserve">water body code must be included </w:t>
            </w:r>
            <w:r w:rsidRPr="00750095">
              <w:rPr>
                <w:szCs w:val="24"/>
              </w:rPr>
              <w:t>in SWB/SurfaceWaterBody/euSurfaceWaterBodyCode</w:t>
            </w:r>
            <w:r w:rsidR="00E618A7">
              <w:rPr>
                <w:szCs w:val="24"/>
              </w:rPr>
              <w:t xml:space="preserve"> or in GWB/GroundWaterBody/euGroundWaterBodyCode</w:t>
            </w:r>
            <w:r w:rsidR="003F0806">
              <w:rPr>
                <w:szCs w:val="24"/>
              </w:rPr>
              <w:t>.</w:t>
            </w:r>
          </w:p>
        </w:tc>
      </w:tr>
      <w:tr w:rsidR="003A46C6" w:rsidRPr="00EE1A30" w14:paraId="67A0D473" w14:textId="77777777" w:rsidTr="003F0806">
        <w:tc>
          <w:tcPr>
            <w:tcW w:w="9847" w:type="dxa"/>
            <w:shd w:val="clear" w:color="auto" w:fill="auto"/>
          </w:tcPr>
          <w:p w14:paraId="6C58DF38" w14:textId="77777777" w:rsidR="003A46C6" w:rsidRDefault="003A46C6"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F1778">
              <w:rPr>
                <w:szCs w:val="24"/>
              </w:rPr>
              <w:t>water</w:t>
            </w:r>
            <w:r w:rsidR="00E618A7">
              <w:rPr>
                <w:szCs w:val="24"/>
              </w:rPr>
              <w:t>Category</w:t>
            </w:r>
          </w:p>
          <w:p w14:paraId="287851AB" w14:textId="77777777" w:rsidR="003A46C6" w:rsidRDefault="003A46C6" w:rsidP="000840F3">
            <w:pPr>
              <w:spacing w:after="120"/>
              <w:jc w:val="both"/>
              <w:rPr>
                <w:szCs w:val="24"/>
              </w:rPr>
            </w:pPr>
            <w:r>
              <w:rPr>
                <w:b/>
                <w:szCs w:val="24"/>
              </w:rPr>
              <w:t xml:space="preserve">Field type / facets: </w:t>
            </w:r>
            <w:r w:rsidR="00830846">
              <w:rPr>
                <w:szCs w:val="24"/>
              </w:rPr>
              <w:t>WaterCategory_Enum: RW, LW, TW, CW, TeW, GW</w:t>
            </w:r>
          </w:p>
          <w:p w14:paraId="2AE1DD5F" w14:textId="77777777" w:rsidR="003A46C6" w:rsidRPr="00EE1A30" w:rsidRDefault="003A46C6" w:rsidP="000840F3">
            <w:pPr>
              <w:spacing w:after="120"/>
              <w:jc w:val="both"/>
              <w:rPr>
                <w:szCs w:val="24"/>
              </w:rPr>
            </w:pPr>
            <w:r w:rsidRPr="006F25ED">
              <w:rPr>
                <w:b/>
                <w:szCs w:val="24"/>
              </w:rPr>
              <w:t>Properties</w:t>
            </w:r>
            <w:r w:rsidRPr="00750095">
              <w:rPr>
                <w:szCs w:val="24"/>
              </w:rPr>
              <w:t>:</w:t>
            </w:r>
            <w:r>
              <w:rPr>
                <w:szCs w:val="24"/>
              </w:rPr>
              <w:t xml:space="preserve"> </w:t>
            </w:r>
            <w:r w:rsidRPr="00750095">
              <w:rPr>
                <w:szCs w:val="24"/>
              </w:rPr>
              <w:t>maxOccurs =1</w:t>
            </w:r>
            <w:r>
              <w:rPr>
                <w:szCs w:val="24"/>
              </w:rPr>
              <w:t xml:space="preserve"> </w:t>
            </w:r>
            <w:r w:rsidRPr="00750095">
              <w:rPr>
                <w:szCs w:val="24"/>
              </w:rPr>
              <w:t xml:space="preserve">minOccurs = </w:t>
            </w:r>
            <w:r w:rsidR="00830846">
              <w:rPr>
                <w:szCs w:val="24"/>
              </w:rPr>
              <w:t>1</w:t>
            </w:r>
          </w:p>
          <w:p w14:paraId="35F64D98" w14:textId="77777777" w:rsidR="003A46C6" w:rsidRPr="00EE1A30" w:rsidRDefault="003A46C6" w:rsidP="000840F3">
            <w:pPr>
              <w:spacing w:after="120"/>
              <w:jc w:val="both"/>
              <w:rPr>
                <w:szCs w:val="24"/>
              </w:rPr>
            </w:pPr>
            <w:r w:rsidRPr="00EE1A30">
              <w:rPr>
                <w:b/>
                <w:szCs w:val="24"/>
              </w:rPr>
              <w:t>Guidance on completion of schema element</w:t>
            </w:r>
            <w:r w:rsidR="003F0806">
              <w:rPr>
                <w:szCs w:val="24"/>
              </w:rPr>
              <w:t>: Required.</w:t>
            </w:r>
            <w:r w:rsidR="00830846">
              <w:rPr>
                <w:szCs w:val="24"/>
              </w:rPr>
              <w:t xml:space="preserve"> Report the water category of the water body that is monitored</w:t>
            </w:r>
            <w:r w:rsidR="003F0806">
              <w:rPr>
                <w:szCs w:val="24"/>
              </w:rPr>
              <w:t xml:space="preserve"> </w:t>
            </w:r>
            <w:r w:rsidR="00830846">
              <w:rPr>
                <w:szCs w:val="24"/>
              </w:rPr>
              <w:t xml:space="preserve">(where the </w:t>
            </w:r>
            <w:r w:rsidRPr="00EE1A30">
              <w:rPr>
                <w:szCs w:val="24"/>
              </w:rPr>
              <w:t>site is physically located in or near</w:t>
            </w:r>
            <w:r w:rsidR="00830846">
              <w:rPr>
                <w:szCs w:val="24"/>
              </w:rPr>
              <w:t>)</w:t>
            </w:r>
            <w:r w:rsidRPr="00EE1A30">
              <w:rPr>
                <w:szCs w:val="24"/>
              </w:rPr>
              <w:t>.</w:t>
            </w:r>
            <w:r>
              <w:t xml:space="preserve"> </w:t>
            </w:r>
          </w:p>
          <w:p w14:paraId="450B9004" w14:textId="77777777" w:rsidR="003A46C6" w:rsidRPr="00830846" w:rsidRDefault="003A46C6" w:rsidP="000840F3">
            <w:pPr>
              <w:spacing w:after="120"/>
              <w:jc w:val="both"/>
              <w:rPr>
                <w:szCs w:val="24"/>
              </w:rPr>
            </w:pPr>
            <w:r w:rsidRPr="00EE1A30">
              <w:rPr>
                <w:b/>
                <w:szCs w:val="24"/>
              </w:rPr>
              <w:t>Quality checks</w:t>
            </w:r>
            <w:r w:rsidRPr="00EE1A30">
              <w:rPr>
                <w:szCs w:val="24"/>
              </w:rPr>
              <w:t xml:space="preserve">: </w:t>
            </w:r>
            <w:r w:rsidR="00830846">
              <w:rPr>
                <w:szCs w:val="24"/>
              </w:rPr>
              <w:t>if ‘</w:t>
            </w:r>
            <w:r w:rsidR="002F1778">
              <w:rPr>
                <w:szCs w:val="24"/>
              </w:rPr>
              <w:t>waterCategory</w:t>
            </w:r>
            <w:r w:rsidR="00830846">
              <w:rPr>
                <w:szCs w:val="24"/>
              </w:rPr>
              <w:t>’ is ‘GW’ then ‘</w:t>
            </w:r>
            <w:r w:rsidR="00830846" w:rsidRPr="00750095">
              <w:rPr>
                <w:szCs w:val="24"/>
              </w:rPr>
              <w:t>euWaterBodyCode</w:t>
            </w:r>
            <w:r w:rsidR="00830846">
              <w:rPr>
                <w:szCs w:val="24"/>
              </w:rPr>
              <w:t xml:space="preserve">’ should be included in GWB/GroundWaterBody/euGroundWaterBodyCode. </w:t>
            </w:r>
          </w:p>
        </w:tc>
      </w:tr>
      <w:tr w:rsidR="006266B1" w:rsidRPr="00EE1A30" w14:paraId="3CB9EE04" w14:textId="77777777" w:rsidTr="003F0806">
        <w:tc>
          <w:tcPr>
            <w:tcW w:w="9847" w:type="dxa"/>
            <w:shd w:val="clear" w:color="auto" w:fill="auto"/>
          </w:tcPr>
          <w:p w14:paraId="2003284E" w14:textId="77777777" w:rsidR="006266B1" w:rsidRPr="00DD6DEC" w:rsidRDefault="006266B1"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ecologicalMonitoring</w:t>
            </w:r>
          </w:p>
          <w:p w14:paraId="342DFAB9" w14:textId="77777777" w:rsidR="006266B1" w:rsidRDefault="006266B1" w:rsidP="000840F3">
            <w:pPr>
              <w:spacing w:after="120"/>
              <w:jc w:val="both"/>
              <w:rPr>
                <w:szCs w:val="24"/>
              </w:rPr>
            </w:pPr>
            <w:r>
              <w:rPr>
                <w:b/>
                <w:szCs w:val="24"/>
              </w:rPr>
              <w:t xml:space="preserve">Field type / facets: </w:t>
            </w:r>
            <w:r w:rsidRPr="00443C76">
              <w:rPr>
                <w:szCs w:val="24"/>
              </w:rPr>
              <w:t>YesNo</w:t>
            </w:r>
            <w:r>
              <w:rPr>
                <w:szCs w:val="24"/>
              </w:rPr>
              <w:t>NotApplicable</w:t>
            </w:r>
            <w:r w:rsidR="005A019F">
              <w:rPr>
                <w:szCs w:val="24"/>
              </w:rPr>
              <w:t>_</w:t>
            </w:r>
            <w:r w:rsidR="00B7771E">
              <w:rPr>
                <w:szCs w:val="24"/>
              </w:rPr>
              <w:t>Union_</w:t>
            </w:r>
            <w:r w:rsidRPr="00443C76">
              <w:rPr>
                <w:szCs w:val="24"/>
              </w:rPr>
              <w:t>Enum</w:t>
            </w:r>
            <w:r>
              <w:rPr>
                <w:szCs w:val="24"/>
              </w:rPr>
              <w:t>: Yes, No, Not applicable</w:t>
            </w:r>
          </w:p>
          <w:p w14:paraId="62F8627F" w14:textId="77777777" w:rsidR="006266B1" w:rsidRPr="00EE1A30" w:rsidRDefault="006266B1" w:rsidP="000840F3">
            <w:pPr>
              <w:spacing w:after="120"/>
              <w:jc w:val="both"/>
              <w:rPr>
                <w:szCs w:val="24"/>
              </w:rPr>
            </w:pPr>
            <w:r w:rsidRPr="006F25ED">
              <w:rPr>
                <w:b/>
                <w:szCs w:val="24"/>
              </w:rPr>
              <w:lastRenderedPageBreak/>
              <w:t>Properties:</w:t>
            </w:r>
            <w:r>
              <w:rPr>
                <w:b/>
                <w:szCs w:val="24"/>
              </w:rPr>
              <w:t xml:space="preserve"> </w:t>
            </w:r>
            <w:r w:rsidRPr="00443C76">
              <w:rPr>
                <w:szCs w:val="24"/>
              </w:rPr>
              <w:t>maxOccurs =1</w:t>
            </w:r>
            <w:r>
              <w:rPr>
                <w:szCs w:val="24"/>
              </w:rPr>
              <w:t xml:space="preserve"> </w:t>
            </w:r>
            <w:r w:rsidRPr="00443C76">
              <w:rPr>
                <w:szCs w:val="24"/>
              </w:rPr>
              <w:t>minOccurs = 1</w:t>
            </w:r>
          </w:p>
          <w:p w14:paraId="6DE7936D" w14:textId="77777777" w:rsidR="006266B1" w:rsidRPr="00EE1A30" w:rsidRDefault="006266B1" w:rsidP="000840F3">
            <w:pPr>
              <w:spacing w:after="120"/>
              <w:jc w:val="both"/>
              <w:rPr>
                <w:szCs w:val="24"/>
              </w:rPr>
            </w:pPr>
            <w:r w:rsidRPr="00EE1A30">
              <w:rPr>
                <w:b/>
                <w:szCs w:val="24"/>
              </w:rPr>
              <w:t>Guidance on completion of schema element</w:t>
            </w:r>
            <w:r w:rsidRPr="00EE1A30">
              <w:rPr>
                <w:szCs w:val="24"/>
              </w:rPr>
              <w:t xml:space="preserve">: Required. Indicate whether the monitoring site is used for </w:t>
            </w:r>
            <w:r>
              <w:rPr>
                <w:szCs w:val="24"/>
              </w:rPr>
              <w:t xml:space="preserve">ecological </w:t>
            </w:r>
            <w:r w:rsidRPr="00EE1A30">
              <w:rPr>
                <w:szCs w:val="24"/>
              </w:rPr>
              <w:t>monitoring.</w:t>
            </w:r>
            <w:r>
              <w:rPr>
                <w:szCs w:val="24"/>
              </w:rPr>
              <w:t xml:space="preserve"> For groundwater monitoring sites report ‘Not applicable’</w:t>
            </w:r>
          </w:p>
          <w:p w14:paraId="680FAF03" w14:textId="77777777" w:rsidR="006266B1" w:rsidRPr="006F25ED" w:rsidRDefault="006266B1" w:rsidP="000840F3">
            <w:pPr>
              <w:spacing w:after="120"/>
              <w:jc w:val="both"/>
              <w:rPr>
                <w:b/>
                <w:szCs w:val="24"/>
              </w:rPr>
            </w:pPr>
            <w:r w:rsidRPr="00EE1A30">
              <w:rPr>
                <w:b/>
                <w:szCs w:val="24"/>
              </w:rPr>
              <w:t>Quality checks</w:t>
            </w:r>
            <w:r w:rsidRPr="00EE1A30">
              <w:rPr>
                <w:szCs w:val="24"/>
              </w:rPr>
              <w:t xml:space="preserve">: </w:t>
            </w:r>
            <w:r>
              <w:rPr>
                <w:szCs w:val="24"/>
              </w:rPr>
              <w:t>Within-schema check: ‘Not applicable’ must be selected if ‘</w:t>
            </w:r>
            <w:r w:rsidR="002F1778">
              <w:rPr>
                <w:szCs w:val="24"/>
              </w:rPr>
              <w:t>waterCategory</w:t>
            </w:r>
            <w:r>
              <w:rPr>
                <w:szCs w:val="24"/>
              </w:rPr>
              <w:t>’ is ‘GW’.</w:t>
            </w:r>
          </w:p>
        </w:tc>
      </w:tr>
      <w:tr w:rsidR="006266B1" w:rsidRPr="00EE1A30" w14:paraId="62C02EC0" w14:textId="77777777" w:rsidTr="003F0806">
        <w:tc>
          <w:tcPr>
            <w:tcW w:w="9847" w:type="dxa"/>
            <w:shd w:val="clear" w:color="auto" w:fill="auto"/>
          </w:tcPr>
          <w:p w14:paraId="43ECE6D2" w14:textId="77777777" w:rsidR="006266B1" w:rsidRPr="00DD6DEC" w:rsidRDefault="006266B1" w:rsidP="000840F3">
            <w:pPr>
              <w:spacing w:after="120"/>
              <w:jc w:val="both"/>
              <w:rPr>
                <w:b/>
                <w:szCs w:val="24"/>
              </w:rPr>
            </w:pPr>
            <w:r w:rsidRPr="006F25ED">
              <w:rPr>
                <w:b/>
                <w:szCs w:val="24"/>
              </w:rPr>
              <w:lastRenderedPageBreak/>
              <w:t>Schema element</w:t>
            </w:r>
            <w:r w:rsidRPr="006266B1">
              <w:rPr>
                <w:szCs w:val="24"/>
              </w:rPr>
              <w:t>:</w:t>
            </w:r>
            <w:r w:rsidR="00E5475F" w:rsidRPr="00E5475F">
              <w:rPr>
                <w:szCs w:val="24"/>
              </w:rPr>
              <w:t xml:space="preserve"> chemical</w:t>
            </w:r>
            <w:r>
              <w:rPr>
                <w:szCs w:val="24"/>
              </w:rPr>
              <w:t>Monitoring</w:t>
            </w:r>
          </w:p>
          <w:p w14:paraId="725FD82F" w14:textId="77777777" w:rsidR="006266B1" w:rsidRDefault="006266B1" w:rsidP="000840F3">
            <w:pPr>
              <w:spacing w:after="120"/>
              <w:jc w:val="both"/>
              <w:rPr>
                <w:szCs w:val="24"/>
              </w:rPr>
            </w:pPr>
            <w:r>
              <w:rPr>
                <w:b/>
                <w:szCs w:val="24"/>
              </w:rPr>
              <w:t xml:space="preserve">Field type / facets: </w:t>
            </w:r>
            <w:r w:rsidRPr="00443C76">
              <w:rPr>
                <w:szCs w:val="24"/>
              </w:rPr>
              <w:t>YesNoCode_Enum</w:t>
            </w:r>
            <w:r>
              <w:rPr>
                <w:szCs w:val="24"/>
              </w:rPr>
              <w:t>: Yes, No</w:t>
            </w:r>
          </w:p>
          <w:p w14:paraId="61F5715E" w14:textId="77777777" w:rsidR="006266B1" w:rsidRPr="00EE1A30" w:rsidRDefault="006266B1" w:rsidP="000840F3">
            <w:pPr>
              <w:spacing w:after="120"/>
              <w:jc w:val="both"/>
              <w:rPr>
                <w:szCs w:val="24"/>
              </w:rPr>
            </w:pPr>
            <w:r w:rsidRPr="006F25ED">
              <w:rPr>
                <w:b/>
                <w:szCs w:val="24"/>
              </w:rPr>
              <w:t>Properties:</w:t>
            </w:r>
            <w:r>
              <w:rPr>
                <w:b/>
                <w:szCs w:val="24"/>
              </w:rPr>
              <w:t xml:space="preserve"> </w:t>
            </w:r>
            <w:r w:rsidRPr="00443C76">
              <w:rPr>
                <w:szCs w:val="24"/>
              </w:rPr>
              <w:t>maxOccurs =1</w:t>
            </w:r>
            <w:r>
              <w:rPr>
                <w:szCs w:val="24"/>
              </w:rPr>
              <w:t xml:space="preserve"> </w:t>
            </w:r>
            <w:r w:rsidRPr="00443C76">
              <w:rPr>
                <w:szCs w:val="24"/>
              </w:rPr>
              <w:t>minOccurs = 1</w:t>
            </w:r>
          </w:p>
          <w:p w14:paraId="200B0B60" w14:textId="77777777" w:rsidR="006266B1" w:rsidRPr="006266B1" w:rsidRDefault="006266B1" w:rsidP="000840F3">
            <w:pPr>
              <w:spacing w:after="120"/>
              <w:jc w:val="both"/>
              <w:rPr>
                <w:szCs w:val="24"/>
              </w:rPr>
            </w:pPr>
            <w:r w:rsidRPr="00EE1A30">
              <w:rPr>
                <w:b/>
                <w:szCs w:val="24"/>
              </w:rPr>
              <w:t>Guidance on completion of schema element</w:t>
            </w:r>
            <w:r w:rsidRPr="00EE1A30">
              <w:rPr>
                <w:szCs w:val="24"/>
              </w:rPr>
              <w:t xml:space="preserve">: Required. Indicate whether the </w:t>
            </w:r>
            <w:r>
              <w:rPr>
                <w:szCs w:val="24"/>
              </w:rPr>
              <w:t xml:space="preserve">surface or groundwater </w:t>
            </w:r>
            <w:r w:rsidRPr="00EE1A30">
              <w:rPr>
                <w:szCs w:val="24"/>
              </w:rPr>
              <w:t xml:space="preserve">monitoring site is used for </w:t>
            </w:r>
            <w:r>
              <w:rPr>
                <w:szCs w:val="24"/>
              </w:rPr>
              <w:t xml:space="preserve">chemical </w:t>
            </w:r>
            <w:r w:rsidRPr="00EE1A30">
              <w:rPr>
                <w:szCs w:val="24"/>
              </w:rPr>
              <w:t>monitoring.</w:t>
            </w:r>
            <w:r>
              <w:rPr>
                <w:szCs w:val="24"/>
              </w:rPr>
              <w:t xml:space="preserve"> </w:t>
            </w:r>
          </w:p>
        </w:tc>
      </w:tr>
      <w:tr w:rsidR="006266B1" w:rsidRPr="00EE1A30" w14:paraId="6C9BAED4" w14:textId="77777777" w:rsidTr="003F0806">
        <w:tc>
          <w:tcPr>
            <w:tcW w:w="9847" w:type="dxa"/>
            <w:shd w:val="clear" w:color="auto" w:fill="auto"/>
          </w:tcPr>
          <w:p w14:paraId="01CE6388" w14:textId="77777777" w:rsidR="006266B1" w:rsidRPr="00DD6DEC" w:rsidRDefault="006266B1"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443C76">
              <w:rPr>
                <w:szCs w:val="24"/>
              </w:rPr>
              <w:t>quantitative</w:t>
            </w:r>
            <w:r>
              <w:rPr>
                <w:szCs w:val="24"/>
              </w:rPr>
              <w:t>Monitoring</w:t>
            </w:r>
          </w:p>
          <w:p w14:paraId="65CCFB79" w14:textId="77777777" w:rsidR="006266B1" w:rsidRDefault="006266B1" w:rsidP="000840F3">
            <w:pPr>
              <w:spacing w:after="120"/>
              <w:jc w:val="both"/>
              <w:rPr>
                <w:szCs w:val="24"/>
              </w:rPr>
            </w:pPr>
            <w:r>
              <w:rPr>
                <w:b/>
                <w:szCs w:val="24"/>
              </w:rPr>
              <w:t xml:space="preserve">Field type / facets: </w:t>
            </w:r>
            <w:r w:rsidRPr="00443C76">
              <w:rPr>
                <w:szCs w:val="24"/>
              </w:rPr>
              <w:t>YesNo</w:t>
            </w:r>
            <w:r>
              <w:rPr>
                <w:szCs w:val="24"/>
              </w:rPr>
              <w:t>NotApplicable</w:t>
            </w:r>
            <w:r w:rsidRPr="00443C76">
              <w:rPr>
                <w:szCs w:val="24"/>
              </w:rPr>
              <w:t>_</w:t>
            </w:r>
            <w:r w:rsidR="00B7771E">
              <w:rPr>
                <w:szCs w:val="24"/>
              </w:rPr>
              <w:t>Union_</w:t>
            </w:r>
            <w:r w:rsidRPr="00443C76">
              <w:rPr>
                <w:szCs w:val="24"/>
              </w:rPr>
              <w:t>Enum</w:t>
            </w:r>
            <w:r>
              <w:rPr>
                <w:szCs w:val="24"/>
              </w:rPr>
              <w:t>: Yes, No, Not applicable</w:t>
            </w:r>
          </w:p>
          <w:p w14:paraId="03D82B1A" w14:textId="77777777" w:rsidR="006266B1" w:rsidRPr="00EE1A30" w:rsidRDefault="006266B1" w:rsidP="000840F3">
            <w:pPr>
              <w:spacing w:after="120"/>
              <w:jc w:val="both"/>
              <w:rPr>
                <w:szCs w:val="24"/>
              </w:rPr>
            </w:pPr>
            <w:r w:rsidRPr="006F25ED">
              <w:rPr>
                <w:b/>
                <w:szCs w:val="24"/>
              </w:rPr>
              <w:t>Properties:</w:t>
            </w:r>
            <w:r>
              <w:rPr>
                <w:b/>
                <w:szCs w:val="24"/>
              </w:rPr>
              <w:t xml:space="preserve"> </w:t>
            </w:r>
            <w:r w:rsidRPr="00443C76">
              <w:rPr>
                <w:szCs w:val="24"/>
              </w:rPr>
              <w:t>maxOccurs =1</w:t>
            </w:r>
            <w:r>
              <w:rPr>
                <w:szCs w:val="24"/>
              </w:rPr>
              <w:t xml:space="preserve"> </w:t>
            </w:r>
            <w:r w:rsidRPr="00443C76">
              <w:rPr>
                <w:szCs w:val="24"/>
              </w:rPr>
              <w:t>minOccurs = 1</w:t>
            </w:r>
          </w:p>
          <w:p w14:paraId="16FA3C45" w14:textId="77777777" w:rsidR="006266B1" w:rsidRPr="00EE1A30" w:rsidRDefault="006266B1" w:rsidP="000840F3">
            <w:pPr>
              <w:spacing w:after="120"/>
              <w:jc w:val="both"/>
              <w:rPr>
                <w:szCs w:val="24"/>
              </w:rPr>
            </w:pPr>
            <w:r w:rsidRPr="00EE1A30">
              <w:rPr>
                <w:b/>
                <w:szCs w:val="24"/>
              </w:rPr>
              <w:t>Guidance on completion of schema element</w:t>
            </w:r>
            <w:r w:rsidRPr="00EE1A30">
              <w:rPr>
                <w:szCs w:val="24"/>
              </w:rPr>
              <w:t>: Required. Indicate whether the groundwater monitoring site is used for quantitative monitoring.</w:t>
            </w:r>
            <w:r>
              <w:rPr>
                <w:szCs w:val="24"/>
              </w:rPr>
              <w:t xml:space="preserve"> For surface water monitoring sites report ‘Not applicable’</w:t>
            </w:r>
          </w:p>
          <w:p w14:paraId="18E6E2E8" w14:textId="77777777" w:rsidR="006266B1" w:rsidRPr="00EE1A30" w:rsidRDefault="006266B1" w:rsidP="000840F3">
            <w:pPr>
              <w:spacing w:after="120"/>
              <w:jc w:val="both"/>
              <w:rPr>
                <w:b/>
                <w:szCs w:val="24"/>
              </w:rPr>
            </w:pPr>
            <w:r w:rsidRPr="00EE1A30">
              <w:rPr>
                <w:b/>
                <w:szCs w:val="24"/>
              </w:rPr>
              <w:t>Quality checks</w:t>
            </w:r>
            <w:r w:rsidRPr="00EE1A30">
              <w:rPr>
                <w:szCs w:val="24"/>
              </w:rPr>
              <w:t xml:space="preserve">: </w:t>
            </w:r>
            <w:r>
              <w:rPr>
                <w:szCs w:val="24"/>
              </w:rPr>
              <w:t>Within-schema check: ‘Not applicable’ must be selected if ‘</w:t>
            </w:r>
            <w:r w:rsidR="002F1778">
              <w:rPr>
                <w:szCs w:val="24"/>
              </w:rPr>
              <w:t>waterCategory</w:t>
            </w:r>
            <w:r>
              <w:rPr>
                <w:szCs w:val="24"/>
              </w:rPr>
              <w:t>’ is not ‘GW’.</w:t>
            </w:r>
          </w:p>
        </w:tc>
      </w:tr>
      <w:tr w:rsidR="006266B1" w:rsidRPr="00EE1A30" w14:paraId="7B70167B" w14:textId="77777777" w:rsidTr="003F0806">
        <w:tc>
          <w:tcPr>
            <w:tcW w:w="9847" w:type="dxa"/>
            <w:shd w:val="clear" w:color="auto" w:fill="auto"/>
          </w:tcPr>
          <w:p w14:paraId="2B8EDEF9" w14:textId="77777777" w:rsidR="006266B1" w:rsidRPr="00DD6DEC" w:rsidRDefault="006266B1"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582805">
              <w:rPr>
                <w:szCs w:val="24"/>
              </w:rPr>
              <w:t>quantitativeFrequency</w:t>
            </w:r>
          </w:p>
          <w:p w14:paraId="230CB5C6" w14:textId="77777777" w:rsidR="006266B1" w:rsidRDefault="006266B1" w:rsidP="000840F3">
            <w:pPr>
              <w:spacing w:after="120"/>
              <w:jc w:val="both"/>
              <w:rPr>
                <w:szCs w:val="24"/>
              </w:rPr>
            </w:pPr>
            <w:r>
              <w:rPr>
                <w:b/>
                <w:szCs w:val="24"/>
              </w:rPr>
              <w:t xml:space="preserve">Field type / facets: </w:t>
            </w:r>
            <w:r w:rsidR="00C4474A">
              <w:rPr>
                <w:szCs w:val="24"/>
              </w:rPr>
              <w:t>nonNegativeInteger</w:t>
            </w:r>
          </w:p>
          <w:p w14:paraId="39A63310" w14:textId="77777777" w:rsidR="006266B1" w:rsidRPr="00587683" w:rsidRDefault="006266B1" w:rsidP="000840F3">
            <w:pPr>
              <w:spacing w:after="120"/>
              <w:jc w:val="both"/>
              <w:rPr>
                <w:szCs w:val="24"/>
              </w:rPr>
            </w:pPr>
            <w:r w:rsidRPr="006F25ED">
              <w:rPr>
                <w:b/>
                <w:szCs w:val="24"/>
              </w:rPr>
              <w:t>Properties:</w:t>
            </w:r>
            <w:r>
              <w:rPr>
                <w:b/>
                <w:szCs w:val="24"/>
              </w:rPr>
              <w:t xml:space="preserve"> </w:t>
            </w:r>
            <w:r w:rsidRPr="00582805">
              <w:rPr>
                <w:szCs w:val="24"/>
              </w:rPr>
              <w:t>maxOccurs =1</w:t>
            </w:r>
            <w:r>
              <w:rPr>
                <w:szCs w:val="24"/>
              </w:rPr>
              <w:t xml:space="preserve"> </w:t>
            </w:r>
            <w:r w:rsidRPr="00582805">
              <w:rPr>
                <w:szCs w:val="24"/>
              </w:rPr>
              <w:t>minOccurs = 0</w:t>
            </w:r>
          </w:p>
          <w:p w14:paraId="3801C740" w14:textId="77777777" w:rsidR="006266B1" w:rsidRPr="00EE1A30" w:rsidRDefault="006266B1" w:rsidP="000840F3">
            <w:pPr>
              <w:spacing w:after="120"/>
              <w:jc w:val="both"/>
              <w:rPr>
                <w:szCs w:val="24"/>
              </w:rPr>
            </w:pPr>
            <w:r w:rsidRPr="00EE1A30">
              <w:rPr>
                <w:b/>
                <w:szCs w:val="24"/>
              </w:rPr>
              <w:t>Guidance on completion of schema element</w:t>
            </w:r>
            <w:r w:rsidRPr="00EE1A30">
              <w:rPr>
                <w:szCs w:val="24"/>
              </w:rPr>
              <w:t>: Conditional. If the groundwater monitoring site is used for quantitative monitoring, report the frequency of monitoring.</w:t>
            </w:r>
          </w:p>
          <w:p w14:paraId="3745C54E" w14:textId="77777777" w:rsidR="006266B1" w:rsidRPr="00EE1A30" w:rsidRDefault="006266B1" w:rsidP="000840F3">
            <w:pPr>
              <w:spacing w:after="120"/>
              <w:jc w:val="both"/>
              <w:rPr>
                <w:szCs w:val="24"/>
              </w:rPr>
            </w:pPr>
            <w:r w:rsidRPr="00EE1A30">
              <w:rPr>
                <w:szCs w:val="24"/>
              </w:rPr>
              <w:t>Further guidance on what should be reported</w:t>
            </w:r>
            <w:r>
              <w:rPr>
                <w:szCs w:val="24"/>
              </w:rPr>
              <w:t xml:space="preserve"> is provided in the glossary in section </w:t>
            </w:r>
            <w:r w:rsidR="00FD7F29">
              <w:fldChar w:fldCharType="begin"/>
            </w:r>
            <w:r w:rsidR="00FD7F29">
              <w:instrText xml:space="preserve"> REF _Ref425176628 \r \h  \* MERGEFORMAT </w:instrText>
            </w:r>
            <w:r w:rsidR="00FD7F29">
              <w:fldChar w:fldCharType="separate"/>
            </w:r>
            <w:r w:rsidR="00F66939" w:rsidRPr="00F66939">
              <w:rPr>
                <w:szCs w:val="24"/>
              </w:rPr>
              <w:t>4.3.5</w:t>
            </w:r>
            <w:r w:rsidR="00FD7F29">
              <w:fldChar w:fldCharType="end"/>
            </w:r>
            <w:r w:rsidRPr="00EE1A30">
              <w:rPr>
                <w:szCs w:val="24"/>
              </w:rPr>
              <w:t>.</w:t>
            </w:r>
            <w:r w:rsidRPr="00582805">
              <w:rPr>
                <w:szCs w:val="24"/>
              </w:rPr>
              <w:t xml:space="preserve"> </w:t>
            </w:r>
          </w:p>
          <w:p w14:paraId="0AAF2020" w14:textId="77777777" w:rsidR="006266B1" w:rsidRPr="00EE1A30" w:rsidRDefault="006266B1" w:rsidP="000840F3">
            <w:pPr>
              <w:spacing w:after="120"/>
              <w:jc w:val="both"/>
              <w:rPr>
                <w:b/>
                <w:szCs w:val="24"/>
              </w:rPr>
            </w:pPr>
            <w:r w:rsidRPr="00EE1A30">
              <w:rPr>
                <w:b/>
                <w:szCs w:val="24"/>
              </w:rPr>
              <w:t>Quality checks</w:t>
            </w:r>
            <w:r w:rsidRPr="00EE1A30">
              <w:rPr>
                <w:szCs w:val="24"/>
              </w:rPr>
              <w:t xml:space="preserve">: </w:t>
            </w:r>
            <w:r w:rsidRPr="00582805">
              <w:rPr>
                <w:szCs w:val="24"/>
              </w:rPr>
              <w:t xml:space="preserve">Conditional check: Report if </w:t>
            </w:r>
            <w:r>
              <w:rPr>
                <w:szCs w:val="24"/>
              </w:rPr>
              <w:t>‘</w:t>
            </w:r>
            <w:r w:rsidRPr="00582805">
              <w:rPr>
                <w:szCs w:val="24"/>
              </w:rPr>
              <w:t>quantitative</w:t>
            </w:r>
            <w:r>
              <w:rPr>
                <w:szCs w:val="24"/>
              </w:rPr>
              <w:t>Monitoring’</w:t>
            </w:r>
            <w:r w:rsidRPr="00582805">
              <w:rPr>
                <w:szCs w:val="24"/>
              </w:rPr>
              <w:t xml:space="preserve"> is ‘Yes’.</w:t>
            </w:r>
          </w:p>
        </w:tc>
      </w:tr>
      <w:tr w:rsidR="003012CA" w:rsidRPr="00EE1A30" w14:paraId="5B175549" w14:textId="77777777" w:rsidTr="003F0806">
        <w:tc>
          <w:tcPr>
            <w:tcW w:w="9847" w:type="dxa"/>
            <w:shd w:val="clear" w:color="auto" w:fill="auto"/>
          </w:tcPr>
          <w:p w14:paraId="161B68FE" w14:textId="77777777" w:rsidR="003012CA" w:rsidRPr="00BF71A2" w:rsidRDefault="003012CA" w:rsidP="000840F3">
            <w:pPr>
              <w:spacing w:after="120"/>
              <w:jc w:val="both"/>
              <w:rPr>
                <w:b/>
              </w:rPr>
            </w:pPr>
            <w:r w:rsidRPr="00BF71A2">
              <w:rPr>
                <w:b/>
              </w:rPr>
              <w:t>Schema element</w:t>
            </w:r>
            <w:r w:rsidRPr="00BF71A2">
              <w:t>:</w:t>
            </w:r>
            <w:r w:rsidRPr="00BF71A2">
              <w:rPr>
                <w:b/>
              </w:rPr>
              <w:t xml:space="preserve"> </w:t>
            </w:r>
            <w:r w:rsidRPr="00BF71A2">
              <w:t>quantitativeCycle</w:t>
            </w:r>
          </w:p>
          <w:p w14:paraId="349798F0" w14:textId="77777777" w:rsidR="00F5365D" w:rsidRPr="00BF71A2" w:rsidRDefault="003012CA" w:rsidP="000840F3">
            <w:pPr>
              <w:spacing w:after="120"/>
              <w:jc w:val="both"/>
            </w:pPr>
            <w:r w:rsidRPr="00BF71A2">
              <w:rPr>
                <w:b/>
              </w:rPr>
              <w:t xml:space="preserve">Field type / facets: </w:t>
            </w:r>
            <w:r w:rsidR="00C4474A">
              <w:t>nonNegativeInteger</w:t>
            </w:r>
          </w:p>
          <w:p w14:paraId="36D2FFA9" w14:textId="77777777" w:rsidR="003012CA" w:rsidRPr="00BF71A2" w:rsidRDefault="003012CA" w:rsidP="000840F3">
            <w:pPr>
              <w:spacing w:after="120"/>
              <w:jc w:val="both"/>
            </w:pPr>
            <w:r w:rsidRPr="00BF71A2">
              <w:rPr>
                <w:b/>
              </w:rPr>
              <w:t>Properties</w:t>
            </w:r>
            <w:r w:rsidRPr="00BF71A2">
              <w:t>: maxOccurs =1 minOccurs = 0</w:t>
            </w:r>
          </w:p>
          <w:p w14:paraId="57A6D361" w14:textId="77777777" w:rsidR="003012CA" w:rsidRPr="00EE1A30" w:rsidRDefault="003012CA" w:rsidP="000840F3">
            <w:pPr>
              <w:spacing w:after="120"/>
              <w:jc w:val="both"/>
              <w:rPr>
                <w:szCs w:val="24"/>
              </w:rPr>
            </w:pPr>
            <w:r w:rsidRPr="00EE1A30">
              <w:rPr>
                <w:b/>
                <w:szCs w:val="24"/>
              </w:rPr>
              <w:t>Guidance on completion of schema element</w:t>
            </w:r>
            <w:r w:rsidRPr="00EE1A30">
              <w:rPr>
                <w:szCs w:val="24"/>
              </w:rPr>
              <w:t>: Conditional. If the groundwater monitoring site is used for quantitative monitoring, report the cycle of monitoring.</w:t>
            </w:r>
          </w:p>
          <w:p w14:paraId="36081A0A" w14:textId="77777777" w:rsidR="003012CA" w:rsidRPr="00EE1A30" w:rsidRDefault="003012CA" w:rsidP="000840F3">
            <w:pPr>
              <w:spacing w:after="120"/>
              <w:jc w:val="both"/>
              <w:rPr>
                <w:szCs w:val="24"/>
              </w:rPr>
            </w:pPr>
            <w:r w:rsidRPr="00EE1A30">
              <w:rPr>
                <w:szCs w:val="24"/>
              </w:rPr>
              <w:t>Further guidance on what should be reported i</w:t>
            </w:r>
            <w:r>
              <w:rPr>
                <w:szCs w:val="24"/>
              </w:rPr>
              <w:t xml:space="preserve">s provided in the glossary in section </w:t>
            </w:r>
            <w:r w:rsidR="00FD7F29">
              <w:fldChar w:fldCharType="begin"/>
            </w:r>
            <w:r w:rsidR="00FD7F29">
              <w:instrText xml:space="preserve"> REF _Ref425176628 \r \h  \* MERGEFORMAT </w:instrText>
            </w:r>
            <w:r w:rsidR="00FD7F29">
              <w:fldChar w:fldCharType="separate"/>
            </w:r>
            <w:r w:rsidR="00F66939" w:rsidRPr="00F66939">
              <w:rPr>
                <w:szCs w:val="24"/>
              </w:rPr>
              <w:t>4.3.5</w:t>
            </w:r>
            <w:r w:rsidR="00FD7F29">
              <w:fldChar w:fldCharType="end"/>
            </w:r>
            <w:r w:rsidRPr="00EE1A30">
              <w:rPr>
                <w:szCs w:val="24"/>
              </w:rPr>
              <w:t>.</w:t>
            </w:r>
            <w:r w:rsidRPr="00C017C6">
              <w:rPr>
                <w:szCs w:val="24"/>
              </w:rPr>
              <w:t xml:space="preserve"> </w:t>
            </w:r>
          </w:p>
          <w:p w14:paraId="6FDBB763" w14:textId="77777777" w:rsidR="003012CA" w:rsidRPr="006F25ED" w:rsidRDefault="003012CA" w:rsidP="000840F3">
            <w:pPr>
              <w:spacing w:after="120"/>
              <w:jc w:val="both"/>
              <w:rPr>
                <w:b/>
                <w:szCs w:val="24"/>
              </w:rPr>
            </w:pPr>
            <w:r w:rsidRPr="00EE1A30">
              <w:rPr>
                <w:b/>
                <w:szCs w:val="24"/>
              </w:rPr>
              <w:t>Quality checks</w:t>
            </w:r>
            <w:r w:rsidRPr="00EE1A30">
              <w:rPr>
                <w:szCs w:val="24"/>
              </w:rPr>
              <w:t xml:space="preserve">: </w:t>
            </w:r>
            <w:r w:rsidRPr="00582805">
              <w:rPr>
                <w:szCs w:val="24"/>
              </w:rPr>
              <w:t xml:space="preserve">Conditional check: Report if </w:t>
            </w:r>
            <w:r>
              <w:rPr>
                <w:szCs w:val="24"/>
              </w:rPr>
              <w:t>‘</w:t>
            </w:r>
            <w:r w:rsidRPr="00582805">
              <w:rPr>
                <w:szCs w:val="24"/>
              </w:rPr>
              <w:t>quantitative</w:t>
            </w:r>
            <w:r>
              <w:rPr>
                <w:szCs w:val="24"/>
              </w:rPr>
              <w:t>Monitoring’</w:t>
            </w:r>
            <w:r w:rsidRPr="00582805">
              <w:rPr>
                <w:szCs w:val="24"/>
              </w:rPr>
              <w:t xml:space="preserve"> is ‘Yes’.</w:t>
            </w:r>
            <w:r w:rsidRPr="00EE1A30">
              <w:rPr>
                <w:szCs w:val="24"/>
              </w:rPr>
              <w:t xml:space="preserve"> </w:t>
            </w:r>
          </w:p>
        </w:tc>
      </w:tr>
      <w:tr w:rsidR="003012CA" w:rsidRPr="00EE1A30" w14:paraId="63D92DF0" w14:textId="77777777" w:rsidTr="003F0806">
        <w:tc>
          <w:tcPr>
            <w:tcW w:w="9847" w:type="dxa"/>
            <w:shd w:val="clear" w:color="auto" w:fill="auto"/>
          </w:tcPr>
          <w:p w14:paraId="292FC92F" w14:textId="77777777" w:rsidR="003012CA" w:rsidRPr="00DD6DEC" w:rsidRDefault="003012CA" w:rsidP="000840F3">
            <w:pPr>
              <w:spacing w:after="120"/>
              <w:jc w:val="both"/>
              <w:rPr>
                <w:b/>
                <w:szCs w:val="24"/>
              </w:rPr>
            </w:pPr>
            <w:r w:rsidRPr="006F25ED">
              <w:rPr>
                <w:b/>
                <w:szCs w:val="24"/>
              </w:rPr>
              <w:t xml:space="preserve">Schema element: </w:t>
            </w:r>
            <w:r w:rsidRPr="00C017C6">
              <w:rPr>
                <w:szCs w:val="24"/>
              </w:rPr>
              <w:t>quantitativeLastMonitored</w:t>
            </w:r>
          </w:p>
          <w:p w14:paraId="2945C6A0" w14:textId="77777777" w:rsidR="003012CA" w:rsidRDefault="003012CA" w:rsidP="000840F3">
            <w:pPr>
              <w:spacing w:after="120"/>
              <w:jc w:val="both"/>
              <w:rPr>
                <w:szCs w:val="24"/>
              </w:rPr>
            </w:pPr>
            <w:r>
              <w:rPr>
                <w:b/>
                <w:szCs w:val="24"/>
              </w:rPr>
              <w:t xml:space="preserve">Field type / facets: </w:t>
            </w:r>
            <w:r w:rsidR="00AF2BEF">
              <w:rPr>
                <w:szCs w:val="24"/>
              </w:rPr>
              <w:t>YearRangeType</w:t>
            </w:r>
          </w:p>
          <w:p w14:paraId="74E1A497" w14:textId="77777777" w:rsidR="003012CA" w:rsidRPr="00587683" w:rsidRDefault="003012CA" w:rsidP="000840F3">
            <w:pPr>
              <w:spacing w:after="120"/>
              <w:jc w:val="both"/>
              <w:rPr>
                <w:szCs w:val="24"/>
              </w:rPr>
            </w:pPr>
            <w:r w:rsidRPr="006F25ED">
              <w:rPr>
                <w:b/>
                <w:szCs w:val="24"/>
              </w:rPr>
              <w:t>Properties:</w:t>
            </w:r>
            <w:r>
              <w:rPr>
                <w:b/>
                <w:szCs w:val="24"/>
              </w:rPr>
              <w:t xml:space="preserve"> </w:t>
            </w:r>
            <w:r w:rsidRPr="00C017C6">
              <w:rPr>
                <w:szCs w:val="24"/>
              </w:rPr>
              <w:t>maxOccurs =1</w:t>
            </w:r>
            <w:r>
              <w:rPr>
                <w:szCs w:val="24"/>
              </w:rPr>
              <w:t xml:space="preserve"> </w:t>
            </w:r>
            <w:r w:rsidRPr="00C017C6">
              <w:rPr>
                <w:szCs w:val="24"/>
              </w:rPr>
              <w:t>minOccurs = 0</w:t>
            </w:r>
          </w:p>
          <w:p w14:paraId="0F74251A" w14:textId="77777777" w:rsidR="003012CA" w:rsidRPr="00EE1A30" w:rsidRDefault="003012CA" w:rsidP="000840F3">
            <w:pPr>
              <w:spacing w:after="120"/>
              <w:jc w:val="both"/>
              <w:rPr>
                <w:color w:val="000000"/>
                <w:szCs w:val="24"/>
              </w:rPr>
            </w:pPr>
            <w:r w:rsidRPr="00EE1A30">
              <w:rPr>
                <w:b/>
                <w:szCs w:val="24"/>
              </w:rPr>
              <w:t>Guidance on completion of schema element</w:t>
            </w:r>
            <w:r w:rsidRPr="00EE1A30">
              <w:rPr>
                <w:szCs w:val="24"/>
              </w:rPr>
              <w:t xml:space="preserve">: </w:t>
            </w:r>
            <w:r>
              <w:rPr>
                <w:szCs w:val="24"/>
              </w:rPr>
              <w:t>Conditional</w:t>
            </w:r>
            <w:r w:rsidRPr="00EE1A30">
              <w:rPr>
                <w:szCs w:val="24"/>
              </w:rPr>
              <w:t xml:space="preserve">. If the groundwater monitoring site is used for quantitative monitoring, report the most recent year in the format YYYY that was monitored. Enter </w:t>
            </w:r>
            <w:r w:rsidR="00AF2BEF">
              <w:rPr>
                <w:szCs w:val="24"/>
              </w:rPr>
              <w:t>9999</w:t>
            </w:r>
            <w:r w:rsidRPr="00EE1A30">
              <w:rPr>
                <w:color w:val="000000"/>
                <w:szCs w:val="24"/>
              </w:rPr>
              <w:t xml:space="preserve"> if parameter has yet to be measured.</w:t>
            </w:r>
            <w:r w:rsidRPr="00EE1A30" w:rsidDel="00536880">
              <w:rPr>
                <w:color w:val="000000"/>
                <w:szCs w:val="24"/>
              </w:rPr>
              <w:t xml:space="preserve"> </w:t>
            </w:r>
          </w:p>
          <w:p w14:paraId="75C00DAA" w14:textId="77777777" w:rsidR="003012CA" w:rsidRPr="006F25ED" w:rsidRDefault="003012CA" w:rsidP="000840F3">
            <w:pPr>
              <w:spacing w:after="120"/>
              <w:jc w:val="both"/>
              <w:rPr>
                <w:b/>
                <w:szCs w:val="24"/>
              </w:rPr>
            </w:pPr>
            <w:r w:rsidRPr="00EE1A30">
              <w:rPr>
                <w:b/>
                <w:szCs w:val="24"/>
              </w:rPr>
              <w:t>Quality checks</w:t>
            </w:r>
            <w:r w:rsidRPr="00EE1A30">
              <w:rPr>
                <w:szCs w:val="24"/>
              </w:rPr>
              <w:t xml:space="preserve">: </w:t>
            </w:r>
            <w:r w:rsidRPr="00582805">
              <w:rPr>
                <w:szCs w:val="24"/>
              </w:rPr>
              <w:t xml:space="preserve">Conditional check: Report if </w:t>
            </w:r>
            <w:r>
              <w:rPr>
                <w:szCs w:val="24"/>
              </w:rPr>
              <w:t>‘</w:t>
            </w:r>
            <w:r w:rsidRPr="00582805">
              <w:rPr>
                <w:szCs w:val="24"/>
              </w:rPr>
              <w:t>quantitative</w:t>
            </w:r>
            <w:r>
              <w:rPr>
                <w:szCs w:val="24"/>
              </w:rPr>
              <w:t>Monitoring’</w:t>
            </w:r>
            <w:r w:rsidRPr="00582805">
              <w:rPr>
                <w:szCs w:val="24"/>
              </w:rPr>
              <w:t xml:space="preserve"> is ‘Yes’.</w:t>
            </w:r>
          </w:p>
        </w:tc>
      </w:tr>
      <w:tr w:rsidR="003012CA" w:rsidRPr="00EE1A30" w14:paraId="30D097EC" w14:textId="77777777" w:rsidTr="003F0806">
        <w:tc>
          <w:tcPr>
            <w:tcW w:w="9847" w:type="dxa"/>
            <w:shd w:val="clear" w:color="auto" w:fill="auto"/>
          </w:tcPr>
          <w:p w14:paraId="1DC441B5" w14:textId="77777777" w:rsidR="003012CA" w:rsidRDefault="003012CA" w:rsidP="000840F3">
            <w:pPr>
              <w:spacing w:after="120"/>
              <w:jc w:val="both"/>
              <w:rPr>
                <w:szCs w:val="24"/>
              </w:rPr>
            </w:pPr>
            <w:r w:rsidRPr="006F25ED" w:rsidDel="00925309">
              <w:rPr>
                <w:b/>
                <w:szCs w:val="24"/>
              </w:rPr>
              <w:lastRenderedPageBreak/>
              <w:t>Schema element</w:t>
            </w:r>
            <w:r w:rsidRPr="006F25ED" w:rsidDel="00925309">
              <w:rPr>
                <w:szCs w:val="24"/>
              </w:rPr>
              <w:t>:</w:t>
            </w:r>
            <w:r w:rsidRPr="006F25ED" w:rsidDel="00925309">
              <w:rPr>
                <w:b/>
                <w:szCs w:val="24"/>
              </w:rPr>
              <w:t xml:space="preserve"> </w:t>
            </w:r>
            <w:r>
              <w:rPr>
                <w:szCs w:val="24"/>
              </w:rPr>
              <w:t>well</w:t>
            </w:r>
            <w:r w:rsidR="00BF71A2">
              <w:rPr>
                <w:szCs w:val="24"/>
              </w:rPr>
              <w:t>S</w:t>
            </w:r>
            <w:r>
              <w:rPr>
                <w:szCs w:val="24"/>
              </w:rPr>
              <w:t>pring</w:t>
            </w:r>
          </w:p>
          <w:p w14:paraId="0D19775A" w14:textId="77777777" w:rsidR="003012CA" w:rsidRDefault="003012CA" w:rsidP="000840F3">
            <w:pPr>
              <w:spacing w:after="120"/>
              <w:jc w:val="both"/>
              <w:rPr>
                <w:szCs w:val="24"/>
              </w:rPr>
            </w:pPr>
            <w:r w:rsidDel="00925309">
              <w:rPr>
                <w:b/>
                <w:szCs w:val="24"/>
              </w:rPr>
              <w:t xml:space="preserve">Field type / facets: </w:t>
            </w:r>
            <w:r w:rsidRPr="00F31EAC" w:rsidDel="00925309">
              <w:rPr>
                <w:szCs w:val="24"/>
              </w:rPr>
              <w:t>WellSpring_Enum</w:t>
            </w:r>
            <w:r w:rsidDel="00925309">
              <w:rPr>
                <w:szCs w:val="24"/>
              </w:rPr>
              <w:t>:</w:t>
            </w:r>
            <w:r w:rsidRPr="00EE1A30" w:rsidDel="00925309">
              <w:rPr>
                <w:szCs w:val="24"/>
              </w:rPr>
              <w:t>Well</w:t>
            </w:r>
            <w:r>
              <w:rPr>
                <w:szCs w:val="24"/>
              </w:rPr>
              <w:t xml:space="preserve">, </w:t>
            </w:r>
            <w:r w:rsidRPr="00EE1A30" w:rsidDel="00925309">
              <w:rPr>
                <w:szCs w:val="24"/>
              </w:rPr>
              <w:t>Spring</w:t>
            </w:r>
            <w:r>
              <w:rPr>
                <w:szCs w:val="24"/>
              </w:rPr>
              <w:t xml:space="preserve">, </w:t>
            </w:r>
            <w:r w:rsidRPr="00EE1A30" w:rsidDel="00925309">
              <w:rPr>
                <w:szCs w:val="24"/>
              </w:rPr>
              <w:t>Other</w:t>
            </w:r>
          </w:p>
          <w:p w14:paraId="25046CD2" w14:textId="77777777" w:rsidR="003012CA" w:rsidRDefault="003012CA" w:rsidP="000840F3">
            <w:pPr>
              <w:spacing w:after="120"/>
              <w:jc w:val="both"/>
              <w:rPr>
                <w:szCs w:val="24"/>
              </w:rPr>
            </w:pPr>
            <w:r w:rsidRPr="006F25ED" w:rsidDel="00925309">
              <w:rPr>
                <w:b/>
                <w:szCs w:val="24"/>
              </w:rPr>
              <w:t>Properties:</w:t>
            </w:r>
            <w:r w:rsidDel="00925309">
              <w:rPr>
                <w:b/>
                <w:szCs w:val="24"/>
              </w:rPr>
              <w:t xml:space="preserve"> </w:t>
            </w:r>
            <w:r w:rsidRPr="00F31EAC" w:rsidDel="00925309">
              <w:rPr>
                <w:szCs w:val="24"/>
              </w:rPr>
              <w:t>maxOccurs =1</w:t>
            </w:r>
            <w:r w:rsidDel="00925309">
              <w:rPr>
                <w:szCs w:val="24"/>
              </w:rPr>
              <w:t xml:space="preserve"> </w:t>
            </w:r>
            <w:r w:rsidRPr="00F31EAC" w:rsidDel="00925309">
              <w:rPr>
                <w:szCs w:val="24"/>
              </w:rPr>
              <w:t xml:space="preserve">minOccurs = </w:t>
            </w:r>
            <w:r>
              <w:rPr>
                <w:szCs w:val="24"/>
              </w:rPr>
              <w:t>0</w:t>
            </w:r>
          </w:p>
          <w:p w14:paraId="35CF85D0" w14:textId="77777777" w:rsidR="003012CA" w:rsidRPr="00EE1A30" w:rsidDel="00925309" w:rsidRDefault="003012CA" w:rsidP="000840F3">
            <w:pPr>
              <w:spacing w:after="120"/>
              <w:jc w:val="both"/>
              <w:rPr>
                <w:szCs w:val="24"/>
              </w:rPr>
            </w:pPr>
            <w:r w:rsidRPr="00EE1A30" w:rsidDel="00925309">
              <w:rPr>
                <w:b/>
                <w:szCs w:val="24"/>
              </w:rPr>
              <w:t>Guidance on completion of schema element</w:t>
            </w:r>
            <w:r w:rsidRPr="00EE1A30" w:rsidDel="00925309">
              <w:rPr>
                <w:szCs w:val="24"/>
              </w:rPr>
              <w:t xml:space="preserve">: </w:t>
            </w:r>
            <w:r>
              <w:rPr>
                <w:szCs w:val="24"/>
              </w:rPr>
              <w:t>Conditional</w:t>
            </w:r>
            <w:r w:rsidRPr="00EE1A30" w:rsidDel="00925309">
              <w:rPr>
                <w:szCs w:val="24"/>
              </w:rPr>
              <w:t xml:space="preserve">. </w:t>
            </w:r>
            <w:r>
              <w:rPr>
                <w:szCs w:val="24"/>
              </w:rPr>
              <w:t>For groundwater sites, i</w:t>
            </w:r>
            <w:r w:rsidRPr="00EE1A30" w:rsidDel="00925309">
              <w:rPr>
                <w:szCs w:val="24"/>
              </w:rPr>
              <w:t>ndicate whether the groundwater monitoring site is a well, spring or other.</w:t>
            </w:r>
          </w:p>
          <w:p w14:paraId="754D4803" w14:textId="77777777" w:rsidR="003012CA" w:rsidRPr="006F25ED" w:rsidRDefault="003012CA" w:rsidP="000840F3">
            <w:pPr>
              <w:spacing w:after="120"/>
              <w:jc w:val="both"/>
              <w:rPr>
                <w:b/>
                <w:szCs w:val="24"/>
              </w:rPr>
            </w:pPr>
            <w:r w:rsidRPr="00EE1A30" w:rsidDel="00925309">
              <w:rPr>
                <w:b/>
                <w:szCs w:val="24"/>
              </w:rPr>
              <w:t>Quality checks</w:t>
            </w:r>
            <w:r w:rsidRPr="00EE1A30" w:rsidDel="00925309">
              <w:rPr>
                <w:szCs w:val="24"/>
              </w:rPr>
              <w:t xml:space="preserve">: </w:t>
            </w:r>
            <w:r w:rsidRPr="006266B1">
              <w:rPr>
                <w:szCs w:val="24"/>
              </w:rPr>
              <w:t>Conditional check</w:t>
            </w:r>
            <w:r>
              <w:rPr>
                <w:szCs w:val="24"/>
              </w:rPr>
              <w:t>: report it ‘waterCategory’ is ‘GW’</w:t>
            </w:r>
            <w:r>
              <w:rPr>
                <w:b/>
                <w:szCs w:val="24"/>
              </w:rPr>
              <w:t xml:space="preserve"> </w:t>
            </w:r>
          </w:p>
        </w:tc>
      </w:tr>
      <w:tr w:rsidR="003012CA" w:rsidRPr="00EE1A30" w14:paraId="3DB05B9F" w14:textId="77777777" w:rsidTr="003F0806">
        <w:tc>
          <w:tcPr>
            <w:tcW w:w="9847" w:type="dxa"/>
            <w:shd w:val="clear" w:color="auto" w:fill="auto"/>
          </w:tcPr>
          <w:p w14:paraId="4D6103BD" w14:textId="77777777" w:rsidR="003012CA" w:rsidRDefault="003012CA" w:rsidP="000840F3">
            <w:pPr>
              <w:spacing w:after="120"/>
              <w:jc w:val="both"/>
              <w:rPr>
                <w:szCs w:val="24"/>
              </w:rPr>
            </w:pPr>
            <w:r w:rsidRPr="006F25ED" w:rsidDel="00925309">
              <w:rPr>
                <w:b/>
                <w:szCs w:val="24"/>
              </w:rPr>
              <w:t>Schema element</w:t>
            </w:r>
            <w:r w:rsidRPr="006F25ED" w:rsidDel="00925309">
              <w:rPr>
                <w:szCs w:val="24"/>
              </w:rPr>
              <w:t>:</w:t>
            </w:r>
            <w:r w:rsidRPr="006F25ED" w:rsidDel="00925309">
              <w:rPr>
                <w:b/>
                <w:szCs w:val="24"/>
              </w:rPr>
              <w:t xml:space="preserve"> </w:t>
            </w:r>
            <w:r w:rsidRPr="00F31EAC" w:rsidDel="00925309">
              <w:rPr>
                <w:szCs w:val="24"/>
              </w:rPr>
              <w:t>depth</w:t>
            </w:r>
          </w:p>
          <w:p w14:paraId="1DD93CAF" w14:textId="77777777" w:rsidR="003012CA" w:rsidRDefault="003012CA" w:rsidP="000840F3">
            <w:pPr>
              <w:spacing w:after="120"/>
              <w:jc w:val="both"/>
              <w:rPr>
                <w:szCs w:val="24"/>
              </w:rPr>
            </w:pPr>
            <w:r w:rsidDel="00925309">
              <w:rPr>
                <w:b/>
                <w:szCs w:val="24"/>
              </w:rPr>
              <w:t xml:space="preserve">Field type / facets: </w:t>
            </w:r>
            <w:r w:rsidRPr="00F31EAC" w:rsidDel="00925309">
              <w:rPr>
                <w:szCs w:val="24"/>
              </w:rPr>
              <w:t>MonitoringDepth_Enum</w:t>
            </w:r>
            <w:r w:rsidDel="00925309">
              <w:rPr>
                <w:szCs w:val="24"/>
              </w:rPr>
              <w:t>:</w:t>
            </w:r>
            <w:r w:rsidRPr="00EE1A30" w:rsidDel="00925309">
              <w:rPr>
                <w:szCs w:val="24"/>
              </w:rPr>
              <w:t>Upper</w:t>
            </w:r>
            <w:r>
              <w:rPr>
                <w:szCs w:val="24"/>
              </w:rPr>
              <w:t xml:space="preserve">, </w:t>
            </w:r>
            <w:r w:rsidRPr="00EE1A30" w:rsidDel="00925309">
              <w:rPr>
                <w:szCs w:val="24"/>
              </w:rPr>
              <w:t>Medium</w:t>
            </w:r>
            <w:r>
              <w:rPr>
                <w:szCs w:val="24"/>
              </w:rPr>
              <w:t xml:space="preserve">, </w:t>
            </w:r>
            <w:r w:rsidRPr="00EE1A30" w:rsidDel="00925309">
              <w:rPr>
                <w:szCs w:val="24"/>
              </w:rPr>
              <w:t>Lower</w:t>
            </w:r>
            <w:r>
              <w:rPr>
                <w:szCs w:val="24"/>
              </w:rPr>
              <w:t xml:space="preserve">, </w:t>
            </w:r>
            <w:r w:rsidRPr="00EE1A30" w:rsidDel="00925309">
              <w:rPr>
                <w:szCs w:val="24"/>
              </w:rPr>
              <w:t>Mixed</w:t>
            </w:r>
          </w:p>
          <w:p w14:paraId="31F9C2F1" w14:textId="77777777" w:rsidR="003012CA" w:rsidRDefault="003012CA" w:rsidP="000840F3">
            <w:pPr>
              <w:spacing w:after="120"/>
              <w:jc w:val="both"/>
              <w:rPr>
                <w:szCs w:val="24"/>
              </w:rPr>
            </w:pPr>
            <w:r w:rsidRPr="006F25ED" w:rsidDel="00925309">
              <w:rPr>
                <w:b/>
                <w:szCs w:val="24"/>
              </w:rPr>
              <w:t>Properties</w:t>
            </w:r>
            <w:r w:rsidRPr="00F31EAC" w:rsidDel="00925309">
              <w:rPr>
                <w:szCs w:val="24"/>
              </w:rPr>
              <w:t>:</w:t>
            </w:r>
            <w:r w:rsidDel="00925309">
              <w:rPr>
                <w:szCs w:val="24"/>
              </w:rPr>
              <w:t xml:space="preserve"> </w:t>
            </w:r>
            <w:r w:rsidRPr="00F31EAC" w:rsidDel="00925309">
              <w:rPr>
                <w:szCs w:val="24"/>
              </w:rPr>
              <w:t>maxOccurs =1</w:t>
            </w:r>
            <w:r w:rsidDel="00925309">
              <w:rPr>
                <w:szCs w:val="24"/>
              </w:rPr>
              <w:t xml:space="preserve"> </w:t>
            </w:r>
            <w:r>
              <w:rPr>
                <w:szCs w:val="24"/>
              </w:rPr>
              <w:t>minOccurs = 0</w:t>
            </w:r>
          </w:p>
          <w:p w14:paraId="55B86853" w14:textId="77777777" w:rsidR="003012CA" w:rsidRDefault="003012CA" w:rsidP="000840F3">
            <w:pPr>
              <w:spacing w:after="120"/>
              <w:jc w:val="both"/>
              <w:rPr>
                <w:szCs w:val="24"/>
              </w:rPr>
            </w:pPr>
            <w:r w:rsidRPr="00EE1A30" w:rsidDel="00925309">
              <w:rPr>
                <w:b/>
                <w:szCs w:val="24"/>
              </w:rPr>
              <w:t>Guidance on completion of schema element</w:t>
            </w:r>
            <w:r w:rsidRPr="00EE1A30" w:rsidDel="00925309">
              <w:rPr>
                <w:szCs w:val="24"/>
              </w:rPr>
              <w:t xml:space="preserve">: </w:t>
            </w:r>
            <w:r>
              <w:rPr>
                <w:szCs w:val="24"/>
              </w:rPr>
              <w:t>Conditional</w:t>
            </w:r>
            <w:r w:rsidRPr="00EE1A30" w:rsidDel="00925309">
              <w:rPr>
                <w:szCs w:val="24"/>
              </w:rPr>
              <w:t xml:space="preserve">. </w:t>
            </w:r>
            <w:r>
              <w:rPr>
                <w:szCs w:val="24"/>
              </w:rPr>
              <w:t>For groundwater monitoring sites, i</w:t>
            </w:r>
            <w:r w:rsidRPr="00EE1A30" w:rsidDel="00925309">
              <w:rPr>
                <w:szCs w:val="24"/>
              </w:rPr>
              <w:t>ndicate the groundwater layer within the groundwater body in which sampling occurs. Please see visualization of multi-layered GWBs in sections 1.3 and 2.3 of Annex 4.</w:t>
            </w:r>
          </w:p>
          <w:p w14:paraId="1E870AA7" w14:textId="77777777" w:rsidR="003012CA" w:rsidRPr="006F25ED" w:rsidRDefault="003012CA" w:rsidP="000840F3">
            <w:pPr>
              <w:spacing w:after="120"/>
              <w:jc w:val="both"/>
              <w:rPr>
                <w:b/>
                <w:szCs w:val="24"/>
              </w:rPr>
            </w:pPr>
            <w:r w:rsidRPr="00EE1A30" w:rsidDel="00925309">
              <w:rPr>
                <w:b/>
                <w:szCs w:val="24"/>
              </w:rPr>
              <w:t>Quality checks</w:t>
            </w:r>
            <w:r w:rsidRPr="00EE1A30" w:rsidDel="00925309">
              <w:rPr>
                <w:szCs w:val="24"/>
              </w:rPr>
              <w:t xml:space="preserve">: </w:t>
            </w:r>
            <w:r w:rsidRPr="00BE46AF">
              <w:rPr>
                <w:szCs w:val="24"/>
              </w:rPr>
              <w:t>Conditional check</w:t>
            </w:r>
            <w:r>
              <w:rPr>
                <w:szCs w:val="24"/>
              </w:rPr>
              <w:t>: report it ‘waterCategory’ is ‘GW’</w:t>
            </w:r>
            <w:r>
              <w:rPr>
                <w:b/>
                <w:szCs w:val="24"/>
              </w:rPr>
              <w:t xml:space="preserve"> </w:t>
            </w:r>
          </w:p>
        </w:tc>
      </w:tr>
    </w:tbl>
    <w:p w14:paraId="31B7AA05" w14:textId="77777777" w:rsidR="0061058A" w:rsidRPr="00EE1A30" w:rsidRDefault="0061058A" w:rsidP="000840F3">
      <w:pPr>
        <w:jc w:val="both"/>
        <w:rPr>
          <w:b/>
        </w:rPr>
      </w:pPr>
    </w:p>
    <w:p w14:paraId="6E0251B0" w14:textId="77777777" w:rsidR="00CE7105" w:rsidRPr="00EE1A30" w:rsidRDefault="00A02FB1" w:rsidP="000840F3">
      <w:pPr>
        <w:jc w:val="both"/>
      </w:pPr>
      <w:r>
        <w:t xml:space="preserve">The following class (child of MonitoringSite) is used to report </w:t>
      </w:r>
      <w:r w:rsidR="00CE7105" w:rsidRPr="00EE1A30">
        <w:t xml:space="preserve">each QE </w:t>
      </w:r>
      <w:r w:rsidR="009F6A03" w:rsidRPr="00EE1A30">
        <w:t>monitored at the surface water monitoring site</w:t>
      </w:r>
      <w:r w:rsidR="00CE7105"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F6A03" w:rsidRPr="00EE1A30" w14:paraId="531C8865" w14:textId="77777777" w:rsidTr="005B3D2B">
        <w:tc>
          <w:tcPr>
            <w:tcW w:w="9847" w:type="dxa"/>
            <w:shd w:val="clear" w:color="auto" w:fill="auto"/>
          </w:tcPr>
          <w:p w14:paraId="6A04BEE7" w14:textId="77777777" w:rsidR="009F6A03" w:rsidRPr="00DD6DEC" w:rsidRDefault="009F6A03" w:rsidP="000840F3">
            <w:pPr>
              <w:spacing w:after="120"/>
              <w:jc w:val="both"/>
              <w:rPr>
                <w:b/>
                <w:szCs w:val="24"/>
              </w:rPr>
            </w:pPr>
            <w:r w:rsidRPr="00EE1A30">
              <w:rPr>
                <w:b/>
                <w:szCs w:val="24"/>
              </w:rPr>
              <w:t>Schema: Mon</w:t>
            </w:r>
            <w:r w:rsidR="006F25ED" w:rsidRPr="006F25ED">
              <w:rPr>
                <w:b/>
                <w:szCs w:val="24"/>
              </w:rPr>
              <w:t>itoring</w:t>
            </w:r>
            <w:r w:rsidR="00D02DDC">
              <w:rPr>
                <w:b/>
                <w:szCs w:val="24"/>
              </w:rPr>
              <w:t xml:space="preserve"> (continued)</w:t>
            </w:r>
          </w:p>
        </w:tc>
      </w:tr>
      <w:tr w:rsidR="009F6A03" w:rsidRPr="00EE1A30" w14:paraId="67A77E7A" w14:textId="77777777" w:rsidTr="005B3D2B">
        <w:tc>
          <w:tcPr>
            <w:tcW w:w="9847" w:type="dxa"/>
            <w:shd w:val="clear" w:color="auto" w:fill="auto"/>
          </w:tcPr>
          <w:p w14:paraId="08A97ACA" w14:textId="77777777" w:rsidR="009F6A03" w:rsidRDefault="00D02DDC" w:rsidP="000840F3">
            <w:pPr>
              <w:spacing w:after="120"/>
              <w:jc w:val="both"/>
              <w:rPr>
                <w:b/>
                <w:i/>
                <w:szCs w:val="24"/>
              </w:rPr>
            </w:pPr>
            <w:r>
              <w:rPr>
                <w:b/>
                <w:i/>
                <w:szCs w:val="24"/>
              </w:rPr>
              <w:t>Class SWEcological</w:t>
            </w:r>
            <w:r w:rsidR="002F1778">
              <w:rPr>
                <w:b/>
                <w:i/>
                <w:szCs w:val="24"/>
              </w:rPr>
              <w:t>Monitoring</w:t>
            </w:r>
          </w:p>
          <w:p w14:paraId="68D840AB" w14:textId="77777777" w:rsidR="00830846" w:rsidRDefault="00D02DDC" w:rsidP="000840F3">
            <w:pPr>
              <w:spacing w:after="120"/>
              <w:jc w:val="both"/>
              <w:rPr>
                <w:i/>
                <w:szCs w:val="24"/>
              </w:rPr>
            </w:pPr>
            <w:r>
              <w:rPr>
                <w:b/>
                <w:i/>
                <w:szCs w:val="24"/>
              </w:rPr>
              <w:t>Properties:</w:t>
            </w:r>
            <w:r>
              <w:rPr>
                <w:i/>
                <w:szCs w:val="24"/>
              </w:rPr>
              <w:t xml:space="preserve"> maxOccurs = unbounded minOccurs = 0</w:t>
            </w:r>
          </w:p>
          <w:p w14:paraId="4B35BD2F" w14:textId="77777777" w:rsidR="006266B1" w:rsidRPr="00D02DDC" w:rsidRDefault="006266B1" w:rsidP="000840F3">
            <w:pPr>
              <w:spacing w:after="120"/>
              <w:jc w:val="both"/>
              <w:rPr>
                <w:i/>
                <w:szCs w:val="24"/>
              </w:rPr>
            </w:pPr>
            <w:r>
              <w:rPr>
                <w:i/>
                <w:szCs w:val="24"/>
              </w:rPr>
              <w:t>Conditional check: report at least 1 if ecologicalMonitoring is ‘Yes’</w:t>
            </w:r>
          </w:p>
        </w:tc>
      </w:tr>
      <w:tr w:rsidR="005B3D2B" w:rsidRPr="00EE1A30" w14:paraId="7C7457E8" w14:textId="77777777" w:rsidTr="005B3D2B">
        <w:tc>
          <w:tcPr>
            <w:tcW w:w="9847" w:type="dxa"/>
            <w:shd w:val="clear" w:color="auto" w:fill="auto"/>
          </w:tcPr>
          <w:p w14:paraId="1FABF653" w14:textId="77777777" w:rsidR="005B3D2B"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A162E0" w:rsidRPr="002F1778">
              <w:rPr>
                <w:szCs w:val="24"/>
              </w:rPr>
              <w:t>qeCode</w:t>
            </w:r>
          </w:p>
          <w:p w14:paraId="23158620" w14:textId="77777777" w:rsidR="005B3D2B" w:rsidRDefault="006B17DF" w:rsidP="000840F3">
            <w:pPr>
              <w:spacing w:after="120"/>
              <w:jc w:val="both"/>
              <w:rPr>
                <w:szCs w:val="24"/>
              </w:rPr>
            </w:pPr>
            <w:r>
              <w:rPr>
                <w:b/>
                <w:szCs w:val="24"/>
              </w:rPr>
              <w:t xml:space="preserve">Field type / facets: </w:t>
            </w:r>
            <w:r w:rsidR="00511FA4">
              <w:t>QualityElement</w:t>
            </w:r>
            <w:r w:rsidR="002F1778">
              <w:t>_Enum</w:t>
            </w:r>
            <w:r w:rsidR="00D02DDC">
              <w:rPr>
                <w:szCs w:val="24"/>
              </w:rPr>
              <w:t xml:space="preserve"> (see Annex 8</w:t>
            </w:r>
            <w:r w:rsidR="00531CDC">
              <w:rPr>
                <w:szCs w:val="24"/>
              </w:rPr>
              <w:t>h</w:t>
            </w:r>
            <w:r w:rsidR="00D02DDC">
              <w:rPr>
                <w:szCs w:val="24"/>
              </w:rPr>
              <w:t xml:space="preserve">) </w:t>
            </w:r>
          </w:p>
          <w:p w14:paraId="0BC74767" w14:textId="77777777" w:rsidR="005C3A99" w:rsidRPr="00EE1A30" w:rsidRDefault="006F25ED" w:rsidP="000840F3">
            <w:pPr>
              <w:spacing w:after="120"/>
              <w:jc w:val="both"/>
              <w:rPr>
                <w:szCs w:val="24"/>
                <w:lang w:eastAsia="en-GB"/>
              </w:rPr>
            </w:pPr>
            <w:r w:rsidRPr="006F25ED">
              <w:rPr>
                <w:b/>
                <w:szCs w:val="24"/>
                <w:lang w:eastAsia="en-GB"/>
              </w:rPr>
              <w:t>Properties</w:t>
            </w:r>
            <w:r w:rsidR="005C3A99" w:rsidRPr="005C3A99">
              <w:rPr>
                <w:szCs w:val="24"/>
                <w:lang w:eastAsia="en-GB"/>
              </w:rPr>
              <w:t>:</w:t>
            </w:r>
            <w:r w:rsidR="00137DB7">
              <w:rPr>
                <w:szCs w:val="24"/>
                <w:lang w:eastAsia="en-GB"/>
              </w:rPr>
              <w:t xml:space="preserve"> </w:t>
            </w:r>
            <w:r w:rsidR="005C3A99" w:rsidRPr="005C3A99">
              <w:rPr>
                <w:szCs w:val="24"/>
                <w:lang w:eastAsia="en-GB"/>
              </w:rPr>
              <w:t>maxOccurs =1</w:t>
            </w:r>
            <w:r w:rsidR="00137DB7">
              <w:rPr>
                <w:szCs w:val="24"/>
                <w:lang w:eastAsia="en-GB"/>
              </w:rPr>
              <w:t xml:space="preserve"> </w:t>
            </w:r>
            <w:r w:rsidR="005C3A99" w:rsidRPr="005C3A99">
              <w:rPr>
                <w:szCs w:val="24"/>
                <w:lang w:eastAsia="en-GB"/>
              </w:rPr>
              <w:t>minOccurs = 1</w:t>
            </w:r>
          </w:p>
          <w:p w14:paraId="770B02B9" w14:textId="77777777" w:rsidR="005B3D2B" w:rsidRPr="00EE1A30" w:rsidRDefault="005B3D2B" w:rsidP="000840F3">
            <w:pPr>
              <w:spacing w:after="120"/>
              <w:jc w:val="both"/>
              <w:rPr>
                <w:b/>
                <w:szCs w:val="24"/>
              </w:rPr>
            </w:pPr>
            <w:r w:rsidRPr="00EE1A30">
              <w:rPr>
                <w:b/>
                <w:szCs w:val="24"/>
              </w:rPr>
              <w:t>Guidance on completion of schema element</w:t>
            </w:r>
            <w:r w:rsidRPr="00EE1A30">
              <w:rPr>
                <w:szCs w:val="24"/>
              </w:rPr>
              <w:t>: Required</w:t>
            </w:r>
            <w:r w:rsidR="00D02DDC">
              <w:rPr>
                <w:rStyle w:val="Refdenotaalpie"/>
                <w:szCs w:val="24"/>
              </w:rPr>
              <w:footnoteReference w:id="8"/>
            </w:r>
            <w:r w:rsidRPr="00EE1A30">
              <w:rPr>
                <w:szCs w:val="24"/>
              </w:rPr>
              <w:t xml:space="preserve">. </w:t>
            </w:r>
            <w:r w:rsidR="00A77EFC" w:rsidRPr="00EE1A30">
              <w:rPr>
                <w:szCs w:val="24"/>
              </w:rPr>
              <w:t>S</w:t>
            </w:r>
            <w:r w:rsidRPr="00EE1A30">
              <w:rPr>
                <w:szCs w:val="24"/>
              </w:rPr>
              <w:t>elect all the quality elements (QEs) monitored at this surface water monitoring site from the enumeration list.</w:t>
            </w:r>
            <w:r w:rsidR="005C3A99" w:rsidRPr="00EE1A30" w:rsidDel="005C3A99">
              <w:rPr>
                <w:szCs w:val="24"/>
              </w:rPr>
              <w:t xml:space="preserve"> </w:t>
            </w:r>
          </w:p>
        </w:tc>
      </w:tr>
      <w:tr w:rsidR="005B3D2B" w:rsidRPr="00EE1A30" w14:paraId="2665FC2F" w14:textId="77777777" w:rsidTr="005B3D2B">
        <w:tc>
          <w:tcPr>
            <w:tcW w:w="9847" w:type="dxa"/>
            <w:shd w:val="clear" w:color="auto" w:fill="auto"/>
          </w:tcPr>
          <w:p w14:paraId="165D6448" w14:textId="77777777" w:rsidR="006C2522" w:rsidRDefault="005B3D2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F1778">
              <w:rPr>
                <w:szCs w:val="24"/>
              </w:rPr>
              <w:t>qeDescription</w:t>
            </w:r>
          </w:p>
          <w:p w14:paraId="17DCE185" w14:textId="77777777" w:rsidR="005B3D2B" w:rsidRDefault="006B17DF" w:rsidP="000840F3">
            <w:pPr>
              <w:spacing w:after="120"/>
              <w:jc w:val="both"/>
              <w:rPr>
                <w:szCs w:val="24"/>
              </w:rPr>
            </w:pPr>
            <w:r>
              <w:rPr>
                <w:b/>
                <w:szCs w:val="24"/>
              </w:rPr>
              <w:t xml:space="preserve">Field type / facets: </w:t>
            </w:r>
            <w:r w:rsidR="005C3A99" w:rsidRPr="005C3A99">
              <w:rPr>
                <w:szCs w:val="24"/>
              </w:rPr>
              <w:t>String100Type</w:t>
            </w:r>
          </w:p>
          <w:p w14:paraId="0FC46A1C" w14:textId="77777777" w:rsidR="005C3A99" w:rsidRPr="005C3A99" w:rsidRDefault="005C3A99" w:rsidP="000840F3">
            <w:pPr>
              <w:spacing w:after="120"/>
              <w:jc w:val="both"/>
              <w:rPr>
                <w:szCs w:val="24"/>
              </w:rPr>
            </w:pPr>
            <w:r w:rsidRPr="005C3A99">
              <w:rPr>
                <w:b/>
                <w:szCs w:val="24"/>
              </w:rPr>
              <w:t>Properties:</w:t>
            </w:r>
            <w:r w:rsidR="00137DB7">
              <w:rPr>
                <w:b/>
                <w:szCs w:val="24"/>
              </w:rPr>
              <w:t xml:space="preserve"> </w:t>
            </w:r>
            <w:r w:rsidR="006F25ED" w:rsidRPr="006F25ED">
              <w:rPr>
                <w:szCs w:val="24"/>
              </w:rPr>
              <w:t>maxOccurs =1</w:t>
            </w:r>
            <w:r w:rsidR="00137DB7">
              <w:rPr>
                <w:szCs w:val="24"/>
              </w:rPr>
              <w:t xml:space="preserve"> </w:t>
            </w:r>
            <w:r w:rsidR="006F25ED" w:rsidRPr="006F25ED">
              <w:rPr>
                <w:szCs w:val="24"/>
              </w:rPr>
              <w:t>minOccurs = 0</w:t>
            </w:r>
          </w:p>
          <w:p w14:paraId="7D276FE3" w14:textId="77777777" w:rsidR="005C3A99" w:rsidRPr="00EE1A30" w:rsidRDefault="005B3D2B" w:rsidP="000840F3">
            <w:pPr>
              <w:spacing w:after="120"/>
              <w:jc w:val="both"/>
              <w:rPr>
                <w:szCs w:val="24"/>
              </w:rPr>
            </w:pPr>
            <w:r w:rsidRPr="00EE1A30">
              <w:rPr>
                <w:b/>
                <w:szCs w:val="24"/>
              </w:rPr>
              <w:t>Guidance on completion of schema element</w:t>
            </w:r>
            <w:r w:rsidRPr="00EE1A30">
              <w:rPr>
                <w:szCs w:val="24"/>
              </w:rPr>
              <w:t xml:space="preserve">: </w:t>
            </w:r>
            <w:r w:rsidR="005C3A99" w:rsidRPr="005C3A99">
              <w:rPr>
                <w:szCs w:val="24"/>
              </w:rPr>
              <w:t>Conditional. If ‘</w:t>
            </w:r>
            <w:r w:rsidR="002F1778">
              <w:rPr>
                <w:szCs w:val="24"/>
              </w:rPr>
              <w:t xml:space="preserve">QE1-5 - </w:t>
            </w:r>
            <w:r w:rsidR="005C3A99" w:rsidRPr="005C3A99">
              <w:rPr>
                <w:szCs w:val="24"/>
              </w:rPr>
              <w:t>Other</w:t>
            </w:r>
            <w:r w:rsidR="002F1778">
              <w:rPr>
                <w:szCs w:val="24"/>
              </w:rPr>
              <w:t xml:space="preserve"> species</w:t>
            </w:r>
            <w:r w:rsidR="005C3A99" w:rsidRPr="005C3A99">
              <w:rPr>
                <w:szCs w:val="24"/>
              </w:rPr>
              <w:t>’ has been selected from the enumeration list and reported under qualityElementCode, provide the name of the other QE(s) monitored at this surface water monitoring site</w:t>
            </w:r>
          </w:p>
          <w:p w14:paraId="6CFC4EC0" w14:textId="77777777" w:rsidR="005B3D2B" w:rsidRPr="00EE1A30" w:rsidRDefault="005B3D2B" w:rsidP="000840F3">
            <w:pPr>
              <w:spacing w:after="120"/>
              <w:jc w:val="both"/>
              <w:rPr>
                <w:b/>
                <w:szCs w:val="24"/>
              </w:rPr>
            </w:pPr>
            <w:r w:rsidRPr="00EE1A30">
              <w:rPr>
                <w:b/>
                <w:szCs w:val="24"/>
              </w:rPr>
              <w:t>Quality checks</w:t>
            </w:r>
            <w:r w:rsidRPr="00EE1A30">
              <w:rPr>
                <w:szCs w:val="24"/>
              </w:rPr>
              <w:t xml:space="preserve">: </w:t>
            </w:r>
            <w:r w:rsidR="005C3A99" w:rsidRPr="005C3A99">
              <w:rPr>
                <w:szCs w:val="24"/>
              </w:rPr>
              <w:t>Conditional check: Report if ‘</w:t>
            </w:r>
            <w:r w:rsidR="002F1778">
              <w:rPr>
                <w:szCs w:val="24"/>
              </w:rPr>
              <w:t xml:space="preserve">QE1-5 - </w:t>
            </w:r>
            <w:r w:rsidR="005C3A99" w:rsidRPr="005C3A99">
              <w:rPr>
                <w:szCs w:val="24"/>
              </w:rPr>
              <w:t>Other</w:t>
            </w:r>
            <w:r w:rsidR="002F1778">
              <w:rPr>
                <w:szCs w:val="24"/>
              </w:rPr>
              <w:t xml:space="preserve"> species</w:t>
            </w:r>
            <w:r w:rsidR="005C3A99" w:rsidRPr="005C3A99">
              <w:rPr>
                <w:szCs w:val="24"/>
              </w:rPr>
              <w:t>’ is selected from the enumeration list under qualityElementCode.</w:t>
            </w:r>
          </w:p>
        </w:tc>
      </w:tr>
      <w:tr w:rsidR="005B3D2B" w:rsidRPr="00EE1A30" w14:paraId="464E0491" w14:textId="77777777" w:rsidTr="005B3D2B">
        <w:tc>
          <w:tcPr>
            <w:tcW w:w="9847" w:type="dxa"/>
            <w:shd w:val="clear" w:color="auto" w:fill="auto"/>
          </w:tcPr>
          <w:p w14:paraId="31886839" w14:textId="77777777" w:rsidR="005B3D2B"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896AEF" w:rsidRPr="00896AEF">
              <w:rPr>
                <w:szCs w:val="24"/>
              </w:rPr>
              <w:t>qeFrequency</w:t>
            </w:r>
          </w:p>
          <w:p w14:paraId="591321AE" w14:textId="77777777" w:rsidR="005B3D2B" w:rsidRDefault="006B17DF" w:rsidP="000840F3">
            <w:pPr>
              <w:spacing w:after="120"/>
              <w:jc w:val="both"/>
              <w:rPr>
                <w:szCs w:val="24"/>
              </w:rPr>
            </w:pPr>
            <w:r>
              <w:rPr>
                <w:b/>
                <w:szCs w:val="24"/>
              </w:rPr>
              <w:lastRenderedPageBreak/>
              <w:t xml:space="preserve">Field type / facets: </w:t>
            </w:r>
            <w:r w:rsidR="002C20B1">
              <w:rPr>
                <w:szCs w:val="24"/>
              </w:rPr>
              <w:t>nonNegativeInteger</w:t>
            </w:r>
          </w:p>
          <w:p w14:paraId="4DFFFB48" w14:textId="77777777" w:rsidR="00896AEF" w:rsidRPr="00587683" w:rsidRDefault="006F25ED" w:rsidP="000840F3">
            <w:pPr>
              <w:spacing w:after="120"/>
              <w:jc w:val="both"/>
              <w:rPr>
                <w:szCs w:val="24"/>
              </w:rPr>
            </w:pPr>
            <w:r w:rsidRPr="006F25ED">
              <w:rPr>
                <w:b/>
                <w:szCs w:val="24"/>
              </w:rPr>
              <w:t>Properties</w:t>
            </w:r>
            <w:r w:rsidR="00896AEF" w:rsidRPr="00896AEF">
              <w:rPr>
                <w:szCs w:val="24"/>
              </w:rPr>
              <w:t>:</w:t>
            </w:r>
            <w:r w:rsidR="00137DB7">
              <w:rPr>
                <w:szCs w:val="24"/>
              </w:rPr>
              <w:t xml:space="preserve"> </w:t>
            </w:r>
            <w:r w:rsidR="00896AEF" w:rsidRPr="00896AEF">
              <w:rPr>
                <w:szCs w:val="24"/>
              </w:rPr>
              <w:t>maxOccurs =1</w:t>
            </w:r>
            <w:r w:rsidR="00137DB7">
              <w:rPr>
                <w:szCs w:val="24"/>
              </w:rPr>
              <w:t xml:space="preserve"> </w:t>
            </w:r>
            <w:r w:rsidR="00896AEF" w:rsidRPr="00896AEF">
              <w:rPr>
                <w:szCs w:val="24"/>
              </w:rPr>
              <w:t>minOccurs = 1</w:t>
            </w:r>
          </w:p>
          <w:p w14:paraId="7057E8A6" w14:textId="77777777" w:rsidR="005B3D2B" w:rsidRPr="00EE1A30" w:rsidRDefault="005B3D2B" w:rsidP="000840F3">
            <w:pPr>
              <w:spacing w:after="120"/>
              <w:jc w:val="both"/>
              <w:rPr>
                <w:szCs w:val="24"/>
              </w:rPr>
            </w:pPr>
            <w:r w:rsidRPr="00EE1A30">
              <w:rPr>
                <w:b/>
                <w:szCs w:val="24"/>
              </w:rPr>
              <w:t>Guidance on completion of schema element</w:t>
            </w:r>
            <w:r w:rsidRPr="00EE1A30">
              <w:rPr>
                <w:szCs w:val="24"/>
              </w:rPr>
              <w:t xml:space="preserve">: </w:t>
            </w:r>
            <w:r w:rsidR="004C34EF" w:rsidRPr="00EE1A30">
              <w:rPr>
                <w:szCs w:val="24"/>
              </w:rPr>
              <w:t>Required</w:t>
            </w:r>
            <w:r w:rsidRPr="00EE1A30">
              <w:rPr>
                <w:szCs w:val="24"/>
              </w:rPr>
              <w:t xml:space="preserve">. Report the frequency at which </w:t>
            </w:r>
            <w:r w:rsidR="004C34EF" w:rsidRPr="00EE1A30">
              <w:rPr>
                <w:szCs w:val="24"/>
              </w:rPr>
              <w:t xml:space="preserve">each </w:t>
            </w:r>
            <w:r w:rsidR="00D36903" w:rsidRPr="00EE1A30">
              <w:rPr>
                <w:szCs w:val="24"/>
              </w:rPr>
              <w:t>QE</w:t>
            </w:r>
            <w:r w:rsidRPr="00EE1A30">
              <w:rPr>
                <w:szCs w:val="24"/>
              </w:rPr>
              <w:t xml:space="preserve"> is monitored at this surface water monitoring site.</w:t>
            </w:r>
          </w:p>
          <w:p w14:paraId="77850CEE" w14:textId="77777777" w:rsidR="005B3D2B" w:rsidRPr="00EE1A30" w:rsidRDefault="005B3D2B" w:rsidP="000840F3">
            <w:pPr>
              <w:spacing w:after="120"/>
              <w:jc w:val="both"/>
              <w:rPr>
                <w:b/>
                <w:szCs w:val="24"/>
              </w:rPr>
            </w:pPr>
            <w:r w:rsidRPr="00EE1A30">
              <w:rPr>
                <w:szCs w:val="24"/>
              </w:rPr>
              <w:t xml:space="preserve">Further guidance on what should be reported is provided in the glossary </w:t>
            </w:r>
            <w:r w:rsidR="00830846">
              <w:rPr>
                <w:szCs w:val="24"/>
              </w:rPr>
              <w:t xml:space="preserve">in section </w:t>
            </w:r>
            <w:r w:rsidR="00FD7F29">
              <w:fldChar w:fldCharType="begin"/>
            </w:r>
            <w:r w:rsidR="00FD7F29">
              <w:instrText xml:space="preserve"> REF _Ref425176628 \r \h  \* MERGEFORMAT </w:instrText>
            </w:r>
            <w:r w:rsidR="00FD7F29">
              <w:fldChar w:fldCharType="separate"/>
            </w:r>
            <w:r w:rsidR="00F66939" w:rsidRPr="00F66939">
              <w:rPr>
                <w:szCs w:val="24"/>
              </w:rPr>
              <w:t>4.3.5</w:t>
            </w:r>
            <w:r w:rsidR="00FD7F29">
              <w:fldChar w:fldCharType="end"/>
            </w:r>
            <w:r w:rsidRPr="00EE1A30">
              <w:rPr>
                <w:szCs w:val="24"/>
              </w:rPr>
              <w:t>.</w:t>
            </w:r>
          </w:p>
        </w:tc>
      </w:tr>
      <w:tr w:rsidR="005B3D2B" w:rsidRPr="00EE1A30" w14:paraId="2F4F0D6E" w14:textId="77777777" w:rsidTr="005B3D2B">
        <w:tc>
          <w:tcPr>
            <w:tcW w:w="9847" w:type="dxa"/>
            <w:shd w:val="clear" w:color="auto" w:fill="auto"/>
          </w:tcPr>
          <w:p w14:paraId="3A11FD20" w14:textId="77777777" w:rsidR="005B3D2B"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896AEF" w:rsidRPr="00896AEF">
              <w:rPr>
                <w:szCs w:val="24"/>
              </w:rPr>
              <w:t>qeCycle</w:t>
            </w:r>
          </w:p>
          <w:p w14:paraId="5F289548" w14:textId="77777777" w:rsidR="005B3D2B" w:rsidRDefault="006B17DF" w:rsidP="000840F3">
            <w:pPr>
              <w:spacing w:after="120"/>
              <w:jc w:val="both"/>
              <w:rPr>
                <w:szCs w:val="24"/>
              </w:rPr>
            </w:pPr>
            <w:r>
              <w:rPr>
                <w:b/>
                <w:szCs w:val="24"/>
              </w:rPr>
              <w:t xml:space="preserve">Field type / facets: </w:t>
            </w:r>
            <w:r w:rsidR="00C4474A">
              <w:rPr>
                <w:szCs w:val="24"/>
              </w:rPr>
              <w:t>nonNegativeInteger</w:t>
            </w:r>
          </w:p>
          <w:p w14:paraId="32F3D123" w14:textId="77777777" w:rsidR="004A3FFE" w:rsidRPr="00587683" w:rsidRDefault="006F25ED" w:rsidP="000840F3">
            <w:pPr>
              <w:spacing w:after="120"/>
              <w:jc w:val="both"/>
              <w:rPr>
                <w:szCs w:val="24"/>
              </w:rPr>
            </w:pPr>
            <w:r w:rsidRPr="006F25ED">
              <w:rPr>
                <w:b/>
                <w:szCs w:val="24"/>
              </w:rPr>
              <w:t>Properties</w:t>
            </w:r>
            <w:r w:rsidR="004A3FFE" w:rsidRPr="004A3FFE">
              <w:rPr>
                <w:szCs w:val="24"/>
              </w:rPr>
              <w:t>:</w:t>
            </w:r>
            <w:r w:rsidR="00137DB7">
              <w:rPr>
                <w:szCs w:val="24"/>
              </w:rPr>
              <w:t xml:space="preserve"> </w:t>
            </w:r>
            <w:r w:rsidR="004A3FFE" w:rsidRPr="004A3FFE">
              <w:rPr>
                <w:szCs w:val="24"/>
              </w:rPr>
              <w:t>maxOccurs =1</w:t>
            </w:r>
            <w:r w:rsidR="00137DB7">
              <w:rPr>
                <w:szCs w:val="24"/>
              </w:rPr>
              <w:t xml:space="preserve"> </w:t>
            </w:r>
            <w:r w:rsidR="004A3FFE" w:rsidRPr="004A3FFE">
              <w:rPr>
                <w:szCs w:val="24"/>
              </w:rPr>
              <w:t>minOccurs = 1</w:t>
            </w:r>
          </w:p>
          <w:p w14:paraId="4EAAE75B" w14:textId="77777777" w:rsidR="005B3D2B" w:rsidRPr="00EE1A30" w:rsidRDefault="005B3D2B" w:rsidP="000840F3">
            <w:pPr>
              <w:spacing w:after="120"/>
              <w:jc w:val="both"/>
              <w:rPr>
                <w:szCs w:val="24"/>
              </w:rPr>
            </w:pPr>
            <w:r w:rsidRPr="00EE1A30">
              <w:rPr>
                <w:b/>
                <w:szCs w:val="24"/>
              </w:rPr>
              <w:t>Guidance on completion of schema element</w:t>
            </w:r>
            <w:r w:rsidRPr="00EE1A30">
              <w:rPr>
                <w:szCs w:val="24"/>
              </w:rPr>
              <w:t xml:space="preserve">: </w:t>
            </w:r>
            <w:r w:rsidR="004C34EF" w:rsidRPr="00EE1A30">
              <w:rPr>
                <w:szCs w:val="24"/>
              </w:rPr>
              <w:t>Required</w:t>
            </w:r>
            <w:r w:rsidRPr="00EE1A30">
              <w:rPr>
                <w:szCs w:val="24"/>
              </w:rPr>
              <w:t xml:space="preserve">. Report the monitoring cycle relating to </w:t>
            </w:r>
            <w:r w:rsidR="004C34EF" w:rsidRPr="00EE1A30">
              <w:rPr>
                <w:szCs w:val="24"/>
              </w:rPr>
              <w:t xml:space="preserve">each </w:t>
            </w:r>
            <w:r w:rsidR="00D36903" w:rsidRPr="00EE1A30">
              <w:rPr>
                <w:szCs w:val="24"/>
              </w:rPr>
              <w:t>QE</w:t>
            </w:r>
            <w:r w:rsidRPr="00EE1A30">
              <w:rPr>
                <w:szCs w:val="24"/>
              </w:rPr>
              <w:t xml:space="preserve"> monitored at this surface water monitoring site.</w:t>
            </w:r>
          </w:p>
          <w:p w14:paraId="0D7A7E61" w14:textId="77777777" w:rsidR="005B3D2B" w:rsidRPr="00EE1A30" w:rsidRDefault="005B3D2B" w:rsidP="000840F3">
            <w:pPr>
              <w:spacing w:after="120"/>
              <w:jc w:val="both"/>
              <w:rPr>
                <w:b/>
                <w:szCs w:val="24"/>
              </w:rPr>
            </w:pPr>
            <w:r w:rsidRPr="00EE1A30">
              <w:rPr>
                <w:szCs w:val="24"/>
              </w:rPr>
              <w:t>Further guidance on what should be reported is provided in the glossary</w:t>
            </w:r>
            <w:r w:rsidR="00830846" w:rsidRPr="00EE1A30">
              <w:rPr>
                <w:szCs w:val="24"/>
              </w:rPr>
              <w:t xml:space="preserve"> </w:t>
            </w:r>
            <w:r w:rsidR="00830846">
              <w:rPr>
                <w:szCs w:val="24"/>
              </w:rPr>
              <w:t xml:space="preserve">in section </w:t>
            </w:r>
            <w:r w:rsidR="00FD7F29">
              <w:fldChar w:fldCharType="begin"/>
            </w:r>
            <w:r w:rsidR="00FD7F29">
              <w:instrText xml:space="preserve"> REF _Ref425176628 \r \h  \* MERGEFORMAT </w:instrText>
            </w:r>
            <w:r w:rsidR="00FD7F29">
              <w:fldChar w:fldCharType="separate"/>
            </w:r>
            <w:r w:rsidR="00F66939" w:rsidRPr="00F66939">
              <w:rPr>
                <w:szCs w:val="24"/>
              </w:rPr>
              <w:t>4.3.5</w:t>
            </w:r>
            <w:r w:rsidR="00FD7F29">
              <w:fldChar w:fldCharType="end"/>
            </w:r>
            <w:r w:rsidRPr="00EE1A30">
              <w:rPr>
                <w:szCs w:val="24"/>
              </w:rPr>
              <w:t>.</w:t>
            </w:r>
          </w:p>
        </w:tc>
      </w:tr>
      <w:tr w:rsidR="005B3D2B" w:rsidRPr="00EE1A30" w14:paraId="7001530B" w14:textId="77777777" w:rsidTr="005B3D2B">
        <w:tc>
          <w:tcPr>
            <w:tcW w:w="9847" w:type="dxa"/>
            <w:shd w:val="clear" w:color="auto" w:fill="auto"/>
          </w:tcPr>
          <w:p w14:paraId="06C305AA" w14:textId="77777777" w:rsidR="005B3D2B"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551C3" w:rsidRPr="001551C3">
              <w:rPr>
                <w:szCs w:val="24"/>
              </w:rPr>
              <w:t>qeLastMonitored</w:t>
            </w:r>
          </w:p>
          <w:p w14:paraId="02BCEFED" w14:textId="77777777" w:rsidR="00896AEF" w:rsidRDefault="006B17DF" w:rsidP="000840F3">
            <w:pPr>
              <w:spacing w:after="120"/>
              <w:jc w:val="both"/>
              <w:rPr>
                <w:szCs w:val="24"/>
              </w:rPr>
            </w:pPr>
            <w:r>
              <w:rPr>
                <w:b/>
                <w:szCs w:val="24"/>
              </w:rPr>
              <w:t xml:space="preserve">Field type / facets: </w:t>
            </w:r>
            <w:r w:rsidR="00AF2BEF">
              <w:rPr>
                <w:szCs w:val="24"/>
              </w:rPr>
              <w:t>YearRangeType</w:t>
            </w:r>
          </w:p>
          <w:p w14:paraId="254D0E2C" w14:textId="77777777" w:rsidR="001551C3" w:rsidRPr="00587683" w:rsidRDefault="006F25ED" w:rsidP="000840F3">
            <w:pPr>
              <w:spacing w:after="120"/>
              <w:jc w:val="both"/>
              <w:rPr>
                <w:szCs w:val="24"/>
              </w:rPr>
            </w:pPr>
            <w:r w:rsidRPr="006F25ED">
              <w:rPr>
                <w:b/>
                <w:szCs w:val="24"/>
              </w:rPr>
              <w:t>Properties</w:t>
            </w:r>
            <w:r w:rsidR="001551C3" w:rsidRPr="001551C3">
              <w:rPr>
                <w:szCs w:val="24"/>
              </w:rPr>
              <w:t>:</w:t>
            </w:r>
            <w:r w:rsidR="00137DB7">
              <w:rPr>
                <w:szCs w:val="24"/>
              </w:rPr>
              <w:t xml:space="preserve"> </w:t>
            </w:r>
            <w:r w:rsidR="001551C3" w:rsidRPr="001551C3">
              <w:rPr>
                <w:szCs w:val="24"/>
              </w:rPr>
              <w:t>maxOccurs =1</w:t>
            </w:r>
            <w:r w:rsidR="00137DB7">
              <w:rPr>
                <w:szCs w:val="24"/>
              </w:rPr>
              <w:t xml:space="preserve"> </w:t>
            </w:r>
            <w:r w:rsidR="001551C3" w:rsidRPr="001551C3">
              <w:rPr>
                <w:szCs w:val="24"/>
              </w:rPr>
              <w:t>minOccurs = 1</w:t>
            </w:r>
          </w:p>
          <w:p w14:paraId="182574DF" w14:textId="77777777" w:rsidR="001551C3" w:rsidRPr="002618F3" w:rsidRDefault="005B3D2B" w:rsidP="000840F3">
            <w:pPr>
              <w:spacing w:after="120"/>
              <w:jc w:val="both"/>
              <w:rPr>
                <w:szCs w:val="24"/>
              </w:rPr>
            </w:pPr>
            <w:r w:rsidRPr="00EE1A30">
              <w:rPr>
                <w:b/>
                <w:szCs w:val="24"/>
              </w:rPr>
              <w:t>Guidance on completion of schema element</w:t>
            </w:r>
            <w:r w:rsidRPr="00EE1A30">
              <w:rPr>
                <w:szCs w:val="24"/>
              </w:rPr>
              <w:t xml:space="preserve">: </w:t>
            </w:r>
            <w:r w:rsidR="004C34EF" w:rsidRPr="00EE1A30">
              <w:rPr>
                <w:szCs w:val="24"/>
              </w:rPr>
              <w:t>Required</w:t>
            </w:r>
            <w:r w:rsidRPr="00EE1A30">
              <w:rPr>
                <w:szCs w:val="24"/>
              </w:rPr>
              <w:t>. Report the most recent year</w:t>
            </w:r>
            <w:r w:rsidR="005845D9" w:rsidRPr="00EE1A30">
              <w:rPr>
                <w:szCs w:val="24"/>
              </w:rPr>
              <w:t xml:space="preserve"> in the format YYYY</w:t>
            </w:r>
            <w:r w:rsidRPr="00EE1A30">
              <w:rPr>
                <w:szCs w:val="24"/>
              </w:rPr>
              <w:t xml:space="preserve"> that </w:t>
            </w:r>
            <w:r w:rsidR="004C34EF" w:rsidRPr="00EE1A30">
              <w:rPr>
                <w:szCs w:val="24"/>
              </w:rPr>
              <w:t xml:space="preserve">each </w:t>
            </w:r>
            <w:r w:rsidR="00D36903" w:rsidRPr="00EE1A30">
              <w:rPr>
                <w:szCs w:val="24"/>
              </w:rPr>
              <w:t>QE</w:t>
            </w:r>
            <w:r w:rsidRPr="00EE1A30">
              <w:rPr>
                <w:szCs w:val="24"/>
              </w:rPr>
              <w:t xml:space="preserve"> was monitored at this surface water monitoring site. Enter </w:t>
            </w:r>
            <w:r w:rsidR="00AF2BEF">
              <w:rPr>
                <w:szCs w:val="24"/>
              </w:rPr>
              <w:t>9999</w:t>
            </w:r>
            <w:r w:rsidRPr="00EE1A30">
              <w:rPr>
                <w:color w:val="000000"/>
                <w:szCs w:val="24"/>
              </w:rPr>
              <w:t xml:space="preserve"> if </w:t>
            </w:r>
            <w:r w:rsidR="004C34EF" w:rsidRPr="00EE1A30">
              <w:rPr>
                <w:color w:val="000000"/>
                <w:szCs w:val="24"/>
              </w:rPr>
              <w:t xml:space="preserve">the QE </w:t>
            </w:r>
            <w:r w:rsidR="00DC66A7" w:rsidRPr="00EE1A30">
              <w:rPr>
                <w:color w:val="000000"/>
                <w:szCs w:val="24"/>
              </w:rPr>
              <w:t>has</w:t>
            </w:r>
            <w:r w:rsidRPr="00EE1A30">
              <w:rPr>
                <w:color w:val="000000"/>
                <w:szCs w:val="24"/>
              </w:rPr>
              <w:t xml:space="preserve"> yet to be measured.</w:t>
            </w:r>
          </w:p>
        </w:tc>
      </w:tr>
    </w:tbl>
    <w:p w14:paraId="7DDBCA7F" w14:textId="77777777" w:rsidR="00CE7105" w:rsidRPr="00EE1A30" w:rsidRDefault="00CE7105" w:rsidP="000840F3">
      <w:pPr>
        <w:jc w:val="both"/>
      </w:pPr>
    </w:p>
    <w:p w14:paraId="73F473ED" w14:textId="77777777" w:rsidR="0061058A" w:rsidRPr="00EE1A30" w:rsidRDefault="00A02FB1" w:rsidP="000840F3">
      <w:pPr>
        <w:jc w:val="both"/>
      </w:pPr>
      <w:r>
        <w:t xml:space="preserve">The following class (child of MonitoringSite) is used to report </w:t>
      </w:r>
      <w:r w:rsidR="0061058A" w:rsidRPr="00EE1A30">
        <w:t xml:space="preserve">each </w:t>
      </w:r>
      <w:r w:rsidR="00F61040" w:rsidRPr="00EE1A30">
        <w:t xml:space="preserve">chemical </w:t>
      </w:r>
      <w:r w:rsidR="0061058A" w:rsidRPr="00EE1A30">
        <w:t xml:space="preserve">substance </w:t>
      </w:r>
      <w:r w:rsidR="009F6A03" w:rsidRPr="00EE1A30">
        <w:t xml:space="preserve">monitored at the surface </w:t>
      </w:r>
      <w:r w:rsidR="00C75E91">
        <w:t>or ground</w:t>
      </w:r>
      <w:r w:rsidR="009F6A03" w:rsidRPr="00EE1A30">
        <w:t>water monitoring site</w:t>
      </w:r>
      <w:r w:rsidR="0061058A"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759AC" w:rsidRPr="00EE1A30" w14:paraId="005F1823" w14:textId="77777777" w:rsidTr="000E2C10">
        <w:tc>
          <w:tcPr>
            <w:tcW w:w="9847" w:type="dxa"/>
            <w:shd w:val="clear" w:color="auto" w:fill="auto"/>
          </w:tcPr>
          <w:p w14:paraId="04104CCD" w14:textId="77777777" w:rsidR="00F759AC" w:rsidRPr="00DD6DEC" w:rsidRDefault="00F759AC" w:rsidP="000840F3">
            <w:pPr>
              <w:spacing w:after="120"/>
              <w:jc w:val="both"/>
              <w:rPr>
                <w:b/>
                <w:szCs w:val="24"/>
              </w:rPr>
            </w:pPr>
            <w:r w:rsidRPr="00EE1A30">
              <w:rPr>
                <w:b/>
                <w:szCs w:val="24"/>
              </w:rPr>
              <w:t>Schema: Monitoring</w:t>
            </w:r>
            <w:r w:rsidR="003013B2">
              <w:rPr>
                <w:b/>
                <w:szCs w:val="24"/>
              </w:rPr>
              <w:t xml:space="preserve"> (continued)</w:t>
            </w:r>
          </w:p>
        </w:tc>
      </w:tr>
      <w:tr w:rsidR="00F759AC" w:rsidRPr="00EE1A30" w14:paraId="03DA2FF7" w14:textId="77777777" w:rsidTr="000E2C10">
        <w:tc>
          <w:tcPr>
            <w:tcW w:w="9847" w:type="dxa"/>
            <w:shd w:val="clear" w:color="auto" w:fill="auto"/>
          </w:tcPr>
          <w:p w14:paraId="5B2DAB03" w14:textId="77777777" w:rsidR="00F759AC" w:rsidRDefault="003013B2" w:rsidP="000840F3">
            <w:pPr>
              <w:spacing w:after="120"/>
              <w:jc w:val="both"/>
              <w:rPr>
                <w:b/>
                <w:i/>
                <w:szCs w:val="24"/>
              </w:rPr>
            </w:pPr>
            <w:r>
              <w:rPr>
                <w:b/>
                <w:i/>
                <w:szCs w:val="24"/>
              </w:rPr>
              <w:t>Class ChemicalMonitoring</w:t>
            </w:r>
          </w:p>
          <w:p w14:paraId="02068A0E" w14:textId="77777777" w:rsidR="006266B1" w:rsidRDefault="006266B1" w:rsidP="000840F3">
            <w:pPr>
              <w:spacing w:after="120"/>
              <w:jc w:val="both"/>
              <w:rPr>
                <w:i/>
                <w:szCs w:val="24"/>
              </w:rPr>
            </w:pPr>
            <w:r>
              <w:rPr>
                <w:b/>
                <w:i/>
                <w:szCs w:val="24"/>
              </w:rPr>
              <w:t>Properties:</w:t>
            </w:r>
            <w:r>
              <w:rPr>
                <w:i/>
                <w:szCs w:val="24"/>
              </w:rPr>
              <w:t xml:space="preserve"> maxOccurs = unbounded minOccurs = 0</w:t>
            </w:r>
          </w:p>
          <w:p w14:paraId="4FEAF588" w14:textId="77777777" w:rsidR="006266B1" w:rsidRPr="00EE1A30" w:rsidRDefault="006266B1" w:rsidP="000840F3">
            <w:pPr>
              <w:spacing w:after="120"/>
              <w:jc w:val="both"/>
              <w:rPr>
                <w:b/>
                <w:szCs w:val="24"/>
              </w:rPr>
            </w:pPr>
            <w:r>
              <w:rPr>
                <w:i/>
                <w:szCs w:val="24"/>
              </w:rPr>
              <w:t xml:space="preserve">Conditional check: report at least 1 if </w:t>
            </w:r>
            <w:r w:rsidR="002867EB">
              <w:rPr>
                <w:i/>
                <w:szCs w:val="24"/>
              </w:rPr>
              <w:t>‘</w:t>
            </w:r>
            <w:r>
              <w:rPr>
                <w:i/>
                <w:szCs w:val="24"/>
              </w:rPr>
              <w:t>chemicalMonitoring</w:t>
            </w:r>
            <w:r w:rsidR="002867EB">
              <w:rPr>
                <w:i/>
                <w:szCs w:val="24"/>
              </w:rPr>
              <w:t>’</w:t>
            </w:r>
            <w:r>
              <w:rPr>
                <w:i/>
                <w:szCs w:val="24"/>
              </w:rPr>
              <w:t xml:space="preserve"> is ‘Yes’</w:t>
            </w:r>
          </w:p>
        </w:tc>
      </w:tr>
      <w:tr w:rsidR="00F759AC" w:rsidRPr="00EE1A30" w14:paraId="57283D58" w14:textId="77777777" w:rsidTr="000E2C10">
        <w:tc>
          <w:tcPr>
            <w:tcW w:w="9847" w:type="dxa"/>
            <w:shd w:val="clear" w:color="auto" w:fill="auto"/>
          </w:tcPr>
          <w:p w14:paraId="646EBAC5" w14:textId="77777777" w:rsidR="00F759AC" w:rsidRPr="00DD6DEC" w:rsidRDefault="006F25ED" w:rsidP="000840F3">
            <w:pPr>
              <w:spacing w:after="120"/>
              <w:jc w:val="both"/>
              <w:rPr>
                <w:b/>
                <w:szCs w:val="24"/>
              </w:rPr>
            </w:pPr>
            <w:r w:rsidRPr="006F25ED">
              <w:rPr>
                <w:b/>
                <w:szCs w:val="24"/>
              </w:rPr>
              <w:t>Schema element</w:t>
            </w:r>
            <w:r w:rsidRPr="006F25ED">
              <w:rPr>
                <w:szCs w:val="24"/>
              </w:rPr>
              <w:t>:</w:t>
            </w:r>
            <w:r w:rsidR="000E795C">
              <w:t xml:space="preserve"> </w:t>
            </w:r>
            <w:r w:rsidR="003013B2">
              <w:rPr>
                <w:szCs w:val="24"/>
              </w:rPr>
              <w:t>c</w:t>
            </w:r>
            <w:r w:rsidRPr="006F25ED">
              <w:rPr>
                <w:szCs w:val="24"/>
              </w:rPr>
              <w:t>hemicalSubstance</w:t>
            </w:r>
            <w:r w:rsidR="002867EB">
              <w:rPr>
                <w:szCs w:val="24"/>
              </w:rPr>
              <w:t>Code</w:t>
            </w:r>
          </w:p>
          <w:p w14:paraId="06FFFF92" w14:textId="77777777" w:rsidR="00F759AC" w:rsidRDefault="006B17DF" w:rsidP="000840F3">
            <w:pPr>
              <w:spacing w:after="120"/>
              <w:jc w:val="both"/>
              <w:rPr>
                <w:szCs w:val="24"/>
              </w:rPr>
            </w:pPr>
            <w:r>
              <w:rPr>
                <w:b/>
                <w:szCs w:val="24"/>
              </w:rPr>
              <w:t xml:space="preserve">Field type / facets: </w:t>
            </w:r>
            <w:r w:rsidR="003013B2">
              <w:rPr>
                <w:szCs w:val="24"/>
              </w:rPr>
              <w:t>ChemicalSubstance</w:t>
            </w:r>
            <w:r w:rsidR="00495E77">
              <w:rPr>
                <w:szCs w:val="24"/>
              </w:rPr>
              <w:t>s</w:t>
            </w:r>
            <w:r w:rsidR="003013B2">
              <w:rPr>
                <w:szCs w:val="24"/>
              </w:rPr>
              <w:t>_</w:t>
            </w:r>
            <w:r w:rsidR="00794322">
              <w:rPr>
                <w:szCs w:val="24"/>
              </w:rPr>
              <w:t>Union_</w:t>
            </w:r>
            <w:r w:rsidR="003013B2">
              <w:rPr>
                <w:szCs w:val="24"/>
              </w:rPr>
              <w:t xml:space="preserve">Enum </w:t>
            </w:r>
            <w:r w:rsidR="00F759AC" w:rsidRPr="00A8624D">
              <w:rPr>
                <w:szCs w:val="24"/>
              </w:rPr>
              <w:t xml:space="preserve">(see </w:t>
            </w:r>
            <w:r w:rsidR="00E2549A" w:rsidRPr="00EE1A30">
              <w:rPr>
                <w:szCs w:val="24"/>
              </w:rPr>
              <w:t>Annex 8</w:t>
            </w:r>
            <w:r w:rsidR="0099108F">
              <w:rPr>
                <w:szCs w:val="24"/>
              </w:rPr>
              <w:t>e</w:t>
            </w:r>
            <w:r w:rsidR="00F759AC" w:rsidRPr="00EE1A30">
              <w:rPr>
                <w:szCs w:val="24"/>
              </w:rPr>
              <w:t>)</w:t>
            </w:r>
          </w:p>
          <w:p w14:paraId="25FC3C03" w14:textId="77777777" w:rsidR="00177EC6" w:rsidRPr="00EE1A30" w:rsidRDefault="006F25ED" w:rsidP="000840F3">
            <w:pPr>
              <w:spacing w:after="120"/>
              <w:jc w:val="both"/>
              <w:rPr>
                <w:szCs w:val="24"/>
              </w:rPr>
            </w:pPr>
            <w:r w:rsidRPr="006F25ED">
              <w:rPr>
                <w:b/>
                <w:szCs w:val="24"/>
              </w:rPr>
              <w:t>Properties</w:t>
            </w:r>
            <w:r w:rsidR="00177EC6" w:rsidRPr="00177EC6">
              <w:rPr>
                <w:szCs w:val="24"/>
              </w:rPr>
              <w:t>:</w:t>
            </w:r>
            <w:r w:rsidR="00137DB7">
              <w:rPr>
                <w:szCs w:val="24"/>
              </w:rPr>
              <w:t xml:space="preserve"> </w:t>
            </w:r>
            <w:r w:rsidR="00177EC6" w:rsidRPr="00177EC6">
              <w:rPr>
                <w:szCs w:val="24"/>
              </w:rPr>
              <w:t>maxOccurs =1</w:t>
            </w:r>
            <w:r w:rsidR="00137DB7">
              <w:rPr>
                <w:szCs w:val="24"/>
              </w:rPr>
              <w:t xml:space="preserve"> </w:t>
            </w:r>
            <w:r w:rsidR="00177EC6" w:rsidRPr="00177EC6">
              <w:rPr>
                <w:szCs w:val="24"/>
              </w:rPr>
              <w:t>minOccurs = 1</w:t>
            </w:r>
          </w:p>
          <w:p w14:paraId="58970CDD" w14:textId="77777777" w:rsidR="00F759AC" w:rsidRPr="00EE1A30" w:rsidRDefault="00F759AC" w:rsidP="000840F3">
            <w:pPr>
              <w:spacing w:after="120"/>
              <w:jc w:val="both"/>
              <w:rPr>
                <w:szCs w:val="24"/>
              </w:rPr>
            </w:pPr>
            <w:r w:rsidRPr="00EE1A30">
              <w:rPr>
                <w:b/>
                <w:szCs w:val="24"/>
              </w:rPr>
              <w:t>Guidance on completion of schema element</w:t>
            </w:r>
            <w:r w:rsidRPr="00EE1A30">
              <w:rPr>
                <w:szCs w:val="24"/>
              </w:rPr>
              <w:t xml:space="preserve">: </w:t>
            </w:r>
            <w:r w:rsidR="003013B2">
              <w:rPr>
                <w:szCs w:val="24"/>
              </w:rPr>
              <w:t>Required</w:t>
            </w:r>
            <w:r w:rsidRPr="00EE1A30">
              <w:rPr>
                <w:szCs w:val="24"/>
              </w:rPr>
              <w:t xml:space="preserve">. </w:t>
            </w:r>
            <w:r w:rsidR="003013B2">
              <w:rPr>
                <w:szCs w:val="24"/>
              </w:rPr>
              <w:t xml:space="preserve">Report each chemical substance or parameter which is monitored at this site. </w:t>
            </w:r>
          </w:p>
          <w:p w14:paraId="35D568F5" w14:textId="77777777" w:rsidR="008C4753" w:rsidRDefault="006F25ED" w:rsidP="000840F3">
            <w:pPr>
              <w:jc w:val="both"/>
            </w:pPr>
            <w:r w:rsidRPr="006F25ED">
              <w:t>Please note that</w:t>
            </w:r>
            <w:r w:rsidR="003013B2">
              <w:t>, as regards surface waters and</w:t>
            </w:r>
            <w:r w:rsidRPr="006F25ED">
              <w:t xml:space="preserve"> according to the WFD, Priority Substances are included in the assessment of chemical status and non-priority River Basin Specific Pollutants are included in the assessment of ecological status. However, for the sake of simplicity in the reporting of monitoring data, they are required to be reported together.</w:t>
            </w:r>
            <w:r w:rsidR="002867EB">
              <w:t>Please note that the following pollutants and parameters are only valid for groundwater (for surface waters most of them are included in ecological status</w:t>
            </w:r>
            <w:r w:rsidR="00696B8C">
              <w:t xml:space="preserve"> or, in the case of pesticides, can be reported individually</w:t>
            </w:r>
            <w:r w:rsidR="002867EB">
              <w:t xml:space="preserve">): </w:t>
            </w:r>
            <w:r w:rsidR="002867EB" w:rsidRPr="008F13EB">
              <w:t>Hardness</w:t>
            </w:r>
            <w:r w:rsidR="002867EB">
              <w:t xml:space="preserve">, </w:t>
            </w:r>
            <w:r w:rsidR="002867EB" w:rsidRPr="008F13EB">
              <w:t>Water temperature</w:t>
            </w:r>
            <w:r w:rsidR="002867EB">
              <w:t xml:space="preserve">, </w:t>
            </w:r>
            <w:r w:rsidR="002867EB" w:rsidRPr="008F13EB">
              <w:t>Dissolved oxygen</w:t>
            </w:r>
            <w:r w:rsidR="002867EB">
              <w:t xml:space="preserve">, </w:t>
            </w:r>
            <w:r w:rsidR="002867EB" w:rsidRPr="008F13EB">
              <w:t>CODMn</w:t>
            </w:r>
            <w:r w:rsidR="002867EB">
              <w:t xml:space="preserve">, </w:t>
            </w:r>
            <w:r w:rsidR="002867EB" w:rsidRPr="008F13EB">
              <w:t>Total organic carbon (TOC)</w:t>
            </w:r>
            <w:r w:rsidR="002867EB">
              <w:t xml:space="preserve">, </w:t>
            </w:r>
            <w:r w:rsidR="002867EB" w:rsidRPr="008F13EB">
              <w:t>Chloride</w:t>
            </w:r>
            <w:r w:rsidR="002867EB">
              <w:t xml:space="preserve">, </w:t>
            </w:r>
            <w:r w:rsidR="002867EB" w:rsidRPr="008F13EB">
              <w:t>Sulphate</w:t>
            </w:r>
            <w:r w:rsidR="002867EB">
              <w:t xml:space="preserve">, </w:t>
            </w:r>
            <w:r w:rsidR="002867EB" w:rsidRPr="008F13EB">
              <w:t>Electrical conductivity</w:t>
            </w:r>
            <w:r w:rsidR="002867EB">
              <w:t xml:space="preserve">, </w:t>
            </w:r>
            <w:r w:rsidR="002867EB" w:rsidRPr="008F13EB">
              <w:t>pH</w:t>
            </w:r>
            <w:r w:rsidR="002867EB">
              <w:t xml:space="preserve">, </w:t>
            </w:r>
            <w:r w:rsidR="002867EB" w:rsidRPr="008F13EB">
              <w:t>Hydrogen carbonate (bicarbonate) HCO3</w:t>
            </w:r>
            <w:r w:rsidR="002867EB">
              <w:t xml:space="preserve">, </w:t>
            </w:r>
            <w:r w:rsidR="002867EB" w:rsidRPr="008F13EB">
              <w:t>Acid capacity to pH 4.5</w:t>
            </w:r>
            <w:r w:rsidR="002867EB">
              <w:t xml:space="preserve">, </w:t>
            </w:r>
            <w:r w:rsidR="002867EB" w:rsidRPr="008F13EB">
              <w:t>Nitrate</w:t>
            </w:r>
            <w:r w:rsidR="002867EB">
              <w:t xml:space="preserve">, </w:t>
            </w:r>
            <w:r w:rsidR="002867EB" w:rsidRPr="008F13EB">
              <w:t>Total phosphorus</w:t>
            </w:r>
            <w:r w:rsidR="002867EB">
              <w:t xml:space="preserve">, </w:t>
            </w:r>
            <w:r w:rsidR="002867EB" w:rsidRPr="008F13EB">
              <w:t xml:space="preserve">Pesticides (active substances in pesticides, including their relevant metabolites, degradation and reaction products) </w:t>
            </w:r>
            <w:r w:rsidR="002867EB">
              <w:t>–</w:t>
            </w:r>
            <w:r w:rsidR="002867EB" w:rsidRPr="008F13EB">
              <w:t xml:space="preserve"> Total</w:t>
            </w:r>
            <w:r w:rsidR="002867EB">
              <w:t>.</w:t>
            </w:r>
          </w:p>
        </w:tc>
      </w:tr>
      <w:tr w:rsidR="00696B8C" w:rsidRPr="00EE1A30" w14:paraId="3AB2268B" w14:textId="77777777" w:rsidTr="000E2C10">
        <w:tc>
          <w:tcPr>
            <w:tcW w:w="9847" w:type="dxa"/>
            <w:shd w:val="clear" w:color="auto" w:fill="auto"/>
          </w:tcPr>
          <w:p w14:paraId="3DC6379B" w14:textId="77777777" w:rsidR="00696B8C" w:rsidRPr="00DD6DEC" w:rsidRDefault="00696B8C" w:rsidP="000840F3">
            <w:pPr>
              <w:spacing w:after="120"/>
              <w:jc w:val="both"/>
              <w:rPr>
                <w:b/>
                <w:szCs w:val="24"/>
              </w:rPr>
            </w:pPr>
            <w:r w:rsidRPr="006F25ED">
              <w:rPr>
                <w:b/>
                <w:szCs w:val="24"/>
              </w:rPr>
              <w:lastRenderedPageBreak/>
              <w:t>Schema element</w:t>
            </w:r>
            <w:r w:rsidRPr="006F25ED">
              <w:rPr>
                <w:szCs w:val="24"/>
              </w:rPr>
              <w:t>:</w:t>
            </w:r>
            <w:r>
              <w:t xml:space="preserve"> </w:t>
            </w:r>
            <w:r>
              <w:rPr>
                <w:szCs w:val="24"/>
              </w:rPr>
              <w:t>c</w:t>
            </w:r>
            <w:r w:rsidRPr="006F25ED">
              <w:rPr>
                <w:szCs w:val="24"/>
              </w:rPr>
              <w:t>hemicalSubstance</w:t>
            </w:r>
            <w:r>
              <w:rPr>
                <w:szCs w:val="24"/>
              </w:rPr>
              <w:t>Other</w:t>
            </w:r>
          </w:p>
          <w:p w14:paraId="784FF897" w14:textId="77777777" w:rsidR="00696B8C" w:rsidRDefault="00696B8C" w:rsidP="000840F3">
            <w:pPr>
              <w:spacing w:after="120"/>
              <w:jc w:val="both"/>
              <w:rPr>
                <w:b/>
                <w:szCs w:val="24"/>
              </w:rPr>
            </w:pPr>
            <w:r>
              <w:rPr>
                <w:b/>
                <w:szCs w:val="24"/>
              </w:rPr>
              <w:t>Field type / facets:</w:t>
            </w:r>
            <w:r w:rsidR="00E5475F" w:rsidRPr="00E5475F">
              <w:rPr>
                <w:szCs w:val="24"/>
              </w:rPr>
              <w:t xml:space="preserve"> </w:t>
            </w:r>
            <w:r w:rsidR="00531CDC">
              <w:rPr>
                <w:szCs w:val="24"/>
              </w:rPr>
              <w:t>String100Type</w:t>
            </w:r>
          </w:p>
          <w:p w14:paraId="2F00BD68" w14:textId="77777777" w:rsidR="00696B8C" w:rsidRPr="00EE1A30" w:rsidRDefault="00696B8C" w:rsidP="000840F3">
            <w:pPr>
              <w:spacing w:after="120"/>
              <w:jc w:val="both"/>
              <w:rPr>
                <w:szCs w:val="24"/>
              </w:rPr>
            </w:pPr>
            <w:r w:rsidRPr="006F25ED">
              <w:rPr>
                <w:b/>
                <w:szCs w:val="24"/>
              </w:rPr>
              <w:t>Properties</w:t>
            </w:r>
            <w:r w:rsidRPr="00177EC6">
              <w:rPr>
                <w:szCs w:val="24"/>
              </w:rPr>
              <w:t>:</w:t>
            </w:r>
            <w:r>
              <w:rPr>
                <w:szCs w:val="24"/>
              </w:rPr>
              <w:t xml:space="preserve"> </w:t>
            </w:r>
            <w:r w:rsidRPr="00177EC6">
              <w:rPr>
                <w:szCs w:val="24"/>
              </w:rPr>
              <w:t>maxOccurs =1</w:t>
            </w:r>
            <w:r>
              <w:rPr>
                <w:szCs w:val="24"/>
              </w:rPr>
              <w:t xml:space="preserve"> </w:t>
            </w:r>
            <w:r w:rsidRPr="00177EC6">
              <w:rPr>
                <w:szCs w:val="24"/>
              </w:rPr>
              <w:t xml:space="preserve">minOccurs = </w:t>
            </w:r>
            <w:r>
              <w:rPr>
                <w:szCs w:val="24"/>
              </w:rPr>
              <w:t>0</w:t>
            </w:r>
          </w:p>
          <w:p w14:paraId="4A6EFEB2" w14:textId="77777777" w:rsidR="00696B8C" w:rsidRDefault="00696B8C" w:rsidP="000840F3">
            <w:pPr>
              <w:spacing w:after="120"/>
              <w:jc w:val="both"/>
              <w:rPr>
                <w:szCs w:val="24"/>
              </w:rPr>
            </w:pPr>
            <w:r w:rsidRPr="00EE1A30">
              <w:rPr>
                <w:b/>
                <w:szCs w:val="24"/>
              </w:rPr>
              <w:t>Guidance on completion of schema element</w:t>
            </w:r>
            <w:r w:rsidRPr="00EE1A30">
              <w:rPr>
                <w:szCs w:val="24"/>
              </w:rPr>
              <w:t xml:space="preserve">: </w:t>
            </w:r>
            <w:r>
              <w:rPr>
                <w:szCs w:val="24"/>
              </w:rPr>
              <w:t>Conditional</w:t>
            </w:r>
            <w:r w:rsidRPr="00EE1A30">
              <w:rPr>
                <w:szCs w:val="24"/>
              </w:rPr>
              <w:t xml:space="preserve">. </w:t>
            </w:r>
            <w:r>
              <w:rPr>
                <w:szCs w:val="24"/>
              </w:rPr>
              <w:t>If</w:t>
            </w:r>
            <w:r>
              <w:t xml:space="preserve"> ‘chemicalSubstanceCode’ is ‘Other’ please indicate in this field the CAS number (if relevant) and the name of the chemical substance.</w:t>
            </w:r>
          </w:p>
          <w:p w14:paraId="1F2DCA2F" w14:textId="77777777" w:rsidR="00696B8C" w:rsidRPr="00696B8C" w:rsidRDefault="00E5475F" w:rsidP="000840F3">
            <w:pPr>
              <w:spacing w:after="120"/>
              <w:jc w:val="both"/>
              <w:rPr>
                <w:szCs w:val="24"/>
              </w:rPr>
            </w:pPr>
            <w:r w:rsidRPr="00E5475F">
              <w:rPr>
                <w:b/>
                <w:szCs w:val="24"/>
              </w:rPr>
              <w:t>Quality checks</w:t>
            </w:r>
            <w:r w:rsidR="00696B8C">
              <w:rPr>
                <w:szCs w:val="24"/>
              </w:rPr>
              <w:t xml:space="preserve">:  </w:t>
            </w:r>
            <w:r w:rsidR="00696B8C">
              <w:t>Conditional check: report if ‘chemicalSubstanceCode’ is ‘</w:t>
            </w:r>
            <w:r w:rsidR="00A548FF">
              <w:t xml:space="preserve">EEA_00-00-0 – </w:t>
            </w:r>
            <w:r w:rsidR="00696B8C">
              <w:t>Other</w:t>
            </w:r>
            <w:r w:rsidR="00A548FF">
              <w:t xml:space="preserve"> chemical parameter</w:t>
            </w:r>
            <w:r w:rsidR="00696B8C">
              <w:t xml:space="preserve">’.  </w:t>
            </w:r>
          </w:p>
        </w:tc>
      </w:tr>
      <w:tr w:rsidR="00696B8C" w:rsidRPr="00EE1A30" w14:paraId="213EA4B3" w14:textId="77777777" w:rsidTr="000E2C10">
        <w:tc>
          <w:tcPr>
            <w:tcW w:w="9847" w:type="dxa"/>
            <w:shd w:val="clear" w:color="auto" w:fill="auto"/>
          </w:tcPr>
          <w:p w14:paraId="5F7D888C" w14:textId="77777777" w:rsidR="00696B8C" w:rsidRPr="00707A5B" w:rsidRDefault="00696B8C" w:rsidP="000840F3">
            <w:pPr>
              <w:spacing w:after="120"/>
              <w:jc w:val="both"/>
              <w:rPr>
                <w:b/>
                <w:szCs w:val="24"/>
                <w:lang w:val="fr-BE"/>
              </w:rPr>
            </w:pPr>
            <w:r w:rsidRPr="00707A5B">
              <w:rPr>
                <w:b/>
                <w:szCs w:val="24"/>
                <w:lang w:val="fr-BE"/>
              </w:rPr>
              <w:t>Schema element</w:t>
            </w:r>
            <w:r w:rsidRPr="00707A5B">
              <w:rPr>
                <w:szCs w:val="24"/>
                <w:lang w:val="fr-BE"/>
              </w:rPr>
              <w:t>:</w:t>
            </w:r>
            <w:r w:rsidRPr="00707A5B">
              <w:rPr>
                <w:b/>
                <w:szCs w:val="24"/>
                <w:lang w:val="fr-BE"/>
              </w:rPr>
              <w:t xml:space="preserve"> </w:t>
            </w:r>
            <w:r w:rsidRPr="00707A5B">
              <w:rPr>
                <w:szCs w:val="24"/>
                <w:lang w:val="fr-BE"/>
              </w:rPr>
              <w:t>chemicalMatrix</w:t>
            </w:r>
          </w:p>
          <w:p w14:paraId="6DEC4BD5" w14:textId="529CEB4E" w:rsidR="00696B8C" w:rsidRPr="00707A5B" w:rsidRDefault="00696B8C" w:rsidP="000840F3">
            <w:pPr>
              <w:spacing w:after="120"/>
              <w:jc w:val="both"/>
              <w:rPr>
                <w:szCs w:val="24"/>
                <w:lang w:val="fr-BE"/>
              </w:rPr>
            </w:pPr>
            <w:r w:rsidRPr="00707A5B">
              <w:rPr>
                <w:b/>
                <w:szCs w:val="24"/>
                <w:lang w:val="fr-BE"/>
              </w:rPr>
              <w:t xml:space="preserve">Field type / facets: </w:t>
            </w:r>
            <w:r w:rsidRPr="00707A5B">
              <w:rPr>
                <w:szCs w:val="24"/>
                <w:lang w:val="fr-BE"/>
              </w:rPr>
              <w:t>Matrix_Enum:</w:t>
            </w:r>
          </w:p>
          <w:p w14:paraId="1D261694" w14:textId="77777777" w:rsidR="00696B8C" w:rsidRPr="00BF71A2" w:rsidRDefault="00696B8C" w:rsidP="000840F3">
            <w:pPr>
              <w:spacing w:after="120"/>
              <w:jc w:val="both"/>
              <w:rPr>
                <w:color w:val="000000"/>
                <w:lang w:val="sv-SE"/>
              </w:rPr>
            </w:pPr>
            <w:r w:rsidRPr="00BF71A2">
              <w:rPr>
                <w:color w:val="000000"/>
                <w:lang w:val="sv-SE"/>
              </w:rPr>
              <w:t>Water</w:t>
            </w:r>
          </w:p>
          <w:p w14:paraId="593CEA54" w14:textId="77777777" w:rsidR="00696B8C" w:rsidRPr="00BF71A2" w:rsidRDefault="00696B8C" w:rsidP="000840F3">
            <w:pPr>
              <w:spacing w:after="120"/>
              <w:jc w:val="both"/>
              <w:rPr>
                <w:color w:val="000000"/>
                <w:lang w:val="sv-SE"/>
              </w:rPr>
            </w:pPr>
            <w:r w:rsidRPr="00BF71A2">
              <w:rPr>
                <w:color w:val="000000"/>
                <w:lang w:val="sv-SE"/>
              </w:rPr>
              <w:t>Biota</w:t>
            </w:r>
          </w:p>
          <w:p w14:paraId="10F68C0F" w14:textId="77777777" w:rsidR="00696B8C" w:rsidRPr="00BF71A2" w:rsidRDefault="00696B8C" w:rsidP="000840F3">
            <w:pPr>
              <w:spacing w:after="120"/>
              <w:jc w:val="both"/>
              <w:rPr>
                <w:color w:val="000000"/>
                <w:lang w:val="sv-SE"/>
              </w:rPr>
            </w:pPr>
            <w:r w:rsidRPr="00BF71A2">
              <w:rPr>
                <w:color w:val="000000"/>
                <w:lang w:val="sv-SE"/>
              </w:rPr>
              <w:t>Biota</w:t>
            </w:r>
            <w:r w:rsidR="00AF2BEF">
              <w:rPr>
                <w:color w:val="000000"/>
                <w:lang w:val="sv-SE"/>
              </w:rPr>
              <w:t xml:space="preserve"> -</w:t>
            </w:r>
            <w:r w:rsidRPr="00BF71A2">
              <w:rPr>
                <w:color w:val="000000"/>
                <w:lang w:val="sv-SE"/>
              </w:rPr>
              <w:t xml:space="preserve"> fish</w:t>
            </w:r>
          </w:p>
          <w:p w14:paraId="5D67D25F" w14:textId="77777777" w:rsidR="00696B8C" w:rsidRPr="00BF71A2" w:rsidRDefault="00696B8C" w:rsidP="000840F3">
            <w:pPr>
              <w:spacing w:after="120"/>
              <w:jc w:val="both"/>
              <w:rPr>
                <w:color w:val="000000"/>
                <w:lang w:val="sv-SE"/>
              </w:rPr>
            </w:pPr>
            <w:r w:rsidRPr="00BF71A2">
              <w:rPr>
                <w:color w:val="000000"/>
                <w:lang w:val="sv-SE"/>
              </w:rPr>
              <w:t>Biota</w:t>
            </w:r>
            <w:r w:rsidR="00AF2BEF">
              <w:rPr>
                <w:color w:val="000000"/>
                <w:lang w:val="sv-SE"/>
              </w:rPr>
              <w:t xml:space="preserve"> -</w:t>
            </w:r>
            <w:r w:rsidRPr="00BF71A2">
              <w:rPr>
                <w:color w:val="000000"/>
                <w:lang w:val="sv-SE"/>
              </w:rPr>
              <w:t xml:space="preserve"> other</w:t>
            </w:r>
          </w:p>
          <w:p w14:paraId="72FE65D1" w14:textId="77777777" w:rsidR="00696B8C" w:rsidRPr="00BF71A2" w:rsidRDefault="00696B8C" w:rsidP="000840F3">
            <w:pPr>
              <w:spacing w:after="120"/>
              <w:jc w:val="both"/>
              <w:rPr>
                <w:color w:val="000000"/>
                <w:lang w:val="it-IT"/>
              </w:rPr>
            </w:pPr>
            <w:r w:rsidRPr="00BF71A2">
              <w:rPr>
                <w:color w:val="000000"/>
                <w:lang w:val="it-IT"/>
              </w:rPr>
              <w:t>Sediment</w:t>
            </w:r>
          </w:p>
          <w:p w14:paraId="249504EE" w14:textId="77777777" w:rsidR="00696B8C" w:rsidRPr="00BF71A2" w:rsidRDefault="00696B8C" w:rsidP="000840F3">
            <w:pPr>
              <w:spacing w:after="120"/>
              <w:jc w:val="both"/>
              <w:rPr>
                <w:color w:val="000000"/>
                <w:lang w:val="it-IT"/>
              </w:rPr>
            </w:pPr>
            <w:r w:rsidRPr="00BF71A2">
              <w:rPr>
                <w:color w:val="000000"/>
                <w:lang w:val="it-IT"/>
              </w:rPr>
              <w:t>Sediment</w:t>
            </w:r>
            <w:r w:rsidR="00AF2BEF">
              <w:rPr>
                <w:color w:val="000000"/>
                <w:lang w:val="it-IT"/>
              </w:rPr>
              <w:t xml:space="preserve"> -</w:t>
            </w:r>
            <w:r w:rsidRPr="00BF71A2">
              <w:rPr>
                <w:color w:val="000000"/>
                <w:lang w:val="it-IT"/>
              </w:rPr>
              <w:t xml:space="preserve"> suspended sediment</w:t>
            </w:r>
          </w:p>
          <w:p w14:paraId="03EAD7A3" w14:textId="77777777" w:rsidR="00696B8C" w:rsidRPr="00BF71A2" w:rsidRDefault="00696B8C" w:rsidP="000840F3">
            <w:pPr>
              <w:spacing w:after="120"/>
              <w:jc w:val="both"/>
              <w:rPr>
                <w:color w:val="000000"/>
                <w:lang w:val="it-IT"/>
              </w:rPr>
            </w:pPr>
            <w:r w:rsidRPr="00BF71A2">
              <w:rPr>
                <w:color w:val="000000"/>
                <w:lang w:val="it-IT"/>
              </w:rPr>
              <w:t>Sediment</w:t>
            </w:r>
            <w:r w:rsidR="00AF2BEF">
              <w:rPr>
                <w:color w:val="000000"/>
                <w:lang w:val="it-IT"/>
              </w:rPr>
              <w:t xml:space="preserve"> -</w:t>
            </w:r>
            <w:r w:rsidRPr="00BF71A2">
              <w:rPr>
                <w:color w:val="000000"/>
                <w:lang w:val="it-IT"/>
              </w:rPr>
              <w:t xml:space="preserve"> settled sediment </w:t>
            </w:r>
          </w:p>
          <w:p w14:paraId="635F2C07" w14:textId="77777777" w:rsidR="00696B8C" w:rsidRPr="00BF71A2" w:rsidRDefault="00696B8C" w:rsidP="000840F3">
            <w:pPr>
              <w:spacing w:after="120"/>
              <w:jc w:val="both"/>
            </w:pPr>
            <w:r w:rsidRPr="00BF71A2">
              <w:rPr>
                <w:b/>
              </w:rPr>
              <w:t>Properties</w:t>
            </w:r>
            <w:r w:rsidRPr="00BF71A2">
              <w:t>: maxOccurs = 1 minOccurs = 1</w:t>
            </w:r>
          </w:p>
          <w:p w14:paraId="55290200" w14:textId="77777777" w:rsidR="00696B8C" w:rsidRPr="00EE1A30" w:rsidRDefault="00696B8C" w:rsidP="000840F3">
            <w:pPr>
              <w:spacing w:after="120"/>
              <w:jc w:val="both"/>
              <w:rPr>
                <w:b/>
                <w:szCs w:val="24"/>
              </w:rPr>
            </w:pPr>
            <w:r w:rsidRPr="00EE1A30">
              <w:rPr>
                <w:b/>
                <w:szCs w:val="24"/>
              </w:rPr>
              <w:t>Guidance on completion of schema element</w:t>
            </w:r>
            <w:r w:rsidRPr="00EE1A30">
              <w:rPr>
                <w:szCs w:val="24"/>
              </w:rPr>
              <w:t>:</w:t>
            </w:r>
            <w:r w:rsidR="00A548FF">
              <w:rPr>
                <w:szCs w:val="24"/>
              </w:rPr>
              <w:t xml:space="preserve"> </w:t>
            </w:r>
            <w:r>
              <w:rPr>
                <w:szCs w:val="24"/>
              </w:rPr>
              <w:t>Required</w:t>
            </w:r>
            <w:r w:rsidRPr="00EE1A30">
              <w:rPr>
                <w:szCs w:val="24"/>
              </w:rPr>
              <w:t xml:space="preserve">. Report the matrix in which each chemical substance is monitored. </w:t>
            </w:r>
            <w:r>
              <w:rPr>
                <w:szCs w:val="24"/>
              </w:rPr>
              <w:t>For groundwater monitoring sites report ‘Water’.</w:t>
            </w:r>
          </w:p>
        </w:tc>
      </w:tr>
      <w:tr w:rsidR="00696B8C" w:rsidRPr="00EE1A30" w14:paraId="4DDF84FF" w14:textId="77777777" w:rsidTr="000E2C10">
        <w:tc>
          <w:tcPr>
            <w:tcW w:w="9847" w:type="dxa"/>
            <w:shd w:val="clear" w:color="auto" w:fill="auto"/>
          </w:tcPr>
          <w:p w14:paraId="7B4133AD" w14:textId="77777777" w:rsidR="00696B8C" w:rsidRPr="00DD6DEC" w:rsidRDefault="00696B8C"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c</w:t>
            </w:r>
            <w:r w:rsidRPr="00177EC6">
              <w:rPr>
                <w:szCs w:val="24"/>
              </w:rPr>
              <w:t>he</w:t>
            </w:r>
            <w:r>
              <w:rPr>
                <w:szCs w:val="24"/>
              </w:rPr>
              <w:t>micalPurpose</w:t>
            </w:r>
          </w:p>
          <w:p w14:paraId="0F686D16" w14:textId="77777777" w:rsidR="00696B8C" w:rsidRPr="00696B8C" w:rsidRDefault="00696B8C" w:rsidP="000840F3">
            <w:pPr>
              <w:spacing w:after="120"/>
              <w:jc w:val="both"/>
              <w:rPr>
                <w:szCs w:val="24"/>
              </w:rPr>
            </w:pPr>
            <w:r>
              <w:rPr>
                <w:b/>
                <w:szCs w:val="24"/>
              </w:rPr>
              <w:t>Field type / facets:</w:t>
            </w:r>
            <w:r w:rsidR="00E5475F" w:rsidRPr="00E5475F">
              <w:rPr>
                <w:szCs w:val="24"/>
              </w:rPr>
              <w:t xml:space="preserve"> Chemical</w:t>
            </w:r>
            <w:r>
              <w:rPr>
                <w:szCs w:val="24"/>
              </w:rPr>
              <w:t>Purpose</w:t>
            </w:r>
            <w:r w:rsidRPr="00177EC6">
              <w:rPr>
                <w:szCs w:val="24"/>
              </w:rPr>
              <w:t>_Enum</w:t>
            </w:r>
            <w:r>
              <w:rPr>
                <w:szCs w:val="24"/>
              </w:rPr>
              <w:t xml:space="preserve">: </w:t>
            </w:r>
            <w:r>
              <w:rPr>
                <w:color w:val="000000"/>
                <w:szCs w:val="24"/>
                <w:lang w:eastAsia="en-GB"/>
              </w:rPr>
              <w:t>Status, Trend, Both</w:t>
            </w:r>
            <w:r w:rsidRPr="00BF71A2">
              <w:rPr>
                <w:color w:val="000000"/>
              </w:rPr>
              <w:t xml:space="preserve"> </w:t>
            </w:r>
          </w:p>
          <w:p w14:paraId="342D946C" w14:textId="77777777" w:rsidR="00696B8C" w:rsidRPr="00BF71A2" w:rsidRDefault="00696B8C" w:rsidP="000840F3">
            <w:pPr>
              <w:spacing w:after="120"/>
              <w:jc w:val="both"/>
            </w:pPr>
            <w:r w:rsidRPr="00BF71A2">
              <w:rPr>
                <w:b/>
              </w:rPr>
              <w:t>Properties</w:t>
            </w:r>
            <w:r w:rsidRPr="00BF71A2">
              <w:t>: maxOccurs = 1 minOccurs = 1</w:t>
            </w:r>
          </w:p>
          <w:p w14:paraId="53A3CC40" w14:textId="77777777" w:rsidR="00696B8C" w:rsidRPr="00696B8C" w:rsidRDefault="00696B8C" w:rsidP="000840F3">
            <w:pPr>
              <w:spacing w:after="120"/>
              <w:jc w:val="both"/>
              <w:rPr>
                <w:szCs w:val="24"/>
              </w:rPr>
            </w:pPr>
            <w:r w:rsidRPr="00EE1A30">
              <w:rPr>
                <w:b/>
                <w:szCs w:val="24"/>
              </w:rPr>
              <w:t>Guidance on completion of schema element</w:t>
            </w:r>
            <w:r w:rsidRPr="00EE1A30">
              <w:rPr>
                <w:szCs w:val="24"/>
              </w:rPr>
              <w:t>:</w:t>
            </w:r>
            <w:r>
              <w:rPr>
                <w:szCs w:val="24"/>
              </w:rPr>
              <w:t xml:space="preserve"> Required</w:t>
            </w:r>
            <w:r w:rsidRPr="00EE1A30">
              <w:rPr>
                <w:szCs w:val="24"/>
              </w:rPr>
              <w:t xml:space="preserve">. Report </w:t>
            </w:r>
            <w:r>
              <w:rPr>
                <w:szCs w:val="24"/>
              </w:rPr>
              <w:t>if the chemical monitoring is used for status assessment, trend assessment or both.</w:t>
            </w:r>
          </w:p>
        </w:tc>
      </w:tr>
      <w:tr w:rsidR="00696B8C" w:rsidRPr="00EE1A30" w14:paraId="1D7F4EAF" w14:textId="77777777" w:rsidTr="000E2C10">
        <w:tc>
          <w:tcPr>
            <w:tcW w:w="9847" w:type="dxa"/>
            <w:shd w:val="clear" w:color="auto" w:fill="auto"/>
          </w:tcPr>
          <w:p w14:paraId="12FE0AFF" w14:textId="77777777" w:rsidR="00696B8C" w:rsidRPr="00DD6DEC" w:rsidRDefault="00696B8C" w:rsidP="000840F3">
            <w:pPr>
              <w:spacing w:after="120"/>
              <w:jc w:val="both"/>
              <w:rPr>
                <w:b/>
                <w:szCs w:val="24"/>
              </w:rPr>
            </w:pPr>
            <w:r w:rsidRPr="006F25ED">
              <w:rPr>
                <w:b/>
                <w:szCs w:val="24"/>
              </w:rPr>
              <w:t>Schema element</w:t>
            </w:r>
            <w:r w:rsidRPr="006F25ED">
              <w:rPr>
                <w:szCs w:val="24"/>
              </w:rPr>
              <w:t xml:space="preserve">: </w:t>
            </w:r>
            <w:r w:rsidR="001B365B">
              <w:rPr>
                <w:szCs w:val="24"/>
              </w:rPr>
              <w:t>c</w:t>
            </w:r>
            <w:r w:rsidR="001B365B" w:rsidRPr="00177EC6">
              <w:rPr>
                <w:szCs w:val="24"/>
              </w:rPr>
              <w:t>hemicalFrequency</w:t>
            </w:r>
          </w:p>
          <w:p w14:paraId="36F8A2BE" w14:textId="77777777" w:rsidR="00696B8C" w:rsidRDefault="00696B8C" w:rsidP="000840F3">
            <w:pPr>
              <w:spacing w:after="120"/>
              <w:jc w:val="both"/>
              <w:rPr>
                <w:szCs w:val="24"/>
              </w:rPr>
            </w:pPr>
            <w:r>
              <w:rPr>
                <w:b/>
                <w:szCs w:val="24"/>
              </w:rPr>
              <w:t xml:space="preserve">Field type / facets: </w:t>
            </w:r>
            <w:r w:rsidR="00C4474A">
              <w:rPr>
                <w:szCs w:val="24"/>
              </w:rPr>
              <w:t>n</w:t>
            </w:r>
            <w:r w:rsidR="000E2C10">
              <w:rPr>
                <w:szCs w:val="24"/>
              </w:rPr>
              <w:t>onNegativeInteger</w:t>
            </w:r>
          </w:p>
          <w:p w14:paraId="7B881F26" w14:textId="77777777" w:rsidR="00696B8C" w:rsidRPr="00587683" w:rsidRDefault="00696B8C" w:rsidP="000840F3">
            <w:pPr>
              <w:spacing w:after="120"/>
              <w:jc w:val="both"/>
              <w:rPr>
                <w:szCs w:val="24"/>
              </w:rPr>
            </w:pPr>
            <w:r w:rsidRPr="006F25ED">
              <w:rPr>
                <w:b/>
                <w:szCs w:val="24"/>
              </w:rPr>
              <w:t>Properties</w:t>
            </w:r>
            <w:r w:rsidRPr="00177EC6">
              <w:rPr>
                <w:szCs w:val="24"/>
              </w:rPr>
              <w:t>:</w:t>
            </w:r>
            <w:r>
              <w:rPr>
                <w:szCs w:val="24"/>
              </w:rPr>
              <w:t xml:space="preserve"> </w:t>
            </w:r>
            <w:r w:rsidRPr="00177EC6">
              <w:rPr>
                <w:szCs w:val="24"/>
              </w:rPr>
              <w:t>maxOccurs =1</w:t>
            </w:r>
            <w:r>
              <w:rPr>
                <w:szCs w:val="24"/>
              </w:rPr>
              <w:t xml:space="preserve"> </w:t>
            </w:r>
            <w:r w:rsidRPr="00177EC6">
              <w:rPr>
                <w:szCs w:val="24"/>
              </w:rPr>
              <w:t>minOccurs = 1</w:t>
            </w:r>
          </w:p>
          <w:p w14:paraId="301FE3A0" w14:textId="77777777" w:rsidR="00696B8C" w:rsidRPr="00EE1A30" w:rsidRDefault="00696B8C" w:rsidP="000840F3">
            <w:pPr>
              <w:spacing w:after="120"/>
              <w:jc w:val="both"/>
              <w:rPr>
                <w:szCs w:val="24"/>
              </w:rPr>
            </w:pPr>
            <w:r w:rsidRPr="00EE1A30">
              <w:rPr>
                <w:b/>
                <w:szCs w:val="24"/>
              </w:rPr>
              <w:t>Guidance on completion of schema element</w:t>
            </w:r>
            <w:r w:rsidRPr="00EE1A30">
              <w:rPr>
                <w:szCs w:val="24"/>
              </w:rPr>
              <w:t xml:space="preserve">: </w:t>
            </w:r>
            <w:r>
              <w:rPr>
                <w:szCs w:val="24"/>
              </w:rPr>
              <w:t>Required</w:t>
            </w:r>
            <w:r w:rsidRPr="00EE1A30">
              <w:rPr>
                <w:szCs w:val="24"/>
              </w:rPr>
              <w:t>. Report the frequency at which each chemical substance is monitored at this monitoring site.</w:t>
            </w:r>
          </w:p>
          <w:p w14:paraId="526C3D7A" w14:textId="77777777" w:rsidR="00696B8C" w:rsidRPr="00EE1A30" w:rsidRDefault="00696B8C" w:rsidP="000840F3">
            <w:pPr>
              <w:spacing w:after="120"/>
              <w:jc w:val="both"/>
              <w:rPr>
                <w:b/>
                <w:szCs w:val="24"/>
              </w:rPr>
            </w:pPr>
            <w:r w:rsidRPr="00EE1A30">
              <w:rPr>
                <w:szCs w:val="24"/>
              </w:rPr>
              <w:t xml:space="preserve">Further guidance on what should be reported is provided in the glossary </w:t>
            </w:r>
            <w:r>
              <w:rPr>
                <w:szCs w:val="24"/>
              </w:rPr>
              <w:t xml:space="preserve">in section </w:t>
            </w:r>
            <w:r w:rsidR="00772732">
              <w:rPr>
                <w:szCs w:val="24"/>
              </w:rPr>
              <w:fldChar w:fldCharType="begin"/>
            </w:r>
            <w:r>
              <w:rPr>
                <w:szCs w:val="24"/>
              </w:rPr>
              <w:instrText xml:space="preserve"> REF _Ref425176628 \r \h </w:instrText>
            </w:r>
            <w:r w:rsidR="000840F3">
              <w:rPr>
                <w:szCs w:val="24"/>
              </w:rPr>
              <w:instrText xml:space="preserve"> \* MERGEFORMAT </w:instrText>
            </w:r>
            <w:r w:rsidR="00772732">
              <w:rPr>
                <w:szCs w:val="24"/>
              </w:rPr>
            </w:r>
            <w:r w:rsidR="00772732">
              <w:rPr>
                <w:szCs w:val="24"/>
              </w:rPr>
              <w:fldChar w:fldCharType="separate"/>
            </w:r>
            <w:r w:rsidR="00F66939">
              <w:rPr>
                <w:szCs w:val="24"/>
              </w:rPr>
              <w:t>4.3.5</w:t>
            </w:r>
            <w:r w:rsidR="00772732">
              <w:rPr>
                <w:szCs w:val="24"/>
              </w:rPr>
              <w:fldChar w:fldCharType="end"/>
            </w:r>
            <w:r w:rsidRPr="00EE1A30">
              <w:rPr>
                <w:szCs w:val="24"/>
              </w:rPr>
              <w:t>.</w:t>
            </w:r>
          </w:p>
        </w:tc>
      </w:tr>
      <w:tr w:rsidR="00696B8C" w:rsidRPr="00EE1A30" w14:paraId="4B6EF695" w14:textId="77777777" w:rsidTr="000E2C10">
        <w:tc>
          <w:tcPr>
            <w:tcW w:w="9847" w:type="dxa"/>
            <w:shd w:val="clear" w:color="auto" w:fill="auto"/>
          </w:tcPr>
          <w:p w14:paraId="37FA4F7D" w14:textId="77777777" w:rsidR="00696B8C" w:rsidRPr="00DD6DEC" w:rsidRDefault="00696B8C"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B365B">
              <w:rPr>
                <w:szCs w:val="24"/>
              </w:rPr>
              <w:t>c</w:t>
            </w:r>
            <w:r w:rsidR="001B365B" w:rsidRPr="007D42BB">
              <w:rPr>
                <w:szCs w:val="24"/>
              </w:rPr>
              <w:t>hemicalCycle</w:t>
            </w:r>
          </w:p>
          <w:p w14:paraId="18C845EE" w14:textId="77777777" w:rsidR="00696B8C" w:rsidRDefault="00696B8C" w:rsidP="000840F3">
            <w:pPr>
              <w:spacing w:after="120"/>
              <w:jc w:val="both"/>
              <w:rPr>
                <w:szCs w:val="24"/>
              </w:rPr>
            </w:pPr>
            <w:r>
              <w:rPr>
                <w:b/>
                <w:szCs w:val="24"/>
              </w:rPr>
              <w:t xml:space="preserve">Field type / facets: </w:t>
            </w:r>
            <w:r w:rsidR="00C4474A">
              <w:rPr>
                <w:szCs w:val="24"/>
              </w:rPr>
              <w:t>n</w:t>
            </w:r>
            <w:r w:rsidR="000E2C10">
              <w:rPr>
                <w:szCs w:val="24"/>
              </w:rPr>
              <w:t>onNegativeInteger</w:t>
            </w:r>
          </w:p>
          <w:p w14:paraId="562F74EE" w14:textId="77777777" w:rsidR="00696B8C" w:rsidRPr="00587683" w:rsidRDefault="00696B8C" w:rsidP="000840F3">
            <w:pPr>
              <w:spacing w:after="120"/>
              <w:jc w:val="both"/>
              <w:rPr>
                <w:szCs w:val="24"/>
              </w:rPr>
            </w:pPr>
            <w:r w:rsidRPr="006F25ED">
              <w:rPr>
                <w:b/>
                <w:szCs w:val="24"/>
              </w:rPr>
              <w:t>Properties</w:t>
            </w:r>
            <w:r w:rsidRPr="007D42BB">
              <w:rPr>
                <w:szCs w:val="24"/>
              </w:rPr>
              <w:t>:</w:t>
            </w:r>
            <w:r>
              <w:rPr>
                <w:szCs w:val="24"/>
              </w:rPr>
              <w:t xml:space="preserve"> </w:t>
            </w:r>
            <w:r w:rsidRPr="007D42BB">
              <w:rPr>
                <w:szCs w:val="24"/>
              </w:rPr>
              <w:t>maxOccurs =1</w:t>
            </w:r>
            <w:r>
              <w:rPr>
                <w:szCs w:val="24"/>
              </w:rPr>
              <w:t xml:space="preserve"> </w:t>
            </w:r>
            <w:r w:rsidRPr="007D42BB">
              <w:rPr>
                <w:szCs w:val="24"/>
              </w:rPr>
              <w:t>minOccurs = 1</w:t>
            </w:r>
          </w:p>
          <w:p w14:paraId="75A5B483" w14:textId="77777777" w:rsidR="00696B8C" w:rsidRPr="00EE1A30" w:rsidRDefault="00696B8C" w:rsidP="000840F3">
            <w:pPr>
              <w:spacing w:after="120"/>
              <w:jc w:val="both"/>
              <w:rPr>
                <w:szCs w:val="24"/>
              </w:rPr>
            </w:pPr>
            <w:r w:rsidRPr="00EE1A30">
              <w:rPr>
                <w:b/>
                <w:szCs w:val="24"/>
              </w:rPr>
              <w:t>Guidance on completion of schema element</w:t>
            </w:r>
            <w:r w:rsidRPr="00EE1A30">
              <w:rPr>
                <w:szCs w:val="24"/>
              </w:rPr>
              <w:t>:</w:t>
            </w:r>
            <w:r>
              <w:rPr>
                <w:szCs w:val="24"/>
              </w:rPr>
              <w:t xml:space="preserve"> Required</w:t>
            </w:r>
            <w:r w:rsidRPr="00EE1A30">
              <w:rPr>
                <w:szCs w:val="24"/>
              </w:rPr>
              <w:t>. Report the monitoring cycle relating to each chemical substance monitored at this monitoring site.</w:t>
            </w:r>
          </w:p>
          <w:p w14:paraId="710AEE90" w14:textId="77777777" w:rsidR="00696B8C" w:rsidRPr="00531CDC" w:rsidRDefault="00696B8C" w:rsidP="000840F3">
            <w:pPr>
              <w:spacing w:after="120"/>
              <w:jc w:val="both"/>
              <w:rPr>
                <w:szCs w:val="24"/>
              </w:rPr>
            </w:pPr>
            <w:r w:rsidRPr="00EE1A30">
              <w:rPr>
                <w:szCs w:val="24"/>
              </w:rPr>
              <w:t xml:space="preserve">Further guidance on what should be reported is provided in the glossary </w:t>
            </w:r>
            <w:r>
              <w:rPr>
                <w:szCs w:val="24"/>
              </w:rPr>
              <w:t xml:space="preserve">in section </w:t>
            </w:r>
            <w:r w:rsidR="00772732">
              <w:rPr>
                <w:szCs w:val="24"/>
              </w:rPr>
              <w:fldChar w:fldCharType="begin"/>
            </w:r>
            <w:r>
              <w:rPr>
                <w:szCs w:val="24"/>
              </w:rPr>
              <w:instrText xml:space="preserve"> REF _Ref425176628 \r \h </w:instrText>
            </w:r>
            <w:r w:rsidR="000840F3">
              <w:rPr>
                <w:szCs w:val="24"/>
              </w:rPr>
              <w:instrText xml:space="preserve"> \* MERGEFORMAT </w:instrText>
            </w:r>
            <w:r w:rsidR="00772732">
              <w:rPr>
                <w:szCs w:val="24"/>
              </w:rPr>
            </w:r>
            <w:r w:rsidR="00772732">
              <w:rPr>
                <w:szCs w:val="24"/>
              </w:rPr>
              <w:fldChar w:fldCharType="separate"/>
            </w:r>
            <w:r w:rsidR="00F66939">
              <w:rPr>
                <w:szCs w:val="24"/>
              </w:rPr>
              <w:t>4.3.5</w:t>
            </w:r>
            <w:r w:rsidR="00772732">
              <w:rPr>
                <w:szCs w:val="24"/>
              </w:rPr>
              <w:fldChar w:fldCharType="end"/>
            </w:r>
            <w:r w:rsidRPr="00EE1A30">
              <w:rPr>
                <w:szCs w:val="24"/>
              </w:rPr>
              <w:t>.</w:t>
            </w:r>
          </w:p>
        </w:tc>
      </w:tr>
      <w:tr w:rsidR="00696B8C" w:rsidRPr="00EE1A30" w14:paraId="34F8F377" w14:textId="77777777" w:rsidTr="000E2C10">
        <w:tc>
          <w:tcPr>
            <w:tcW w:w="9847" w:type="dxa"/>
            <w:shd w:val="clear" w:color="auto" w:fill="auto"/>
          </w:tcPr>
          <w:p w14:paraId="7AF69E19" w14:textId="77777777" w:rsidR="00696B8C" w:rsidRPr="00DD6DEC" w:rsidRDefault="00696B8C" w:rsidP="000840F3">
            <w:pPr>
              <w:spacing w:after="120"/>
              <w:jc w:val="both"/>
              <w:rPr>
                <w:b/>
                <w:szCs w:val="24"/>
              </w:rPr>
            </w:pPr>
            <w:r w:rsidRPr="006F25ED">
              <w:rPr>
                <w:b/>
                <w:szCs w:val="24"/>
              </w:rPr>
              <w:t>Schema element</w:t>
            </w:r>
            <w:r w:rsidRPr="006F25ED">
              <w:rPr>
                <w:szCs w:val="24"/>
              </w:rPr>
              <w:t xml:space="preserve">: </w:t>
            </w:r>
            <w:r w:rsidR="001B365B">
              <w:rPr>
                <w:szCs w:val="24"/>
              </w:rPr>
              <w:t>c</w:t>
            </w:r>
            <w:r w:rsidR="001B365B" w:rsidRPr="00704287">
              <w:rPr>
                <w:szCs w:val="24"/>
              </w:rPr>
              <w:t>hemicalLastMonitored</w:t>
            </w:r>
          </w:p>
          <w:p w14:paraId="621C1B78" w14:textId="77777777" w:rsidR="00696B8C" w:rsidRDefault="00696B8C" w:rsidP="000840F3">
            <w:pPr>
              <w:spacing w:after="120"/>
              <w:jc w:val="both"/>
              <w:rPr>
                <w:szCs w:val="24"/>
              </w:rPr>
            </w:pPr>
            <w:r>
              <w:rPr>
                <w:b/>
                <w:szCs w:val="24"/>
              </w:rPr>
              <w:lastRenderedPageBreak/>
              <w:t xml:space="preserve">Field type / facets: </w:t>
            </w:r>
            <w:r w:rsidR="00AF2BEF">
              <w:rPr>
                <w:szCs w:val="24"/>
              </w:rPr>
              <w:t>YearRange</w:t>
            </w:r>
            <w:r w:rsidR="00AF2BEF" w:rsidRPr="00704287">
              <w:rPr>
                <w:szCs w:val="24"/>
              </w:rPr>
              <w:t>Type</w:t>
            </w:r>
          </w:p>
          <w:p w14:paraId="6B56A421" w14:textId="77777777" w:rsidR="00696B8C" w:rsidRPr="00587683" w:rsidRDefault="00696B8C" w:rsidP="000840F3">
            <w:pPr>
              <w:spacing w:after="120"/>
              <w:jc w:val="both"/>
              <w:rPr>
                <w:szCs w:val="24"/>
              </w:rPr>
            </w:pPr>
            <w:r w:rsidRPr="006F25ED">
              <w:rPr>
                <w:b/>
                <w:szCs w:val="24"/>
              </w:rPr>
              <w:t>Properties</w:t>
            </w:r>
            <w:r w:rsidRPr="00593540">
              <w:rPr>
                <w:szCs w:val="24"/>
              </w:rPr>
              <w:t>:</w:t>
            </w:r>
            <w:r>
              <w:rPr>
                <w:szCs w:val="24"/>
              </w:rPr>
              <w:t xml:space="preserve"> </w:t>
            </w:r>
            <w:r w:rsidRPr="00593540">
              <w:rPr>
                <w:szCs w:val="24"/>
              </w:rPr>
              <w:t>maxOccurs =1</w:t>
            </w:r>
            <w:r>
              <w:rPr>
                <w:szCs w:val="24"/>
              </w:rPr>
              <w:t xml:space="preserve"> </w:t>
            </w:r>
            <w:r w:rsidRPr="00593540">
              <w:rPr>
                <w:szCs w:val="24"/>
              </w:rPr>
              <w:t>minOccurs = 1</w:t>
            </w:r>
          </w:p>
          <w:p w14:paraId="75E38883" w14:textId="77777777" w:rsidR="00696B8C" w:rsidRPr="00EE1A30" w:rsidRDefault="00696B8C" w:rsidP="000840F3">
            <w:pPr>
              <w:spacing w:after="120"/>
              <w:jc w:val="both"/>
              <w:rPr>
                <w:b/>
                <w:szCs w:val="24"/>
              </w:rPr>
            </w:pPr>
            <w:r w:rsidRPr="00EE1A30">
              <w:rPr>
                <w:b/>
                <w:szCs w:val="24"/>
              </w:rPr>
              <w:t>Guidance on completion of schema element</w:t>
            </w:r>
            <w:r w:rsidRPr="00EE1A30">
              <w:rPr>
                <w:szCs w:val="24"/>
              </w:rPr>
              <w:t>:</w:t>
            </w:r>
            <w:r>
              <w:rPr>
                <w:szCs w:val="24"/>
              </w:rPr>
              <w:t xml:space="preserve"> Required</w:t>
            </w:r>
            <w:r w:rsidRPr="00EE1A30">
              <w:rPr>
                <w:szCs w:val="24"/>
              </w:rPr>
              <w:t xml:space="preserve">. Report the most recent year in the format YYYY that each chemical substance was monitored at this monitoring site. Enter </w:t>
            </w:r>
            <w:r w:rsidR="00AF2BEF">
              <w:rPr>
                <w:color w:val="000000"/>
                <w:szCs w:val="24"/>
              </w:rPr>
              <w:t>9999</w:t>
            </w:r>
            <w:r w:rsidRPr="00EE1A30">
              <w:rPr>
                <w:color w:val="000000"/>
                <w:szCs w:val="24"/>
              </w:rPr>
              <w:t xml:space="preserve"> if the chemical substance has yet to be measured.</w:t>
            </w:r>
          </w:p>
        </w:tc>
      </w:tr>
    </w:tbl>
    <w:p w14:paraId="4DA0E908" w14:textId="77777777" w:rsidR="00545402" w:rsidRDefault="00545402" w:rsidP="000840F3">
      <w:pPr>
        <w:jc w:val="both"/>
      </w:pPr>
    </w:p>
    <w:p w14:paraId="3118B8B7" w14:textId="77777777" w:rsidR="006266B1" w:rsidRDefault="00A02FB1" w:rsidP="000840F3">
      <w:pPr>
        <w:jc w:val="both"/>
      </w:pPr>
      <w:r>
        <w:t>The following class (child of MonitoringSite) is used to</w:t>
      </w:r>
      <w:r w:rsidR="006266B1">
        <w:t xml:space="preserve"> report the purpose and the programme that is linked to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6B1" w:rsidRPr="00EE1A30" w14:paraId="058796AD" w14:textId="77777777" w:rsidTr="00CA54CB">
        <w:tc>
          <w:tcPr>
            <w:tcW w:w="9847" w:type="dxa"/>
            <w:shd w:val="clear" w:color="auto" w:fill="auto"/>
          </w:tcPr>
          <w:p w14:paraId="1C731209" w14:textId="77777777" w:rsidR="006266B1" w:rsidRPr="00DD6DEC" w:rsidRDefault="006266B1" w:rsidP="000840F3">
            <w:pPr>
              <w:spacing w:after="120"/>
              <w:jc w:val="both"/>
              <w:rPr>
                <w:b/>
                <w:szCs w:val="24"/>
              </w:rPr>
            </w:pPr>
            <w:r w:rsidRPr="00EE1A30">
              <w:rPr>
                <w:b/>
                <w:szCs w:val="24"/>
              </w:rPr>
              <w:t>Schema: Monitoring</w:t>
            </w:r>
            <w:r>
              <w:rPr>
                <w:b/>
                <w:szCs w:val="24"/>
              </w:rPr>
              <w:t xml:space="preserve"> (continued)</w:t>
            </w:r>
          </w:p>
        </w:tc>
      </w:tr>
      <w:tr w:rsidR="006266B1" w:rsidRPr="00EE1A30" w14:paraId="0FB91522" w14:textId="77777777" w:rsidTr="00CA54CB">
        <w:tc>
          <w:tcPr>
            <w:tcW w:w="9847" w:type="dxa"/>
            <w:shd w:val="clear" w:color="auto" w:fill="auto"/>
          </w:tcPr>
          <w:p w14:paraId="3DAC0F30" w14:textId="77777777" w:rsidR="006266B1" w:rsidRDefault="006266B1" w:rsidP="000840F3">
            <w:pPr>
              <w:spacing w:after="120"/>
              <w:jc w:val="both"/>
              <w:rPr>
                <w:b/>
                <w:i/>
                <w:szCs w:val="24"/>
              </w:rPr>
            </w:pPr>
            <w:r>
              <w:rPr>
                <w:b/>
                <w:i/>
                <w:szCs w:val="24"/>
              </w:rPr>
              <w:t>Class MonitoringPurpose</w:t>
            </w:r>
          </w:p>
          <w:p w14:paraId="0CCF81F4" w14:textId="77777777" w:rsidR="006266B1" w:rsidRPr="006266B1" w:rsidRDefault="006266B1" w:rsidP="000840F3">
            <w:pPr>
              <w:spacing w:after="120"/>
              <w:jc w:val="both"/>
              <w:rPr>
                <w:i/>
                <w:szCs w:val="24"/>
              </w:rPr>
            </w:pPr>
            <w:r>
              <w:rPr>
                <w:b/>
                <w:i/>
                <w:szCs w:val="24"/>
              </w:rPr>
              <w:t>Properties:</w:t>
            </w:r>
            <w:r>
              <w:rPr>
                <w:i/>
                <w:szCs w:val="24"/>
              </w:rPr>
              <w:t xml:space="preserve"> maxOccurs = unbounded minOccurs = 1</w:t>
            </w:r>
          </w:p>
        </w:tc>
      </w:tr>
      <w:tr w:rsidR="006266B1" w:rsidRPr="00EE1A30" w14:paraId="408BD4BF" w14:textId="77777777" w:rsidTr="00CA54CB">
        <w:tc>
          <w:tcPr>
            <w:tcW w:w="9847" w:type="dxa"/>
            <w:shd w:val="clear" w:color="auto" w:fill="auto"/>
          </w:tcPr>
          <w:p w14:paraId="4A6C6243" w14:textId="77777777" w:rsidR="006266B1" w:rsidRPr="00DD6DEC" w:rsidRDefault="006266B1" w:rsidP="000840F3">
            <w:pPr>
              <w:spacing w:after="120"/>
              <w:jc w:val="both"/>
              <w:rPr>
                <w:b/>
                <w:szCs w:val="24"/>
              </w:rPr>
            </w:pPr>
            <w:r w:rsidRPr="006F25ED">
              <w:rPr>
                <w:b/>
                <w:szCs w:val="24"/>
              </w:rPr>
              <w:t>Schema element</w:t>
            </w:r>
            <w:r w:rsidRPr="006F25ED">
              <w:rPr>
                <w:szCs w:val="24"/>
              </w:rPr>
              <w:t>:</w:t>
            </w:r>
            <w:r>
              <w:t xml:space="preserve"> monitoringPurpose</w:t>
            </w:r>
          </w:p>
          <w:p w14:paraId="3B0284EC" w14:textId="77777777" w:rsidR="006266B1" w:rsidRDefault="006266B1" w:rsidP="000840F3">
            <w:pPr>
              <w:spacing w:after="120"/>
              <w:jc w:val="both"/>
              <w:rPr>
                <w:szCs w:val="24"/>
              </w:rPr>
            </w:pPr>
            <w:r>
              <w:rPr>
                <w:b/>
                <w:szCs w:val="24"/>
              </w:rPr>
              <w:t xml:space="preserve">Field type / facets: </w:t>
            </w:r>
            <w:r>
              <w:rPr>
                <w:szCs w:val="24"/>
              </w:rPr>
              <w:t xml:space="preserve">MonitoringPurpose_Enum </w:t>
            </w:r>
            <w:r w:rsidRPr="00A8624D">
              <w:rPr>
                <w:szCs w:val="24"/>
              </w:rPr>
              <w:t xml:space="preserve">(see </w:t>
            </w:r>
            <w:r w:rsidRPr="00EE1A30">
              <w:rPr>
                <w:szCs w:val="24"/>
              </w:rPr>
              <w:t>Annex 8</w:t>
            </w:r>
            <w:r w:rsidR="00531CDC">
              <w:rPr>
                <w:szCs w:val="24"/>
              </w:rPr>
              <w:t>i</w:t>
            </w:r>
            <w:r w:rsidRPr="00EE1A30">
              <w:rPr>
                <w:szCs w:val="24"/>
              </w:rPr>
              <w:t>)</w:t>
            </w:r>
          </w:p>
          <w:p w14:paraId="6AB230BE" w14:textId="77777777" w:rsidR="006266B1" w:rsidRPr="00EE1A30" w:rsidRDefault="006266B1" w:rsidP="000840F3">
            <w:pPr>
              <w:spacing w:after="120"/>
              <w:jc w:val="both"/>
              <w:rPr>
                <w:szCs w:val="24"/>
              </w:rPr>
            </w:pPr>
            <w:r w:rsidRPr="006F25ED">
              <w:rPr>
                <w:b/>
                <w:szCs w:val="24"/>
              </w:rPr>
              <w:t>Properties</w:t>
            </w:r>
            <w:r w:rsidRPr="00177EC6">
              <w:rPr>
                <w:szCs w:val="24"/>
              </w:rPr>
              <w:t>:</w:t>
            </w:r>
            <w:r>
              <w:rPr>
                <w:szCs w:val="24"/>
              </w:rPr>
              <w:t xml:space="preserve"> </w:t>
            </w:r>
            <w:r w:rsidRPr="00177EC6">
              <w:rPr>
                <w:szCs w:val="24"/>
              </w:rPr>
              <w:t>maxOccurs =1</w:t>
            </w:r>
            <w:r>
              <w:rPr>
                <w:szCs w:val="24"/>
              </w:rPr>
              <w:t xml:space="preserve"> </w:t>
            </w:r>
            <w:r w:rsidRPr="00177EC6">
              <w:rPr>
                <w:szCs w:val="24"/>
              </w:rPr>
              <w:t>minOccurs = 1</w:t>
            </w:r>
          </w:p>
          <w:p w14:paraId="5104CF26" w14:textId="77777777" w:rsidR="008C4753" w:rsidRDefault="006266B1" w:rsidP="000840F3">
            <w:pPr>
              <w:spacing w:after="120"/>
              <w:jc w:val="both"/>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 xml:space="preserve">Report each monitoring purpose of each monitoring site. </w:t>
            </w:r>
          </w:p>
        </w:tc>
      </w:tr>
      <w:tr w:rsidR="006266B1" w:rsidRPr="00EE1A30" w14:paraId="03CC0043" w14:textId="77777777" w:rsidTr="00CA54CB">
        <w:tc>
          <w:tcPr>
            <w:tcW w:w="9847" w:type="dxa"/>
            <w:shd w:val="clear" w:color="auto" w:fill="auto"/>
          </w:tcPr>
          <w:p w14:paraId="4F6D8B76" w14:textId="77777777" w:rsidR="006266B1" w:rsidRPr="00DD6DEC" w:rsidRDefault="006266B1"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euProgrammeCode</w:t>
            </w:r>
          </w:p>
          <w:p w14:paraId="388C132C" w14:textId="77777777" w:rsidR="006266B1" w:rsidRPr="00BF71A2" w:rsidRDefault="006266B1" w:rsidP="000840F3">
            <w:pPr>
              <w:spacing w:after="120"/>
              <w:jc w:val="both"/>
              <w:rPr>
                <w:color w:val="000000"/>
              </w:rPr>
            </w:pPr>
            <w:r>
              <w:rPr>
                <w:b/>
                <w:szCs w:val="24"/>
              </w:rPr>
              <w:t xml:space="preserve">Field type / facets: </w:t>
            </w:r>
            <w:r w:rsidRPr="007C0ED8">
              <w:rPr>
                <w:szCs w:val="24"/>
              </w:rPr>
              <w:t>FeatureUniqueEUCodeType</w:t>
            </w:r>
          </w:p>
          <w:p w14:paraId="70C848A3" w14:textId="77777777" w:rsidR="006266B1" w:rsidRPr="00BF71A2" w:rsidRDefault="006266B1" w:rsidP="000840F3">
            <w:pPr>
              <w:spacing w:after="120"/>
              <w:jc w:val="both"/>
            </w:pPr>
            <w:r w:rsidRPr="00BF71A2">
              <w:rPr>
                <w:b/>
              </w:rPr>
              <w:t>Properties</w:t>
            </w:r>
            <w:r w:rsidRPr="00BF71A2">
              <w:t>: maxOccurs = 1 minOccurs = 1</w:t>
            </w:r>
          </w:p>
          <w:p w14:paraId="4E978442" w14:textId="77777777" w:rsidR="006266B1" w:rsidRDefault="006266B1" w:rsidP="000840F3">
            <w:pPr>
              <w:spacing w:after="120"/>
              <w:jc w:val="both"/>
              <w:rPr>
                <w:szCs w:val="24"/>
              </w:rPr>
            </w:pPr>
            <w:r w:rsidRPr="00EE1A30">
              <w:rPr>
                <w:b/>
                <w:szCs w:val="24"/>
              </w:rPr>
              <w:t>Guidance on completion of schema element</w:t>
            </w:r>
            <w:r w:rsidRPr="00EE1A30">
              <w:rPr>
                <w:szCs w:val="24"/>
              </w:rPr>
              <w:t>:</w:t>
            </w:r>
            <w:r>
              <w:rPr>
                <w:szCs w:val="24"/>
              </w:rPr>
              <w:t xml:space="preserve"> Required</w:t>
            </w:r>
            <w:r w:rsidRPr="00EE1A30">
              <w:rPr>
                <w:szCs w:val="24"/>
              </w:rPr>
              <w:t xml:space="preserve">. Report the </w:t>
            </w:r>
            <w:r>
              <w:rPr>
                <w:szCs w:val="24"/>
              </w:rPr>
              <w:t xml:space="preserve">EU monitoring programme code under which the relevant purpose is implemented in this site. </w:t>
            </w:r>
          </w:p>
          <w:p w14:paraId="25B9B929" w14:textId="77777777" w:rsidR="000F02F9" w:rsidRDefault="00E5475F" w:rsidP="000840F3">
            <w:pPr>
              <w:spacing w:after="120"/>
              <w:jc w:val="both"/>
              <w:rPr>
                <w:szCs w:val="24"/>
              </w:rPr>
            </w:pPr>
            <w:r w:rsidRPr="00E5475F">
              <w:rPr>
                <w:b/>
                <w:szCs w:val="24"/>
              </w:rPr>
              <w:t>Quality check</w:t>
            </w:r>
            <w:r w:rsidR="006266B1">
              <w:rPr>
                <w:szCs w:val="24"/>
              </w:rPr>
              <w:t>:</w:t>
            </w:r>
            <w:r w:rsidR="000F02F9" w:rsidRPr="00FB69FE">
              <w:rPr>
                <w:szCs w:val="24"/>
              </w:rPr>
              <w:t xml:space="preserve"> Element check: </w:t>
            </w:r>
            <w:r w:rsidR="000F02F9" w:rsidRPr="00551375">
              <w:rPr>
                <w:szCs w:val="24"/>
              </w:rPr>
              <w:t xml:space="preserve">First 2 characters must be the Member State’s 2-alpha character ISO country code. </w:t>
            </w:r>
          </w:p>
          <w:p w14:paraId="610123EC" w14:textId="77777777" w:rsidR="006266B1" w:rsidRPr="00354F8B" w:rsidRDefault="00354F8B" w:rsidP="000840F3">
            <w:pPr>
              <w:spacing w:after="120"/>
              <w:jc w:val="both"/>
              <w:rPr>
                <w:i/>
                <w:szCs w:val="24"/>
              </w:rPr>
            </w:pPr>
            <w:r>
              <w:rPr>
                <w:szCs w:val="24"/>
              </w:rPr>
              <w:t xml:space="preserve">Within-schema check: the code must be included in </w:t>
            </w:r>
            <w:r>
              <w:rPr>
                <w:i/>
                <w:szCs w:val="24"/>
              </w:rPr>
              <w:t>Monitoring/Programme/euProgrammeCode</w:t>
            </w:r>
          </w:p>
        </w:tc>
      </w:tr>
    </w:tbl>
    <w:p w14:paraId="4432B08E" w14:textId="77777777" w:rsidR="006266B1" w:rsidRDefault="006266B1" w:rsidP="000840F3">
      <w:pPr>
        <w:jc w:val="both"/>
      </w:pPr>
    </w:p>
    <w:p w14:paraId="67AC037C" w14:textId="77777777" w:rsidR="00A71A2D" w:rsidRPr="00EE1A30" w:rsidRDefault="006F25ED" w:rsidP="0010226A">
      <w:pPr>
        <w:pStyle w:val="Ttulo3"/>
      </w:pPr>
      <w:r w:rsidRPr="006F25ED">
        <w:t>GIS information</w:t>
      </w:r>
    </w:p>
    <w:p w14:paraId="4D0EAC53" w14:textId="77777777" w:rsidR="00A71A2D" w:rsidRPr="00EE1A30" w:rsidRDefault="00FA01E2" w:rsidP="000840F3">
      <w:pPr>
        <w:jc w:val="both"/>
      </w:pPr>
      <w:r>
        <w:t>The location of monitoring sites needs to be reported separately as GML files (see Annex 5 GIS guidance for further information)</w:t>
      </w:r>
      <w:r w:rsidR="006F1CE8" w:rsidRPr="00EE1A30">
        <w:t>.</w:t>
      </w:r>
    </w:p>
    <w:p w14:paraId="46F5C4CB" w14:textId="77777777" w:rsidR="00A71A2D" w:rsidRPr="00EE1A30" w:rsidRDefault="006F25ED" w:rsidP="0010226A">
      <w:pPr>
        <w:pStyle w:val="Ttulo3"/>
      </w:pPr>
      <w:bookmarkStart w:id="31" w:name="_Ref402950055"/>
      <w:r w:rsidRPr="006F25ED">
        <w:t>Guidance on contents of RBMPs and background documents</w:t>
      </w:r>
      <w:bookmarkEnd w:id="31"/>
    </w:p>
    <w:p w14:paraId="5D8B7503" w14:textId="77777777" w:rsidR="00374F08" w:rsidRPr="00EE1A30" w:rsidRDefault="000B0EC1" w:rsidP="000840F3">
      <w:pPr>
        <w:jc w:val="both"/>
      </w:pPr>
      <w:r w:rsidRPr="00EE1A30">
        <w:t xml:space="preserve">The following provides </w:t>
      </w:r>
      <w:r w:rsidR="00A44213" w:rsidRPr="00EE1A30">
        <w:t xml:space="preserve">guidance on </w:t>
      </w:r>
      <w:r w:rsidR="00C708CF" w:rsidRPr="00EE1A30">
        <w:t xml:space="preserve">the </w:t>
      </w:r>
      <w:r w:rsidR="00374F08" w:rsidRPr="00EE1A30">
        <w:t xml:space="preserve">aspects </w:t>
      </w:r>
      <w:r w:rsidR="00A44213" w:rsidRPr="00EE1A30">
        <w:t xml:space="preserve">that the </w:t>
      </w:r>
      <w:r w:rsidR="00C708CF" w:rsidRPr="00EE1A30">
        <w:t xml:space="preserve">European </w:t>
      </w:r>
      <w:r w:rsidR="00A44213" w:rsidRPr="00EE1A30">
        <w:t>Commission expects to find in the relevant chapter</w:t>
      </w:r>
      <w:r w:rsidR="00C708CF" w:rsidRPr="00EE1A30">
        <w:t>s</w:t>
      </w:r>
      <w:r w:rsidR="00A44213" w:rsidRPr="00EE1A30">
        <w:t xml:space="preserve"> </w:t>
      </w:r>
      <w:r w:rsidR="00C708CF" w:rsidRPr="00EE1A30">
        <w:t xml:space="preserve">on monitoring in </w:t>
      </w:r>
      <w:r w:rsidR="00A44213" w:rsidRPr="00EE1A30">
        <w:t>the RBMP</w:t>
      </w:r>
      <w:r w:rsidR="00C708CF" w:rsidRPr="00EE1A30">
        <w:t>s</w:t>
      </w:r>
      <w:r w:rsidR="00A44213" w:rsidRPr="00EE1A30">
        <w:t xml:space="preserve"> or in background documents</w:t>
      </w:r>
      <w:r w:rsidR="00BA4A8C" w:rsidRPr="00EE1A30">
        <w:t>.</w:t>
      </w:r>
      <w:r w:rsidR="00A44213" w:rsidRPr="00EE1A30">
        <w:t xml:space="preserve"> This guidance is not intended to be comprehensive in terms of what the Member States have to include in their RBMPs or background documents, rather to provide certain concrete elements of information that the </w:t>
      </w:r>
      <w:r w:rsidR="00C708CF" w:rsidRPr="00EE1A30">
        <w:t xml:space="preserve">European </w:t>
      </w:r>
      <w:r w:rsidR="00A44213" w:rsidRPr="00EE1A30">
        <w:t>Commission expects to find.</w:t>
      </w:r>
    </w:p>
    <w:p w14:paraId="4A14E90D" w14:textId="77777777" w:rsidR="00FA6076" w:rsidRPr="00EE1A30" w:rsidRDefault="00FA6076" w:rsidP="000840F3">
      <w:pPr>
        <w:jc w:val="both"/>
      </w:pPr>
      <w:r w:rsidRPr="00EE1A30">
        <w:t>The RBMPs or background documents should include:</w:t>
      </w:r>
    </w:p>
    <w:p w14:paraId="1F3D8652" w14:textId="77777777" w:rsidR="00173807" w:rsidRPr="00EE1A30" w:rsidRDefault="00FA6076" w:rsidP="000840F3">
      <w:pPr>
        <w:numPr>
          <w:ilvl w:val="0"/>
          <w:numId w:val="16"/>
        </w:numPr>
        <w:jc w:val="both"/>
      </w:pPr>
      <w:r w:rsidRPr="00EE1A30">
        <w:t>S</w:t>
      </w:r>
      <w:r w:rsidR="00173807" w:rsidRPr="00EE1A30">
        <w:t>ummar</w:t>
      </w:r>
      <w:r w:rsidRPr="00EE1A30">
        <w:t>ies</w:t>
      </w:r>
      <w:r w:rsidR="00173807" w:rsidRPr="00EE1A30">
        <w:t xml:space="preserve"> of the significant changes in the monitoring programmes undertaken </w:t>
      </w:r>
      <w:r w:rsidRPr="00EE1A30">
        <w:t xml:space="preserve">since </w:t>
      </w:r>
      <w:r w:rsidR="00173807" w:rsidRPr="00EE1A30">
        <w:t>the first report</w:t>
      </w:r>
      <w:r w:rsidRPr="00EE1A30">
        <w:t xml:space="preserve">ing exercise </w:t>
      </w:r>
      <w:r w:rsidR="00173807" w:rsidRPr="00EE1A30">
        <w:t>in 2007</w:t>
      </w:r>
      <w:r w:rsidRPr="00EE1A30">
        <w:t>, the first RBMPs in</w:t>
      </w:r>
      <w:r w:rsidR="00173807" w:rsidRPr="00EE1A30">
        <w:t xml:space="preserve"> 2010</w:t>
      </w:r>
      <w:r w:rsidRPr="00EE1A30">
        <w:t xml:space="preserve">, </w:t>
      </w:r>
      <w:r w:rsidR="00173807" w:rsidRPr="00EE1A30">
        <w:t xml:space="preserve">those used to inform the </w:t>
      </w:r>
      <w:r w:rsidR="00173807" w:rsidRPr="00EE1A30">
        <w:lastRenderedPageBreak/>
        <w:t xml:space="preserve">development of the second </w:t>
      </w:r>
      <w:r w:rsidRPr="00EE1A30">
        <w:t xml:space="preserve">RBMPs </w:t>
      </w:r>
      <w:r w:rsidR="00173807" w:rsidRPr="00EE1A30">
        <w:t>up to 2015</w:t>
      </w:r>
      <w:r w:rsidRPr="00EE1A30">
        <w:t>,</w:t>
      </w:r>
      <w:r w:rsidR="00173807" w:rsidRPr="00EE1A30">
        <w:t xml:space="preserve"> and those planned to be undertaken up to 2021</w:t>
      </w:r>
      <w:r w:rsidRPr="00EE1A30">
        <w:t>.</w:t>
      </w:r>
      <w:r w:rsidR="00173807" w:rsidRPr="00EE1A30">
        <w:t xml:space="preserve"> </w:t>
      </w:r>
    </w:p>
    <w:p w14:paraId="1656AF2A" w14:textId="77777777" w:rsidR="00E81C5B" w:rsidRPr="00EE1A30" w:rsidRDefault="00FA6076" w:rsidP="000840F3">
      <w:pPr>
        <w:numPr>
          <w:ilvl w:val="0"/>
          <w:numId w:val="16"/>
        </w:numPr>
        <w:jc w:val="both"/>
      </w:pPr>
      <w:r w:rsidRPr="00EE1A30">
        <w:t>D</w:t>
      </w:r>
      <w:r w:rsidR="00E81C5B" w:rsidRPr="00EE1A30">
        <w:t xml:space="preserve">etailed information on the design of each type of monitoring programme, including </w:t>
      </w:r>
      <w:r w:rsidRPr="00EE1A30">
        <w:t xml:space="preserve">the </w:t>
      </w:r>
      <w:r w:rsidR="00E81C5B" w:rsidRPr="00EE1A30">
        <w:t xml:space="preserve">objectives of monitoring, </w:t>
      </w:r>
      <w:r w:rsidRPr="00EE1A30">
        <w:t>QEs</w:t>
      </w:r>
      <w:r w:rsidR="00E81C5B" w:rsidRPr="00EE1A30">
        <w:t xml:space="preserve"> selected, </w:t>
      </w:r>
      <w:r w:rsidRPr="00EE1A30">
        <w:t xml:space="preserve">the </w:t>
      </w:r>
      <w:r w:rsidR="00E81C5B" w:rsidRPr="00EE1A30">
        <w:t xml:space="preserve">rationale for the number and location of </w:t>
      </w:r>
      <w:r w:rsidRPr="00EE1A30">
        <w:t>monitoring sites</w:t>
      </w:r>
      <w:r w:rsidR="00E81C5B" w:rsidRPr="00EE1A30">
        <w:t xml:space="preserve"> chosen, </w:t>
      </w:r>
      <w:r w:rsidRPr="00EE1A30">
        <w:t xml:space="preserve">the </w:t>
      </w:r>
      <w:r w:rsidR="00E81C5B" w:rsidRPr="00EE1A30">
        <w:t>level of confidence and precision, etc.</w:t>
      </w:r>
    </w:p>
    <w:p w14:paraId="168A9AA7" w14:textId="77777777" w:rsidR="00056BA1" w:rsidRPr="00EE1A30" w:rsidRDefault="00056BA1" w:rsidP="000840F3">
      <w:pPr>
        <w:jc w:val="both"/>
        <w:rPr>
          <w:i/>
        </w:rPr>
      </w:pPr>
      <w:r w:rsidRPr="00EE1A30">
        <w:rPr>
          <w:i/>
        </w:rPr>
        <w:t>Surface Waters</w:t>
      </w:r>
    </w:p>
    <w:p w14:paraId="5E5BBB94" w14:textId="77777777" w:rsidR="00173807" w:rsidRPr="00EE1A30" w:rsidRDefault="00173807" w:rsidP="000840F3">
      <w:pPr>
        <w:numPr>
          <w:ilvl w:val="0"/>
          <w:numId w:val="30"/>
        </w:numPr>
        <w:jc w:val="both"/>
      </w:pPr>
      <w:r w:rsidRPr="00EE1A30">
        <w:t xml:space="preserve">Which of the requirements and objectives </w:t>
      </w:r>
      <w:r w:rsidR="00FA6076" w:rsidRPr="00EE1A30">
        <w:t xml:space="preserve">laid down </w:t>
      </w:r>
      <w:r w:rsidRPr="00EE1A30">
        <w:t xml:space="preserve">in Annex V 1.3.1 of the WFD are incorporated into the design of the surveillance monitoring programme for surface waters? </w:t>
      </w:r>
      <w:r w:rsidR="00FA6076" w:rsidRPr="00EE1A30">
        <w:t>To provide information for:</w:t>
      </w:r>
    </w:p>
    <w:p w14:paraId="0037FE7A" w14:textId="77777777" w:rsidR="00173807" w:rsidRPr="00EE1A30" w:rsidRDefault="00173807" w:rsidP="000840F3">
      <w:pPr>
        <w:numPr>
          <w:ilvl w:val="0"/>
          <w:numId w:val="29"/>
        </w:numPr>
        <w:jc w:val="both"/>
      </w:pPr>
      <w:r w:rsidRPr="00EE1A30">
        <w:t>supplementing and validating the impact assessment procedure detailed in Annex II,</w:t>
      </w:r>
    </w:p>
    <w:p w14:paraId="7F2A3C66" w14:textId="77777777" w:rsidR="00173807" w:rsidRPr="00EE1A30" w:rsidRDefault="00173807" w:rsidP="000840F3">
      <w:pPr>
        <w:numPr>
          <w:ilvl w:val="0"/>
          <w:numId w:val="29"/>
        </w:numPr>
        <w:jc w:val="both"/>
      </w:pPr>
      <w:r w:rsidRPr="00EE1A30">
        <w:t>the efficient and effective design of future monitoring programmes,</w:t>
      </w:r>
    </w:p>
    <w:p w14:paraId="125C0A19" w14:textId="77777777" w:rsidR="00173807" w:rsidRPr="00EE1A30" w:rsidRDefault="00173807" w:rsidP="000840F3">
      <w:pPr>
        <w:numPr>
          <w:ilvl w:val="0"/>
          <w:numId w:val="29"/>
        </w:numPr>
        <w:jc w:val="both"/>
      </w:pPr>
      <w:r w:rsidRPr="00EE1A30">
        <w:t>the assessment of long-term changes in natural conditions,</w:t>
      </w:r>
    </w:p>
    <w:p w14:paraId="6FFC184D" w14:textId="77777777" w:rsidR="00173807" w:rsidRPr="00EE1A30" w:rsidRDefault="00173807" w:rsidP="000840F3">
      <w:pPr>
        <w:numPr>
          <w:ilvl w:val="0"/>
          <w:numId w:val="29"/>
        </w:numPr>
        <w:jc w:val="both"/>
      </w:pPr>
      <w:r w:rsidRPr="00EE1A30">
        <w:t>the assessment of long-term changes resulting from widespread anthropogenic activity</w:t>
      </w:r>
      <w:r w:rsidR="00FA6076" w:rsidRPr="00EE1A30">
        <w:t>,</w:t>
      </w:r>
    </w:p>
    <w:p w14:paraId="353D3D28" w14:textId="77777777" w:rsidR="00173807" w:rsidRPr="00EE1A30" w:rsidRDefault="00173807" w:rsidP="000840F3">
      <w:pPr>
        <w:numPr>
          <w:ilvl w:val="0"/>
          <w:numId w:val="29"/>
        </w:numPr>
        <w:jc w:val="both"/>
      </w:pPr>
      <w:r w:rsidRPr="00EE1A30">
        <w:t>an assessment of the overall surface water status within each catchment or sub</w:t>
      </w:r>
      <w:r w:rsidR="00FA6076" w:rsidRPr="00EE1A30">
        <w:t>-</w:t>
      </w:r>
      <w:r w:rsidRPr="00EE1A30">
        <w:t xml:space="preserve">catchments within the </w:t>
      </w:r>
      <w:r w:rsidR="00FA6076" w:rsidRPr="00EE1A30">
        <w:t>RBD.</w:t>
      </w:r>
    </w:p>
    <w:p w14:paraId="095FF2B0" w14:textId="77777777" w:rsidR="00A44213" w:rsidRPr="00EE1A30" w:rsidRDefault="00A44213" w:rsidP="000840F3">
      <w:pPr>
        <w:numPr>
          <w:ilvl w:val="0"/>
          <w:numId w:val="30"/>
        </w:numPr>
        <w:jc w:val="both"/>
      </w:pPr>
      <w:r w:rsidRPr="00EE1A30">
        <w:t xml:space="preserve">Surveillance monitoring requires that parameters indicative of all </w:t>
      </w:r>
      <w:r w:rsidR="00FA6076" w:rsidRPr="00EE1A30">
        <w:t>BQEs</w:t>
      </w:r>
      <w:r w:rsidRPr="00EE1A30">
        <w:t xml:space="preserve">, all hydromorphological </w:t>
      </w:r>
      <w:r w:rsidR="00FA6076" w:rsidRPr="00EE1A30">
        <w:t>QEs</w:t>
      </w:r>
      <w:r w:rsidRPr="00EE1A30">
        <w:t xml:space="preserve">, all general physicochemical </w:t>
      </w:r>
      <w:r w:rsidR="00FA6076" w:rsidRPr="00EE1A30">
        <w:t>QEs</w:t>
      </w:r>
      <w:r w:rsidRPr="00EE1A30">
        <w:t>, and (conditionally) priority list pollutants which are discharged into the river basin or sub-basin, and (conditionally) other pollutants discharged in significant quantities in the river basin or sub-basin</w:t>
      </w:r>
      <w:r w:rsidR="00AE5B76" w:rsidRPr="00EE1A30">
        <w:t>,</w:t>
      </w:r>
      <w:r w:rsidRPr="00EE1A30">
        <w:t xml:space="preserve"> are monitored.</w:t>
      </w:r>
      <w:r w:rsidR="00A83E72" w:rsidRPr="00EE1A30">
        <w:t xml:space="preserve"> </w:t>
      </w:r>
      <w:r w:rsidRPr="00EE1A30">
        <w:t xml:space="preserve">How have water bodies and </w:t>
      </w:r>
      <w:r w:rsidR="00AE5B76" w:rsidRPr="00EE1A30">
        <w:t>QEs</w:t>
      </w:r>
      <w:r w:rsidRPr="00EE1A30">
        <w:t xml:space="preserve"> been selected for surveillance monitoring (e.g. in relation to all potential pressures, on the basis of emissions inventories)? </w:t>
      </w:r>
    </w:p>
    <w:p w14:paraId="40EE0488" w14:textId="77777777" w:rsidR="00A44213" w:rsidRPr="00EE1A30" w:rsidRDefault="008A1D25" w:rsidP="000840F3">
      <w:pPr>
        <w:numPr>
          <w:ilvl w:val="0"/>
          <w:numId w:val="30"/>
        </w:numPr>
        <w:jc w:val="both"/>
      </w:pPr>
      <w:r w:rsidRPr="00EE1A30">
        <w:t xml:space="preserve">The </w:t>
      </w:r>
      <w:r w:rsidR="00A44213" w:rsidRPr="00EE1A30">
        <w:t xml:space="preserve">reasons for the exclusion of any </w:t>
      </w:r>
      <w:r w:rsidR="00A83E72" w:rsidRPr="00EE1A30">
        <w:t xml:space="preserve">QEs </w:t>
      </w:r>
      <w:r w:rsidR="00A44213" w:rsidRPr="00EE1A30">
        <w:t>that are not monitored in water bodies included in surveillance monitoring (e.g. lack of suitable method, practical considerations, scientific justification).</w:t>
      </w:r>
    </w:p>
    <w:p w14:paraId="0630B0E6" w14:textId="77777777" w:rsidR="00A83E72" w:rsidRPr="00EE1A30" w:rsidRDefault="00A44213" w:rsidP="000840F3">
      <w:pPr>
        <w:numPr>
          <w:ilvl w:val="0"/>
          <w:numId w:val="30"/>
        </w:numPr>
        <w:jc w:val="both"/>
      </w:pPr>
      <w:r w:rsidRPr="00EE1A30">
        <w:t>The operational monitoring programme should respond to the significant pressures identified in the pressures and impacts analysis required under Article 5</w:t>
      </w:r>
      <w:r w:rsidR="00AE5B76" w:rsidRPr="00EE1A30">
        <w:t xml:space="preserve"> of the WFD</w:t>
      </w:r>
      <w:r w:rsidRPr="00EE1A30">
        <w:t xml:space="preserve">. Which </w:t>
      </w:r>
      <w:r w:rsidR="00AE5B76" w:rsidRPr="00EE1A30">
        <w:t>BQEs</w:t>
      </w:r>
      <w:r w:rsidRPr="00EE1A30">
        <w:t xml:space="preserve"> are selected in the operational monitoring programme to respond to different pressures</w:t>
      </w:r>
      <w:r w:rsidR="00AE5B76" w:rsidRPr="00EE1A30">
        <w:t xml:space="preserve"> and </w:t>
      </w:r>
      <w:r w:rsidRPr="00EE1A30">
        <w:t>impacts?</w:t>
      </w:r>
      <w:r w:rsidR="00A83E72" w:rsidRPr="00EE1A30">
        <w:t xml:space="preserve"> Please present a table </w:t>
      </w:r>
      <w:r w:rsidR="00392EA8">
        <w:t>similar to</w:t>
      </w:r>
      <w:r w:rsidR="00392EA8" w:rsidRPr="00EE1A30">
        <w:t xml:space="preserve"> </w:t>
      </w:r>
      <w:r w:rsidR="00A83E72" w:rsidRPr="00EE1A30">
        <w:t>the following:</w:t>
      </w:r>
    </w:p>
    <w:p w14:paraId="14FF12B7" w14:textId="77777777" w:rsidR="00A83E72" w:rsidRPr="00EE1A30" w:rsidRDefault="00A83E72" w:rsidP="000840F3">
      <w:pPr>
        <w:jc w:val="both"/>
      </w:pPr>
      <w:r w:rsidRPr="00EE1A30">
        <w:rPr>
          <w:i/>
        </w:rPr>
        <w:t>Biological Quality Elements used in operational monitoring (indicate in each cell the relevant BQEs from the enumeration list</w:t>
      </w:r>
      <w:r w:rsidR="0071478C">
        <w:rPr>
          <w:i/>
        </w:rPr>
        <w:t xml:space="preserve"> in Annex 8h</w:t>
      </w:r>
      <w:r w:rsidRPr="00EE1A30">
        <w:rPr>
          <w:i/>
        </w:rPr>
        <w:t>)</w:t>
      </w:r>
      <w:r w:rsidRPr="00EE1A30">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5"/>
        <w:gridCol w:w="1593"/>
        <w:gridCol w:w="1593"/>
        <w:gridCol w:w="1593"/>
        <w:gridCol w:w="1593"/>
      </w:tblGrid>
      <w:tr w:rsidR="00A83E72" w:rsidRPr="00EE1A30" w14:paraId="0BDBDAE3" w14:textId="77777777" w:rsidTr="00BD6567">
        <w:trPr>
          <w:tblCellSpacing w:w="0" w:type="dxa"/>
        </w:trPr>
        <w:tc>
          <w:tcPr>
            <w:tcW w:w="3275" w:type="dxa"/>
            <w:shd w:val="clear" w:color="auto" w:fill="BFBFBF"/>
          </w:tcPr>
          <w:p w14:paraId="187DC1F0" w14:textId="77777777" w:rsidR="00A83E72" w:rsidRPr="00EE1A30" w:rsidRDefault="00A83E72" w:rsidP="000840F3">
            <w:pPr>
              <w:spacing w:after="100" w:afterAutospacing="1"/>
              <w:jc w:val="both"/>
              <w:rPr>
                <w:szCs w:val="24"/>
                <w:lang w:eastAsia="en-GB"/>
              </w:rPr>
            </w:pPr>
            <w:r w:rsidRPr="00EE1A30">
              <w:rPr>
                <w:bCs/>
                <w:szCs w:val="24"/>
                <w:lang w:eastAsia="en-GB"/>
              </w:rPr>
              <w:t>Impact</w:t>
            </w:r>
          </w:p>
        </w:tc>
        <w:tc>
          <w:tcPr>
            <w:tcW w:w="1593" w:type="dxa"/>
            <w:shd w:val="clear" w:color="auto" w:fill="BFBFBF"/>
          </w:tcPr>
          <w:p w14:paraId="2B85C44B" w14:textId="77777777" w:rsidR="00A83E72" w:rsidRPr="00EE1A30" w:rsidRDefault="00A83E72" w:rsidP="000840F3">
            <w:pPr>
              <w:spacing w:after="100" w:afterAutospacing="1"/>
              <w:jc w:val="both"/>
              <w:rPr>
                <w:szCs w:val="24"/>
                <w:lang w:eastAsia="en-GB"/>
              </w:rPr>
            </w:pPr>
            <w:r w:rsidRPr="00EE1A30">
              <w:rPr>
                <w:bCs/>
                <w:szCs w:val="24"/>
                <w:lang w:eastAsia="en-GB"/>
              </w:rPr>
              <w:t>Rivers</w:t>
            </w:r>
          </w:p>
        </w:tc>
        <w:tc>
          <w:tcPr>
            <w:tcW w:w="1593" w:type="dxa"/>
            <w:shd w:val="clear" w:color="auto" w:fill="BFBFBF"/>
          </w:tcPr>
          <w:p w14:paraId="45C83C40" w14:textId="77777777" w:rsidR="00A83E72" w:rsidRPr="00EE1A30" w:rsidRDefault="00A83E72" w:rsidP="000840F3">
            <w:pPr>
              <w:spacing w:after="100" w:afterAutospacing="1"/>
              <w:jc w:val="both"/>
              <w:rPr>
                <w:szCs w:val="24"/>
                <w:lang w:eastAsia="en-GB"/>
              </w:rPr>
            </w:pPr>
            <w:r w:rsidRPr="00EE1A30">
              <w:rPr>
                <w:bCs/>
                <w:szCs w:val="24"/>
                <w:lang w:eastAsia="en-GB"/>
              </w:rPr>
              <w:t>Lakes</w:t>
            </w:r>
          </w:p>
        </w:tc>
        <w:tc>
          <w:tcPr>
            <w:tcW w:w="1593" w:type="dxa"/>
            <w:shd w:val="clear" w:color="auto" w:fill="BFBFBF"/>
          </w:tcPr>
          <w:p w14:paraId="2DBC3646" w14:textId="77777777" w:rsidR="00A83E72" w:rsidRPr="00EE1A30" w:rsidRDefault="00A83E72" w:rsidP="000840F3">
            <w:pPr>
              <w:spacing w:after="100" w:afterAutospacing="1"/>
              <w:jc w:val="both"/>
              <w:rPr>
                <w:szCs w:val="24"/>
                <w:lang w:eastAsia="en-GB"/>
              </w:rPr>
            </w:pPr>
            <w:r w:rsidRPr="00EE1A30">
              <w:rPr>
                <w:bCs/>
                <w:szCs w:val="24"/>
                <w:lang w:eastAsia="en-GB"/>
              </w:rPr>
              <w:t>Transitional waters</w:t>
            </w:r>
          </w:p>
        </w:tc>
        <w:tc>
          <w:tcPr>
            <w:tcW w:w="1593" w:type="dxa"/>
            <w:shd w:val="clear" w:color="auto" w:fill="BFBFBF"/>
          </w:tcPr>
          <w:p w14:paraId="287AD8CC" w14:textId="77777777" w:rsidR="00A83E72" w:rsidRPr="00EE1A30" w:rsidRDefault="00A83E72" w:rsidP="000840F3">
            <w:pPr>
              <w:spacing w:after="100" w:afterAutospacing="1"/>
              <w:jc w:val="both"/>
              <w:rPr>
                <w:szCs w:val="24"/>
                <w:lang w:eastAsia="en-GB"/>
              </w:rPr>
            </w:pPr>
            <w:r w:rsidRPr="00EE1A30">
              <w:rPr>
                <w:bCs/>
                <w:szCs w:val="24"/>
                <w:lang w:eastAsia="en-GB"/>
              </w:rPr>
              <w:t>Coastal waters</w:t>
            </w:r>
          </w:p>
        </w:tc>
      </w:tr>
      <w:tr w:rsidR="00A83E72" w:rsidRPr="00EE1A30" w14:paraId="61F1E849" w14:textId="77777777" w:rsidTr="00BD6567">
        <w:trPr>
          <w:tblCellSpacing w:w="0" w:type="dxa"/>
        </w:trPr>
        <w:tc>
          <w:tcPr>
            <w:tcW w:w="3275" w:type="dxa"/>
          </w:tcPr>
          <w:p w14:paraId="0C68E29A" w14:textId="77777777" w:rsidR="00A83E72" w:rsidRPr="00EE1A30" w:rsidRDefault="00A83E72" w:rsidP="000840F3">
            <w:pPr>
              <w:spacing w:after="100" w:afterAutospacing="1"/>
              <w:jc w:val="both"/>
              <w:rPr>
                <w:szCs w:val="24"/>
                <w:lang w:eastAsia="en-GB"/>
              </w:rPr>
            </w:pPr>
            <w:r w:rsidRPr="00EE1A30">
              <w:rPr>
                <w:szCs w:val="24"/>
                <w:lang w:eastAsia="en-GB"/>
              </w:rPr>
              <w:t xml:space="preserve">Nutrient </w:t>
            </w:r>
            <w:r w:rsidR="0076591B" w:rsidRPr="00EE1A30">
              <w:rPr>
                <w:szCs w:val="24"/>
                <w:lang w:eastAsia="en-GB"/>
              </w:rPr>
              <w:t xml:space="preserve">pollution </w:t>
            </w:r>
          </w:p>
        </w:tc>
        <w:tc>
          <w:tcPr>
            <w:tcW w:w="1593" w:type="dxa"/>
          </w:tcPr>
          <w:p w14:paraId="2EC9E0E6" w14:textId="77777777" w:rsidR="00A83E72" w:rsidRPr="00EE1A30" w:rsidRDefault="00A83E72" w:rsidP="000840F3">
            <w:pPr>
              <w:spacing w:after="100" w:afterAutospacing="1"/>
              <w:jc w:val="both"/>
              <w:rPr>
                <w:szCs w:val="24"/>
                <w:lang w:eastAsia="en-GB"/>
              </w:rPr>
            </w:pPr>
          </w:p>
        </w:tc>
        <w:tc>
          <w:tcPr>
            <w:tcW w:w="1593" w:type="dxa"/>
          </w:tcPr>
          <w:p w14:paraId="11C59ED1" w14:textId="77777777" w:rsidR="00A83E72" w:rsidRPr="00EE1A30" w:rsidRDefault="00A83E72" w:rsidP="000840F3">
            <w:pPr>
              <w:spacing w:after="100" w:afterAutospacing="1"/>
              <w:jc w:val="both"/>
              <w:rPr>
                <w:szCs w:val="24"/>
                <w:lang w:eastAsia="en-GB"/>
              </w:rPr>
            </w:pPr>
          </w:p>
        </w:tc>
        <w:tc>
          <w:tcPr>
            <w:tcW w:w="1593" w:type="dxa"/>
          </w:tcPr>
          <w:p w14:paraId="656A616F" w14:textId="77777777" w:rsidR="00A83E72" w:rsidRPr="00EE1A30" w:rsidRDefault="00A83E72" w:rsidP="000840F3">
            <w:pPr>
              <w:spacing w:after="100" w:afterAutospacing="1"/>
              <w:jc w:val="both"/>
              <w:rPr>
                <w:szCs w:val="24"/>
                <w:lang w:eastAsia="en-GB"/>
              </w:rPr>
            </w:pPr>
          </w:p>
        </w:tc>
        <w:tc>
          <w:tcPr>
            <w:tcW w:w="1593" w:type="dxa"/>
          </w:tcPr>
          <w:p w14:paraId="3D28D14A" w14:textId="77777777" w:rsidR="00A83E72" w:rsidRPr="00EE1A30" w:rsidRDefault="00A83E72" w:rsidP="000840F3">
            <w:pPr>
              <w:spacing w:after="100" w:afterAutospacing="1"/>
              <w:jc w:val="both"/>
              <w:rPr>
                <w:szCs w:val="24"/>
                <w:lang w:eastAsia="en-GB"/>
              </w:rPr>
            </w:pPr>
          </w:p>
        </w:tc>
      </w:tr>
      <w:tr w:rsidR="00A83E72" w:rsidRPr="00EE1A30" w14:paraId="2822D52B" w14:textId="77777777" w:rsidTr="00BD6567">
        <w:trPr>
          <w:tblCellSpacing w:w="0" w:type="dxa"/>
        </w:trPr>
        <w:tc>
          <w:tcPr>
            <w:tcW w:w="3275" w:type="dxa"/>
          </w:tcPr>
          <w:p w14:paraId="186921A6" w14:textId="77777777" w:rsidR="006C2522" w:rsidRDefault="00A83E72" w:rsidP="000840F3">
            <w:pPr>
              <w:spacing w:after="100" w:afterAutospacing="1"/>
              <w:jc w:val="both"/>
              <w:rPr>
                <w:szCs w:val="24"/>
                <w:lang w:eastAsia="en-GB"/>
              </w:rPr>
            </w:pPr>
            <w:r w:rsidRPr="00EE1A30">
              <w:rPr>
                <w:szCs w:val="24"/>
                <w:lang w:eastAsia="en-GB"/>
              </w:rPr>
              <w:t xml:space="preserve">Organic </w:t>
            </w:r>
            <w:r w:rsidR="0076591B" w:rsidRPr="00EE1A30">
              <w:rPr>
                <w:szCs w:val="24"/>
                <w:lang w:eastAsia="en-GB"/>
              </w:rPr>
              <w:t>pollution</w:t>
            </w:r>
          </w:p>
        </w:tc>
        <w:tc>
          <w:tcPr>
            <w:tcW w:w="1593" w:type="dxa"/>
          </w:tcPr>
          <w:p w14:paraId="143C8AB7" w14:textId="77777777" w:rsidR="00A83E72" w:rsidRPr="00EE1A30" w:rsidRDefault="00A83E72" w:rsidP="000840F3">
            <w:pPr>
              <w:spacing w:after="100" w:afterAutospacing="1"/>
              <w:jc w:val="both"/>
              <w:rPr>
                <w:szCs w:val="24"/>
                <w:lang w:eastAsia="en-GB"/>
              </w:rPr>
            </w:pPr>
          </w:p>
        </w:tc>
        <w:tc>
          <w:tcPr>
            <w:tcW w:w="1593" w:type="dxa"/>
          </w:tcPr>
          <w:p w14:paraId="71A244CD" w14:textId="77777777" w:rsidR="00A83E72" w:rsidRPr="00EE1A30" w:rsidRDefault="00A83E72" w:rsidP="000840F3">
            <w:pPr>
              <w:spacing w:after="100" w:afterAutospacing="1"/>
              <w:jc w:val="both"/>
              <w:rPr>
                <w:szCs w:val="24"/>
                <w:lang w:eastAsia="en-GB"/>
              </w:rPr>
            </w:pPr>
          </w:p>
        </w:tc>
        <w:tc>
          <w:tcPr>
            <w:tcW w:w="1593" w:type="dxa"/>
          </w:tcPr>
          <w:p w14:paraId="793660C2" w14:textId="77777777" w:rsidR="00A83E72" w:rsidRPr="00EE1A30" w:rsidRDefault="00A83E72" w:rsidP="000840F3">
            <w:pPr>
              <w:spacing w:after="100" w:afterAutospacing="1"/>
              <w:jc w:val="both"/>
              <w:rPr>
                <w:szCs w:val="24"/>
                <w:lang w:eastAsia="en-GB"/>
              </w:rPr>
            </w:pPr>
          </w:p>
        </w:tc>
        <w:tc>
          <w:tcPr>
            <w:tcW w:w="1593" w:type="dxa"/>
          </w:tcPr>
          <w:p w14:paraId="362AEF15" w14:textId="77777777" w:rsidR="00A83E72" w:rsidRPr="00EE1A30" w:rsidRDefault="00A83E72" w:rsidP="000840F3">
            <w:pPr>
              <w:spacing w:after="100" w:afterAutospacing="1"/>
              <w:jc w:val="both"/>
              <w:rPr>
                <w:szCs w:val="24"/>
                <w:lang w:eastAsia="en-GB"/>
              </w:rPr>
            </w:pPr>
          </w:p>
        </w:tc>
      </w:tr>
      <w:tr w:rsidR="00A83E72" w:rsidRPr="00EE1A30" w14:paraId="297E1B87" w14:textId="77777777" w:rsidTr="00BD6567">
        <w:trPr>
          <w:tblCellSpacing w:w="0" w:type="dxa"/>
        </w:trPr>
        <w:tc>
          <w:tcPr>
            <w:tcW w:w="3275" w:type="dxa"/>
          </w:tcPr>
          <w:p w14:paraId="5B58929C" w14:textId="77777777" w:rsidR="006C2522" w:rsidRDefault="00A83E72" w:rsidP="000840F3">
            <w:pPr>
              <w:spacing w:after="100" w:afterAutospacing="1"/>
              <w:jc w:val="both"/>
              <w:rPr>
                <w:szCs w:val="24"/>
                <w:lang w:eastAsia="en-GB"/>
              </w:rPr>
            </w:pPr>
            <w:r w:rsidRPr="00EE1A30">
              <w:rPr>
                <w:szCs w:val="24"/>
                <w:lang w:eastAsia="en-GB"/>
              </w:rPr>
              <w:t xml:space="preserve">Chemical contamination of water </w:t>
            </w:r>
          </w:p>
        </w:tc>
        <w:tc>
          <w:tcPr>
            <w:tcW w:w="1593" w:type="dxa"/>
          </w:tcPr>
          <w:p w14:paraId="6FFD4927" w14:textId="77777777" w:rsidR="00A83E72" w:rsidRPr="00EE1A30" w:rsidRDefault="00A83E72" w:rsidP="000840F3">
            <w:pPr>
              <w:spacing w:after="100" w:afterAutospacing="1"/>
              <w:jc w:val="both"/>
              <w:rPr>
                <w:szCs w:val="24"/>
                <w:lang w:eastAsia="en-GB"/>
              </w:rPr>
            </w:pPr>
          </w:p>
        </w:tc>
        <w:tc>
          <w:tcPr>
            <w:tcW w:w="1593" w:type="dxa"/>
          </w:tcPr>
          <w:p w14:paraId="62EC5F3E" w14:textId="77777777" w:rsidR="00A83E72" w:rsidRPr="00EE1A30" w:rsidRDefault="00A83E72" w:rsidP="000840F3">
            <w:pPr>
              <w:spacing w:after="100" w:afterAutospacing="1"/>
              <w:jc w:val="both"/>
              <w:rPr>
                <w:szCs w:val="24"/>
                <w:lang w:eastAsia="en-GB"/>
              </w:rPr>
            </w:pPr>
          </w:p>
        </w:tc>
        <w:tc>
          <w:tcPr>
            <w:tcW w:w="1593" w:type="dxa"/>
          </w:tcPr>
          <w:p w14:paraId="210EB3F4" w14:textId="77777777" w:rsidR="00A83E72" w:rsidRPr="00EE1A30" w:rsidRDefault="00A83E72" w:rsidP="000840F3">
            <w:pPr>
              <w:spacing w:after="100" w:afterAutospacing="1"/>
              <w:jc w:val="both"/>
              <w:rPr>
                <w:szCs w:val="24"/>
                <w:lang w:eastAsia="en-GB"/>
              </w:rPr>
            </w:pPr>
          </w:p>
        </w:tc>
        <w:tc>
          <w:tcPr>
            <w:tcW w:w="1593" w:type="dxa"/>
          </w:tcPr>
          <w:p w14:paraId="4C1A56BB" w14:textId="77777777" w:rsidR="00A83E72" w:rsidRPr="00EE1A30" w:rsidRDefault="00A83E72" w:rsidP="000840F3">
            <w:pPr>
              <w:spacing w:after="100" w:afterAutospacing="1"/>
              <w:jc w:val="both"/>
              <w:rPr>
                <w:szCs w:val="24"/>
                <w:lang w:eastAsia="en-GB"/>
              </w:rPr>
            </w:pPr>
          </w:p>
        </w:tc>
      </w:tr>
      <w:tr w:rsidR="00A83E72" w:rsidRPr="00EE1A30" w14:paraId="04C44BF4" w14:textId="77777777" w:rsidTr="00BD6567">
        <w:trPr>
          <w:tblCellSpacing w:w="0" w:type="dxa"/>
        </w:trPr>
        <w:tc>
          <w:tcPr>
            <w:tcW w:w="3275" w:type="dxa"/>
          </w:tcPr>
          <w:p w14:paraId="65F2CA7B" w14:textId="77777777" w:rsidR="006C2522" w:rsidRDefault="00A83E72" w:rsidP="000840F3">
            <w:pPr>
              <w:spacing w:after="100" w:afterAutospacing="1"/>
              <w:jc w:val="both"/>
              <w:rPr>
                <w:szCs w:val="24"/>
                <w:lang w:eastAsia="en-GB"/>
              </w:rPr>
            </w:pPr>
            <w:r w:rsidRPr="00EE1A30">
              <w:rPr>
                <w:szCs w:val="24"/>
                <w:lang w:eastAsia="en-GB"/>
              </w:rPr>
              <w:t>Chemical contamination of sediment</w:t>
            </w:r>
          </w:p>
        </w:tc>
        <w:tc>
          <w:tcPr>
            <w:tcW w:w="1593" w:type="dxa"/>
          </w:tcPr>
          <w:p w14:paraId="2E4EB29E" w14:textId="77777777" w:rsidR="00A83E72" w:rsidRPr="00EE1A30" w:rsidRDefault="00A83E72" w:rsidP="000840F3">
            <w:pPr>
              <w:spacing w:after="100" w:afterAutospacing="1"/>
              <w:jc w:val="both"/>
              <w:rPr>
                <w:szCs w:val="24"/>
                <w:lang w:eastAsia="en-GB"/>
              </w:rPr>
            </w:pPr>
          </w:p>
        </w:tc>
        <w:tc>
          <w:tcPr>
            <w:tcW w:w="1593" w:type="dxa"/>
          </w:tcPr>
          <w:p w14:paraId="1C271A63" w14:textId="77777777" w:rsidR="00A83E72" w:rsidRPr="00EE1A30" w:rsidRDefault="00A83E72" w:rsidP="000840F3">
            <w:pPr>
              <w:spacing w:after="100" w:afterAutospacing="1"/>
              <w:jc w:val="both"/>
              <w:rPr>
                <w:szCs w:val="24"/>
                <w:lang w:eastAsia="en-GB"/>
              </w:rPr>
            </w:pPr>
          </w:p>
        </w:tc>
        <w:tc>
          <w:tcPr>
            <w:tcW w:w="1593" w:type="dxa"/>
          </w:tcPr>
          <w:p w14:paraId="232C0A47" w14:textId="77777777" w:rsidR="00A83E72" w:rsidRPr="00EE1A30" w:rsidRDefault="00A83E72" w:rsidP="000840F3">
            <w:pPr>
              <w:spacing w:after="100" w:afterAutospacing="1"/>
              <w:jc w:val="both"/>
              <w:rPr>
                <w:szCs w:val="24"/>
                <w:lang w:eastAsia="en-GB"/>
              </w:rPr>
            </w:pPr>
          </w:p>
        </w:tc>
        <w:tc>
          <w:tcPr>
            <w:tcW w:w="1593" w:type="dxa"/>
          </w:tcPr>
          <w:p w14:paraId="6B93161D" w14:textId="77777777" w:rsidR="00A83E72" w:rsidRPr="00EE1A30" w:rsidRDefault="00A83E72" w:rsidP="000840F3">
            <w:pPr>
              <w:spacing w:after="100" w:afterAutospacing="1"/>
              <w:jc w:val="both"/>
              <w:rPr>
                <w:szCs w:val="24"/>
                <w:lang w:eastAsia="en-GB"/>
              </w:rPr>
            </w:pPr>
          </w:p>
        </w:tc>
      </w:tr>
      <w:tr w:rsidR="00970A74" w:rsidRPr="00EE1A30" w14:paraId="62643D5E" w14:textId="77777777" w:rsidTr="00BD6567">
        <w:trPr>
          <w:tblCellSpacing w:w="0" w:type="dxa"/>
        </w:trPr>
        <w:tc>
          <w:tcPr>
            <w:tcW w:w="3275" w:type="dxa"/>
          </w:tcPr>
          <w:p w14:paraId="79A27507" w14:textId="77777777" w:rsidR="006C2522" w:rsidRDefault="00970A74" w:rsidP="000840F3">
            <w:pPr>
              <w:spacing w:after="100" w:afterAutospacing="1"/>
              <w:jc w:val="both"/>
              <w:rPr>
                <w:szCs w:val="24"/>
                <w:lang w:eastAsia="en-GB"/>
              </w:rPr>
            </w:pPr>
            <w:r w:rsidRPr="00EE1A30">
              <w:rPr>
                <w:szCs w:val="24"/>
                <w:lang w:eastAsia="en-GB"/>
              </w:rPr>
              <w:t>Saline pollution</w:t>
            </w:r>
          </w:p>
        </w:tc>
        <w:tc>
          <w:tcPr>
            <w:tcW w:w="1593" w:type="dxa"/>
          </w:tcPr>
          <w:p w14:paraId="68707FE2" w14:textId="77777777" w:rsidR="00970A74" w:rsidRPr="00EE1A30" w:rsidRDefault="00970A74" w:rsidP="000840F3">
            <w:pPr>
              <w:spacing w:after="100" w:afterAutospacing="1"/>
              <w:jc w:val="both"/>
              <w:rPr>
                <w:szCs w:val="24"/>
                <w:lang w:eastAsia="en-GB"/>
              </w:rPr>
            </w:pPr>
          </w:p>
        </w:tc>
        <w:tc>
          <w:tcPr>
            <w:tcW w:w="1593" w:type="dxa"/>
          </w:tcPr>
          <w:p w14:paraId="3EE6E1FC" w14:textId="77777777" w:rsidR="00970A74" w:rsidRPr="00EE1A30" w:rsidRDefault="00970A74" w:rsidP="000840F3">
            <w:pPr>
              <w:spacing w:after="100" w:afterAutospacing="1"/>
              <w:jc w:val="both"/>
              <w:rPr>
                <w:szCs w:val="24"/>
                <w:lang w:eastAsia="en-GB"/>
              </w:rPr>
            </w:pPr>
          </w:p>
        </w:tc>
        <w:tc>
          <w:tcPr>
            <w:tcW w:w="1593" w:type="dxa"/>
          </w:tcPr>
          <w:p w14:paraId="3A785511" w14:textId="77777777" w:rsidR="00970A74" w:rsidRPr="00EE1A30" w:rsidRDefault="00970A74" w:rsidP="000840F3">
            <w:pPr>
              <w:spacing w:after="100" w:afterAutospacing="1"/>
              <w:jc w:val="both"/>
              <w:rPr>
                <w:szCs w:val="24"/>
                <w:lang w:eastAsia="en-GB"/>
              </w:rPr>
            </w:pPr>
          </w:p>
        </w:tc>
        <w:tc>
          <w:tcPr>
            <w:tcW w:w="1593" w:type="dxa"/>
          </w:tcPr>
          <w:p w14:paraId="356442D2" w14:textId="77777777" w:rsidR="00970A74" w:rsidRPr="00EE1A30" w:rsidRDefault="00970A74" w:rsidP="000840F3">
            <w:pPr>
              <w:spacing w:after="100" w:afterAutospacing="1"/>
              <w:jc w:val="both"/>
              <w:rPr>
                <w:szCs w:val="24"/>
                <w:lang w:eastAsia="en-GB"/>
              </w:rPr>
            </w:pPr>
          </w:p>
        </w:tc>
      </w:tr>
      <w:tr w:rsidR="00A83E72" w:rsidRPr="00EE1A30" w14:paraId="67A6690A" w14:textId="77777777" w:rsidTr="00BD6567">
        <w:trPr>
          <w:tblCellSpacing w:w="0" w:type="dxa"/>
        </w:trPr>
        <w:tc>
          <w:tcPr>
            <w:tcW w:w="3275" w:type="dxa"/>
          </w:tcPr>
          <w:p w14:paraId="3A931923" w14:textId="77777777" w:rsidR="006C2522" w:rsidRDefault="00A83E72" w:rsidP="000840F3">
            <w:pPr>
              <w:spacing w:after="100" w:afterAutospacing="1"/>
              <w:jc w:val="both"/>
              <w:rPr>
                <w:szCs w:val="24"/>
                <w:lang w:eastAsia="en-GB"/>
              </w:rPr>
            </w:pPr>
            <w:r w:rsidRPr="00EE1A30">
              <w:rPr>
                <w:szCs w:val="24"/>
                <w:lang w:eastAsia="en-GB"/>
              </w:rPr>
              <w:t>Acidification</w:t>
            </w:r>
          </w:p>
        </w:tc>
        <w:tc>
          <w:tcPr>
            <w:tcW w:w="1593" w:type="dxa"/>
          </w:tcPr>
          <w:p w14:paraId="38383353" w14:textId="77777777" w:rsidR="00A83E72" w:rsidRPr="00EE1A30" w:rsidRDefault="00A83E72" w:rsidP="000840F3">
            <w:pPr>
              <w:spacing w:after="100" w:afterAutospacing="1"/>
              <w:jc w:val="both"/>
              <w:rPr>
                <w:szCs w:val="24"/>
                <w:lang w:eastAsia="en-GB"/>
              </w:rPr>
            </w:pPr>
          </w:p>
        </w:tc>
        <w:tc>
          <w:tcPr>
            <w:tcW w:w="1593" w:type="dxa"/>
          </w:tcPr>
          <w:p w14:paraId="5F15C84C" w14:textId="77777777" w:rsidR="00A83E72" w:rsidRPr="00EE1A30" w:rsidRDefault="00A83E72" w:rsidP="000840F3">
            <w:pPr>
              <w:spacing w:after="100" w:afterAutospacing="1"/>
              <w:jc w:val="both"/>
              <w:rPr>
                <w:szCs w:val="24"/>
                <w:lang w:eastAsia="en-GB"/>
              </w:rPr>
            </w:pPr>
          </w:p>
        </w:tc>
        <w:tc>
          <w:tcPr>
            <w:tcW w:w="1593" w:type="dxa"/>
          </w:tcPr>
          <w:p w14:paraId="61B200F2" w14:textId="77777777" w:rsidR="00A83E72" w:rsidRPr="00EE1A30" w:rsidRDefault="00A83E72" w:rsidP="000840F3">
            <w:pPr>
              <w:spacing w:after="100" w:afterAutospacing="1"/>
              <w:jc w:val="both"/>
              <w:rPr>
                <w:szCs w:val="24"/>
                <w:lang w:eastAsia="en-GB"/>
              </w:rPr>
            </w:pPr>
          </w:p>
        </w:tc>
        <w:tc>
          <w:tcPr>
            <w:tcW w:w="1593" w:type="dxa"/>
          </w:tcPr>
          <w:p w14:paraId="04DB2EFE" w14:textId="77777777" w:rsidR="00A83E72" w:rsidRPr="00EE1A30" w:rsidRDefault="00A83E72" w:rsidP="000840F3">
            <w:pPr>
              <w:spacing w:after="100" w:afterAutospacing="1"/>
              <w:jc w:val="both"/>
              <w:rPr>
                <w:szCs w:val="24"/>
                <w:lang w:eastAsia="en-GB"/>
              </w:rPr>
            </w:pPr>
          </w:p>
        </w:tc>
      </w:tr>
      <w:tr w:rsidR="00A83E72" w:rsidRPr="00EE1A30" w14:paraId="17AD898E" w14:textId="77777777" w:rsidTr="00BD6567">
        <w:trPr>
          <w:tblCellSpacing w:w="0" w:type="dxa"/>
        </w:trPr>
        <w:tc>
          <w:tcPr>
            <w:tcW w:w="3275" w:type="dxa"/>
          </w:tcPr>
          <w:p w14:paraId="76188942" w14:textId="77777777" w:rsidR="006C2522" w:rsidRDefault="00A83E72" w:rsidP="000840F3">
            <w:pPr>
              <w:spacing w:after="100" w:afterAutospacing="1"/>
              <w:jc w:val="both"/>
              <w:rPr>
                <w:szCs w:val="24"/>
                <w:lang w:eastAsia="en-GB"/>
              </w:rPr>
            </w:pPr>
            <w:r w:rsidRPr="00EE1A30">
              <w:rPr>
                <w:szCs w:val="24"/>
                <w:lang w:eastAsia="en-GB"/>
              </w:rPr>
              <w:lastRenderedPageBreak/>
              <w:t>Elevated temperatures</w:t>
            </w:r>
          </w:p>
        </w:tc>
        <w:tc>
          <w:tcPr>
            <w:tcW w:w="1593" w:type="dxa"/>
          </w:tcPr>
          <w:p w14:paraId="2656A702" w14:textId="77777777" w:rsidR="00A83E72" w:rsidRPr="00EE1A30" w:rsidRDefault="00A83E72" w:rsidP="000840F3">
            <w:pPr>
              <w:spacing w:after="100" w:afterAutospacing="1"/>
              <w:jc w:val="both"/>
              <w:rPr>
                <w:szCs w:val="24"/>
                <w:lang w:eastAsia="en-GB"/>
              </w:rPr>
            </w:pPr>
          </w:p>
        </w:tc>
        <w:tc>
          <w:tcPr>
            <w:tcW w:w="1593" w:type="dxa"/>
          </w:tcPr>
          <w:p w14:paraId="6551BF22" w14:textId="77777777" w:rsidR="00A83E72" w:rsidRPr="00EE1A30" w:rsidRDefault="00A83E72" w:rsidP="000840F3">
            <w:pPr>
              <w:spacing w:after="100" w:afterAutospacing="1"/>
              <w:jc w:val="both"/>
              <w:rPr>
                <w:szCs w:val="24"/>
                <w:lang w:eastAsia="en-GB"/>
              </w:rPr>
            </w:pPr>
          </w:p>
        </w:tc>
        <w:tc>
          <w:tcPr>
            <w:tcW w:w="1593" w:type="dxa"/>
          </w:tcPr>
          <w:p w14:paraId="0C1E592A" w14:textId="77777777" w:rsidR="00A83E72" w:rsidRPr="00EE1A30" w:rsidRDefault="00A83E72" w:rsidP="000840F3">
            <w:pPr>
              <w:spacing w:after="100" w:afterAutospacing="1"/>
              <w:jc w:val="both"/>
              <w:rPr>
                <w:szCs w:val="24"/>
                <w:lang w:eastAsia="en-GB"/>
              </w:rPr>
            </w:pPr>
          </w:p>
        </w:tc>
        <w:tc>
          <w:tcPr>
            <w:tcW w:w="1593" w:type="dxa"/>
          </w:tcPr>
          <w:p w14:paraId="034F639F" w14:textId="77777777" w:rsidR="00A83E72" w:rsidRPr="00EE1A30" w:rsidRDefault="00A83E72" w:rsidP="000840F3">
            <w:pPr>
              <w:spacing w:after="100" w:afterAutospacing="1"/>
              <w:jc w:val="both"/>
              <w:rPr>
                <w:szCs w:val="24"/>
                <w:lang w:eastAsia="en-GB"/>
              </w:rPr>
            </w:pPr>
          </w:p>
        </w:tc>
      </w:tr>
      <w:tr w:rsidR="00A83E72" w:rsidRPr="00EE1A30" w14:paraId="21B943E7" w14:textId="77777777" w:rsidTr="00BD6567">
        <w:trPr>
          <w:tblCellSpacing w:w="0" w:type="dxa"/>
        </w:trPr>
        <w:tc>
          <w:tcPr>
            <w:tcW w:w="3275" w:type="dxa"/>
          </w:tcPr>
          <w:p w14:paraId="7782C84E" w14:textId="77777777" w:rsidR="006C2522" w:rsidRDefault="00A83E72" w:rsidP="000840F3">
            <w:pPr>
              <w:spacing w:after="100" w:afterAutospacing="1"/>
              <w:jc w:val="both"/>
              <w:rPr>
                <w:szCs w:val="24"/>
                <w:lang w:eastAsia="en-GB"/>
              </w:rPr>
            </w:pPr>
            <w:r w:rsidRPr="00EE1A30">
              <w:rPr>
                <w:szCs w:val="24"/>
                <w:lang w:eastAsia="en-GB"/>
              </w:rPr>
              <w:t xml:space="preserve">Altered habitats as a result of </w:t>
            </w:r>
            <w:r w:rsidR="00970A74" w:rsidRPr="00EE1A30">
              <w:rPr>
                <w:szCs w:val="24"/>
                <w:lang w:eastAsia="en-GB"/>
              </w:rPr>
              <w:t xml:space="preserve">hydrological and morphololgical </w:t>
            </w:r>
            <w:r w:rsidRPr="00EE1A30">
              <w:rPr>
                <w:szCs w:val="24"/>
                <w:lang w:eastAsia="en-GB"/>
              </w:rPr>
              <w:t>alterations</w:t>
            </w:r>
          </w:p>
        </w:tc>
        <w:tc>
          <w:tcPr>
            <w:tcW w:w="1593" w:type="dxa"/>
          </w:tcPr>
          <w:p w14:paraId="6F4B4042" w14:textId="77777777" w:rsidR="00A83E72" w:rsidRPr="00EE1A30" w:rsidRDefault="00A83E72" w:rsidP="000840F3">
            <w:pPr>
              <w:spacing w:after="100" w:afterAutospacing="1"/>
              <w:jc w:val="both"/>
              <w:rPr>
                <w:szCs w:val="24"/>
                <w:lang w:eastAsia="en-GB"/>
              </w:rPr>
            </w:pPr>
          </w:p>
        </w:tc>
        <w:tc>
          <w:tcPr>
            <w:tcW w:w="1593" w:type="dxa"/>
          </w:tcPr>
          <w:p w14:paraId="34ED21C8" w14:textId="77777777" w:rsidR="00A83E72" w:rsidRPr="00EE1A30" w:rsidRDefault="00A83E72" w:rsidP="000840F3">
            <w:pPr>
              <w:spacing w:after="100" w:afterAutospacing="1"/>
              <w:jc w:val="both"/>
              <w:rPr>
                <w:szCs w:val="24"/>
                <w:lang w:eastAsia="en-GB"/>
              </w:rPr>
            </w:pPr>
          </w:p>
        </w:tc>
        <w:tc>
          <w:tcPr>
            <w:tcW w:w="1593" w:type="dxa"/>
          </w:tcPr>
          <w:p w14:paraId="0835CE9A" w14:textId="77777777" w:rsidR="00A83E72" w:rsidRPr="00EE1A30" w:rsidRDefault="00A83E72" w:rsidP="000840F3">
            <w:pPr>
              <w:spacing w:after="100" w:afterAutospacing="1"/>
              <w:jc w:val="both"/>
              <w:rPr>
                <w:szCs w:val="24"/>
                <w:lang w:eastAsia="en-GB"/>
              </w:rPr>
            </w:pPr>
          </w:p>
        </w:tc>
        <w:tc>
          <w:tcPr>
            <w:tcW w:w="1593" w:type="dxa"/>
          </w:tcPr>
          <w:p w14:paraId="13438E5D" w14:textId="77777777" w:rsidR="00A83E72" w:rsidRPr="00EE1A30" w:rsidRDefault="00A83E72" w:rsidP="000840F3">
            <w:pPr>
              <w:spacing w:after="100" w:afterAutospacing="1"/>
              <w:jc w:val="both"/>
              <w:rPr>
                <w:szCs w:val="24"/>
                <w:lang w:eastAsia="en-GB"/>
              </w:rPr>
            </w:pPr>
          </w:p>
        </w:tc>
      </w:tr>
      <w:tr w:rsidR="00A83E72" w:rsidRPr="00EE1A30" w14:paraId="5EC1A5B8" w14:textId="77777777" w:rsidTr="00BD6567">
        <w:trPr>
          <w:tblCellSpacing w:w="0" w:type="dxa"/>
        </w:trPr>
        <w:tc>
          <w:tcPr>
            <w:tcW w:w="3275" w:type="dxa"/>
          </w:tcPr>
          <w:p w14:paraId="5B6EBEA5" w14:textId="77777777" w:rsidR="006C2522" w:rsidRDefault="00A83E72" w:rsidP="000840F3">
            <w:pPr>
              <w:spacing w:after="100" w:afterAutospacing="1"/>
              <w:jc w:val="both"/>
              <w:rPr>
                <w:szCs w:val="24"/>
                <w:lang w:eastAsia="en-GB"/>
              </w:rPr>
            </w:pPr>
            <w:r w:rsidRPr="00EE1A30">
              <w:rPr>
                <w:szCs w:val="24"/>
                <w:lang w:eastAsia="en-GB"/>
              </w:rPr>
              <w:t>Other impacts</w:t>
            </w:r>
          </w:p>
        </w:tc>
        <w:tc>
          <w:tcPr>
            <w:tcW w:w="1593" w:type="dxa"/>
          </w:tcPr>
          <w:p w14:paraId="4294B5F4" w14:textId="77777777" w:rsidR="00A83E72" w:rsidRPr="00EE1A30" w:rsidRDefault="00A83E72" w:rsidP="000840F3">
            <w:pPr>
              <w:spacing w:after="100" w:afterAutospacing="1"/>
              <w:jc w:val="both"/>
              <w:rPr>
                <w:szCs w:val="24"/>
                <w:lang w:eastAsia="en-GB"/>
              </w:rPr>
            </w:pPr>
          </w:p>
        </w:tc>
        <w:tc>
          <w:tcPr>
            <w:tcW w:w="1593" w:type="dxa"/>
          </w:tcPr>
          <w:p w14:paraId="5E152EB3" w14:textId="77777777" w:rsidR="00A83E72" w:rsidRPr="00EE1A30" w:rsidRDefault="00A83E72" w:rsidP="000840F3">
            <w:pPr>
              <w:spacing w:after="100" w:afterAutospacing="1"/>
              <w:jc w:val="both"/>
              <w:rPr>
                <w:szCs w:val="24"/>
                <w:lang w:eastAsia="en-GB"/>
              </w:rPr>
            </w:pPr>
          </w:p>
        </w:tc>
        <w:tc>
          <w:tcPr>
            <w:tcW w:w="1593" w:type="dxa"/>
          </w:tcPr>
          <w:p w14:paraId="6DAD79CB" w14:textId="77777777" w:rsidR="00A83E72" w:rsidRPr="00EE1A30" w:rsidRDefault="00A83E72" w:rsidP="000840F3">
            <w:pPr>
              <w:spacing w:after="100" w:afterAutospacing="1"/>
              <w:jc w:val="both"/>
              <w:rPr>
                <w:szCs w:val="24"/>
                <w:lang w:eastAsia="en-GB"/>
              </w:rPr>
            </w:pPr>
          </w:p>
        </w:tc>
        <w:tc>
          <w:tcPr>
            <w:tcW w:w="1593" w:type="dxa"/>
          </w:tcPr>
          <w:p w14:paraId="332648BF" w14:textId="77777777" w:rsidR="00A83E72" w:rsidRPr="00EE1A30" w:rsidRDefault="00A83E72" w:rsidP="000840F3">
            <w:pPr>
              <w:spacing w:after="100" w:afterAutospacing="1"/>
              <w:jc w:val="both"/>
              <w:rPr>
                <w:szCs w:val="24"/>
                <w:lang w:eastAsia="en-GB"/>
              </w:rPr>
            </w:pPr>
          </w:p>
        </w:tc>
      </w:tr>
    </w:tbl>
    <w:p w14:paraId="45FF77FC" w14:textId="77777777" w:rsidR="00A83E72" w:rsidRPr="00EE1A30" w:rsidRDefault="00A83E72" w:rsidP="000840F3">
      <w:pPr>
        <w:jc w:val="both"/>
        <w:rPr>
          <w:i/>
        </w:rPr>
      </w:pPr>
    </w:p>
    <w:p w14:paraId="74AAC6DA" w14:textId="77777777" w:rsidR="00A44213" w:rsidRPr="00EE1A30" w:rsidRDefault="00A44213" w:rsidP="000840F3">
      <w:pPr>
        <w:numPr>
          <w:ilvl w:val="0"/>
          <w:numId w:val="31"/>
        </w:numPr>
        <w:jc w:val="both"/>
      </w:pPr>
      <w:r w:rsidRPr="00EE1A30">
        <w:t xml:space="preserve">How are </w:t>
      </w:r>
      <w:r w:rsidR="00AE5B76" w:rsidRPr="00EE1A30">
        <w:t>P</w:t>
      </w:r>
      <w:r w:rsidRPr="00EE1A30">
        <w:t xml:space="preserve">riority </w:t>
      </w:r>
      <w:r w:rsidR="00AE5B76" w:rsidRPr="00EE1A30">
        <w:t>S</w:t>
      </w:r>
      <w:r w:rsidRPr="00EE1A30">
        <w:t xml:space="preserve">ubstances monitored in sediments and/or biota to assess long-term trends of </w:t>
      </w:r>
      <w:r w:rsidR="00AE5B76" w:rsidRPr="00EE1A30">
        <w:t>P</w:t>
      </w:r>
      <w:r w:rsidRPr="00EE1A30">
        <w:t xml:space="preserve">riority </w:t>
      </w:r>
      <w:r w:rsidR="00AE5B76" w:rsidRPr="00EE1A30">
        <w:t>S</w:t>
      </w:r>
      <w:r w:rsidRPr="00EE1A30">
        <w:t>ubstances? Article 3.</w:t>
      </w:r>
      <w:r w:rsidR="00A83E72" w:rsidRPr="00EE1A30">
        <w:t>3</w:t>
      </w:r>
      <w:r w:rsidRPr="00EE1A30">
        <w:t xml:space="preserve"> of </w:t>
      </w:r>
      <w:r w:rsidRPr="00EE1A30">
        <w:rPr>
          <w:bCs/>
          <w:lang w:eastAsia="en-GB"/>
        </w:rPr>
        <w:t>Directive 20</w:t>
      </w:r>
      <w:r w:rsidR="00A83E72" w:rsidRPr="00EE1A30">
        <w:rPr>
          <w:bCs/>
          <w:lang w:eastAsia="en-GB"/>
        </w:rPr>
        <w:t>08</w:t>
      </w:r>
      <w:r w:rsidRPr="00EE1A30">
        <w:rPr>
          <w:bCs/>
          <w:lang w:eastAsia="en-GB"/>
        </w:rPr>
        <w:t>/</w:t>
      </w:r>
      <w:r w:rsidR="00A83E72" w:rsidRPr="00EE1A30">
        <w:rPr>
          <w:bCs/>
          <w:lang w:eastAsia="en-GB"/>
        </w:rPr>
        <w:t>105</w:t>
      </w:r>
      <w:r w:rsidRPr="00EE1A30">
        <w:rPr>
          <w:bCs/>
          <w:lang w:eastAsia="en-GB"/>
        </w:rPr>
        <w:t>/E</w:t>
      </w:r>
      <w:r w:rsidR="00A83E72" w:rsidRPr="00EE1A30">
        <w:rPr>
          <w:bCs/>
          <w:lang w:eastAsia="en-GB"/>
        </w:rPr>
        <w:t>C</w:t>
      </w:r>
      <w:r w:rsidR="00AE5B76" w:rsidRPr="00DD6DEC">
        <w:rPr>
          <w:rStyle w:val="Refdenotaalpie"/>
          <w:bCs/>
          <w:lang w:eastAsia="en-GB"/>
        </w:rPr>
        <w:footnoteReference w:id="9"/>
      </w:r>
      <w:r w:rsidRPr="00DD6DEC">
        <w:rPr>
          <w:bCs/>
          <w:lang w:eastAsia="en-GB"/>
        </w:rPr>
        <w:t xml:space="preserve"> </w:t>
      </w:r>
      <w:r w:rsidR="00454B5B" w:rsidRPr="00851B21">
        <w:rPr>
          <w:bCs/>
          <w:lang w:eastAsia="en-GB"/>
        </w:rPr>
        <w:t>(Article 3.6 in the current version as amended by Directive 2013/39/EU</w:t>
      </w:r>
      <w:r w:rsidR="00AE5B76" w:rsidRPr="00DD6DEC">
        <w:rPr>
          <w:rStyle w:val="Refdenotaalpie"/>
          <w:bCs/>
          <w:lang w:eastAsia="en-GB"/>
        </w:rPr>
        <w:footnoteReference w:id="10"/>
      </w:r>
      <w:r w:rsidR="00454B5B" w:rsidRPr="00DD6DEC">
        <w:rPr>
          <w:bCs/>
          <w:lang w:eastAsia="en-GB"/>
        </w:rPr>
        <w:t xml:space="preserve">) </w:t>
      </w:r>
      <w:r w:rsidRPr="00851B21">
        <w:rPr>
          <w:bCs/>
          <w:lang w:eastAsia="en-GB"/>
        </w:rPr>
        <w:t xml:space="preserve">states that </w:t>
      </w:r>
      <w:r w:rsidR="00AE5B76" w:rsidRPr="00A8624D">
        <w:rPr>
          <w:bCs/>
          <w:lang w:eastAsia="en-GB"/>
        </w:rPr>
        <w:t>‘</w:t>
      </w:r>
      <w:r w:rsidRPr="0071782C">
        <w:t>Member States shall determine the frequency of monitoring in sediment and/or biota so as to provide sufficient</w:t>
      </w:r>
      <w:r w:rsidRPr="00EE1A30">
        <w:t xml:space="preserve"> data for a reliable long-term trend analysis. As a guideline, monitoring should take place every three years, unless technical knowledge and expert judgment justify another interval.</w:t>
      </w:r>
      <w:r w:rsidR="00AE5B76" w:rsidRPr="00EE1A30">
        <w:t>’</w:t>
      </w:r>
      <w:r w:rsidRPr="00EE1A30">
        <w:t xml:space="preserve"> </w:t>
      </w:r>
      <w:r w:rsidR="00A83E72" w:rsidRPr="00EE1A30">
        <w:t>I</w:t>
      </w:r>
      <w:r w:rsidRPr="00EE1A30">
        <w:t xml:space="preserve">ndicate the </w:t>
      </w:r>
      <w:r w:rsidR="00AE5B76" w:rsidRPr="00EE1A30">
        <w:t>P</w:t>
      </w:r>
      <w:r w:rsidRPr="00EE1A30">
        <w:t xml:space="preserve">riority </w:t>
      </w:r>
      <w:r w:rsidR="00AE5B76" w:rsidRPr="00EE1A30">
        <w:t>S</w:t>
      </w:r>
      <w:r w:rsidRPr="00EE1A30">
        <w:t>ubstances for which the monitoring of long</w:t>
      </w:r>
      <w:r w:rsidR="00AE5B76" w:rsidRPr="00EE1A30">
        <w:t>-</w:t>
      </w:r>
      <w:r w:rsidRPr="00EE1A30">
        <w:t>term trends is undertaken</w:t>
      </w:r>
      <w:r w:rsidR="00AE5B76" w:rsidRPr="00EE1A30">
        <w:t xml:space="preserve"> and</w:t>
      </w:r>
      <w:r w:rsidR="00A83E72" w:rsidRPr="00EE1A30">
        <w:t xml:space="preserve"> in how many stations, </w:t>
      </w:r>
      <w:r w:rsidRPr="00EE1A30">
        <w:t>with the matrices used and frequencies applied.</w:t>
      </w:r>
    </w:p>
    <w:p w14:paraId="569B7DE6" w14:textId="77777777" w:rsidR="00A44213" w:rsidRPr="00EE1A30" w:rsidRDefault="00A44213" w:rsidP="000840F3">
      <w:pPr>
        <w:numPr>
          <w:ilvl w:val="0"/>
          <w:numId w:val="31"/>
        </w:numPr>
        <w:jc w:val="both"/>
      </w:pPr>
      <w:r w:rsidRPr="00EE1A30">
        <w:t xml:space="preserve">The WFD </w:t>
      </w:r>
      <w:r w:rsidR="00A83E72" w:rsidRPr="00EE1A30">
        <w:t>allows</w:t>
      </w:r>
      <w:r w:rsidRPr="00EE1A30">
        <w:t xml:space="preserve"> the grouping of water bodies for monitoring</w:t>
      </w:r>
      <w:r w:rsidR="00A83E72" w:rsidRPr="00EE1A30">
        <w:t xml:space="preserve"> and </w:t>
      </w:r>
      <w:r w:rsidRPr="00EE1A30">
        <w:t>assessment. Only similar types of water bodies can be grouped, for example, where the ecological conditions are similar</w:t>
      </w:r>
      <w:r w:rsidR="00AE5B76" w:rsidRPr="00EE1A30">
        <w:t>,</w:t>
      </w:r>
      <w:r w:rsidRPr="00EE1A30">
        <w:t xml:space="preserve"> or almost similar</w:t>
      </w:r>
      <w:r w:rsidR="00AE5B76" w:rsidRPr="00EE1A30">
        <w:t>,</w:t>
      </w:r>
      <w:r w:rsidRPr="00EE1A30">
        <w:t xml:space="preserve"> and in terms of the magnitude and type of pressure or combination of pressures on the water bodies. In all cases</w:t>
      </w:r>
      <w:r w:rsidR="00AE5B76" w:rsidRPr="00EE1A30">
        <w:t>,</w:t>
      </w:r>
      <w:r w:rsidRPr="00EE1A30">
        <w:t xml:space="preserve"> grouping must be technically or scientifically justifiable. Also</w:t>
      </w:r>
      <w:r w:rsidR="00AE5B76" w:rsidRPr="00EE1A30">
        <w:t>,</w:t>
      </w:r>
      <w:r w:rsidRPr="00EE1A30">
        <w:t xml:space="preserve"> the monitoring of sufficient indicative or representative water bodies in the sub-groups of surface water or groundwater bodies would have to provide for an acceptable level of confidence and precision in the results of monitoring, and in particular the classification of water body status. </w:t>
      </w:r>
      <w:r w:rsidR="00A83E72" w:rsidRPr="00EE1A30">
        <w:t xml:space="preserve">Explain and justify the basis for grouping, the </w:t>
      </w:r>
      <w:r w:rsidRPr="00EE1A30">
        <w:t xml:space="preserve">categories of water bodies </w:t>
      </w:r>
      <w:r w:rsidR="00A83E72" w:rsidRPr="00EE1A30">
        <w:t>to which grouping has been applied and the extent of</w:t>
      </w:r>
      <w:r w:rsidR="00AE5B76" w:rsidRPr="00EE1A30">
        <w:t xml:space="preserve"> the</w:t>
      </w:r>
      <w:r w:rsidR="00A83E72" w:rsidRPr="00EE1A30">
        <w:t xml:space="preserve"> application. </w:t>
      </w:r>
      <w:r w:rsidR="00173807" w:rsidRPr="00EE1A30">
        <w:t xml:space="preserve">Explain </w:t>
      </w:r>
      <w:r w:rsidR="00AE5B76" w:rsidRPr="00EE1A30">
        <w:t xml:space="preserve">any </w:t>
      </w:r>
      <w:r w:rsidR="00173807" w:rsidRPr="00EE1A30">
        <w:t>differences i</w:t>
      </w:r>
      <w:r w:rsidR="00AE5B76" w:rsidRPr="00EE1A30">
        <w:t>n</w:t>
      </w:r>
      <w:r w:rsidRPr="00EE1A30">
        <w:rPr>
          <w:lang w:eastAsia="en-GB"/>
        </w:rPr>
        <w:t xml:space="preserve"> methodology between water categories.</w:t>
      </w:r>
    </w:p>
    <w:p w14:paraId="2639BF31" w14:textId="77777777" w:rsidR="00A44213" w:rsidRPr="00EE1A30" w:rsidRDefault="008A1D25" w:rsidP="000840F3">
      <w:pPr>
        <w:numPr>
          <w:ilvl w:val="0"/>
          <w:numId w:val="31"/>
        </w:numPr>
        <w:jc w:val="both"/>
      </w:pPr>
      <w:r w:rsidRPr="00EE1A30">
        <w:t>A</w:t>
      </w:r>
      <w:r w:rsidR="00A44213" w:rsidRPr="00EE1A30">
        <w:t xml:space="preserve"> summary of how the requirements associated with surface water and groundwater </w:t>
      </w:r>
      <w:r w:rsidR="00AE5B76" w:rsidRPr="00EE1A30">
        <w:t>D</w:t>
      </w:r>
      <w:r w:rsidR="00A44213" w:rsidRPr="00EE1A30">
        <w:t xml:space="preserve">rinking </w:t>
      </w:r>
      <w:r w:rsidR="00AE5B76" w:rsidRPr="00EE1A30">
        <w:t>W</w:t>
      </w:r>
      <w:r w:rsidR="00A44213" w:rsidRPr="00EE1A30">
        <w:t xml:space="preserve">ater </w:t>
      </w:r>
      <w:r w:rsidR="00AE5B76" w:rsidRPr="00EE1A30">
        <w:t>P</w:t>
      </w:r>
      <w:r w:rsidR="00A44213" w:rsidRPr="00EE1A30">
        <w:t xml:space="preserve">rotected </w:t>
      </w:r>
      <w:r w:rsidR="00AE5B76" w:rsidRPr="00EE1A30">
        <w:t>A</w:t>
      </w:r>
      <w:r w:rsidR="00A44213" w:rsidRPr="00EE1A30">
        <w:t>reas have been incorporated into the monitoring programmes for the WFD</w:t>
      </w:r>
      <w:r w:rsidR="000F02F9">
        <w:t>.</w:t>
      </w:r>
    </w:p>
    <w:p w14:paraId="10687E17" w14:textId="77777777" w:rsidR="00A44213" w:rsidRPr="00EE1A30" w:rsidRDefault="008A1D25" w:rsidP="000840F3">
      <w:pPr>
        <w:numPr>
          <w:ilvl w:val="0"/>
          <w:numId w:val="31"/>
        </w:numPr>
        <w:jc w:val="both"/>
      </w:pPr>
      <w:r w:rsidRPr="00EE1A30">
        <w:t>A</w:t>
      </w:r>
      <w:r w:rsidR="00A44213" w:rsidRPr="00EE1A30">
        <w:t xml:space="preserve"> summary of transboundary </w:t>
      </w:r>
      <w:r w:rsidR="00173807" w:rsidRPr="00EE1A30">
        <w:t xml:space="preserve">monitoring networks for </w:t>
      </w:r>
      <w:r w:rsidR="00A44213" w:rsidRPr="00EE1A30">
        <w:t>surface water and groundwater bodies,</w:t>
      </w:r>
      <w:r w:rsidR="00173807" w:rsidRPr="00EE1A30">
        <w:t xml:space="preserve"> including</w:t>
      </w:r>
      <w:r w:rsidR="00A44213" w:rsidRPr="00EE1A30">
        <w:t xml:space="preserve"> transboundary countr</w:t>
      </w:r>
      <w:r w:rsidR="00AE5B76" w:rsidRPr="00EE1A30">
        <w:t xml:space="preserve">ies that are </w:t>
      </w:r>
      <w:r w:rsidR="00A44213" w:rsidRPr="00EE1A30">
        <w:t xml:space="preserve">not </w:t>
      </w:r>
      <w:r w:rsidR="00AE5B76" w:rsidRPr="00EE1A30">
        <w:t xml:space="preserve">part of the </w:t>
      </w:r>
      <w:r w:rsidR="00A44213" w:rsidRPr="00EE1A30">
        <w:t xml:space="preserve">EU. </w:t>
      </w:r>
    </w:p>
    <w:p w14:paraId="13B9F02E" w14:textId="77777777" w:rsidR="00A44213" w:rsidRPr="00EE1A30" w:rsidRDefault="00A44213" w:rsidP="000840F3">
      <w:pPr>
        <w:jc w:val="both"/>
        <w:rPr>
          <w:b/>
        </w:rPr>
      </w:pPr>
    </w:p>
    <w:p w14:paraId="5F3FD48C" w14:textId="77777777" w:rsidR="001E7E9B" w:rsidRPr="00EE1A30" w:rsidRDefault="001E7E9B" w:rsidP="000840F3">
      <w:pPr>
        <w:jc w:val="both"/>
        <w:rPr>
          <w:i/>
        </w:rPr>
      </w:pPr>
      <w:r w:rsidRPr="00EE1A30">
        <w:rPr>
          <w:i/>
        </w:rPr>
        <w:t>Groundwater</w:t>
      </w:r>
    </w:p>
    <w:p w14:paraId="2EC9F5C6" w14:textId="77777777" w:rsidR="00173807" w:rsidRPr="00EE1A30" w:rsidRDefault="00390783" w:rsidP="000840F3">
      <w:pPr>
        <w:numPr>
          <w:ilvl w:val="0"/>
          <w:numId w:val="32"/>
        </w:numPr>
        <w:jc w:val="both"/>
        <w:rPr>
          <w:szCs w:val="24"/>
          <w:lang w:eastAsia="en-GB"/>
        </w:rPr>
      </w:pPr>
      <w:r w:rsidRPr="00EE1A30">
        <w:rPr>
          <w:szCs w:val="24"/>
          <w:lang w:eastAsia="en-GB"/>
        </w:rPr>
        <w:t xml:space="preserve">For surveillance monitoring, </w:t>
      </w:r>
      <w:r w:rsidR="00173807" w:rsidRPr="00EE1A30">
        <w:rPr>
          <w:szCs w:val="24"/>
          <w:lang w:eastAsia="en-GB"/>
        </w:rPr>
        <w:t xml:space="preserve">Annex V of the WFD requires Member States to monitor a set of core parameters in all groundwater bodies and parameters indicative of pressures in groundwater bodies identified as being at risk. In the case of </w:t>
      </w:r>
      <w:r w:rsidR="00173807" w:rsidRPr="00EE1A30">
        <w:rPr>
          <w:bCs/>
          <w:szCs w:val="24"/>
          <w:lang w:eastAsia="en-GB"/>
        </w:rPr>
        <w:t>operational</w:t>
      </w:r>
      <w:r w:rsidR="00173807" w:rsidRPr="00EE1A30">
        <w:rPr>
          <w:szCs w:val="24"/>
          <w:lang w:eastAsia="en-GB"/>
        </w:rPr>
        <w:t xml:space="preserve"> monitoring, Member States should monitor only those parameters which are indicative of the pressures to which </w:t>
      </w:r>
      <w:r w:rsidR="00173807" w:rsidRPr="00EE1A30">
        <w:rPr>
          <w:szCs w:val="24"/>
          <w:lang w:eastAsia="en-GB"/>
        </w:rPr>
        <w:lastRenderedPageBreak/>
        <w:t>the body is subject.</w:t>
      </w:r>
      <w:r w:rsidR="00173807" w:rsidRPr="00EE1A30">
        <w:rPr>
          <w:b/>
        </w:rPr>
        <w:t xml:space="preserve"> </w:t>
      </w:r>
      <w:r w:rsidR="00173807" w:rsidRPr="00EE1A30">
        <w:t>How have t</w:t>
      </w:r>
      <w:r w:rsidR="00173807" w:rsidRPr="00EE1A30">
        <w:rPr>
          <w:szCs w:val="24"/>
          <w:lang w:eastAsia="en-GB"/>
        </w:rPr>
        <w:t>he parameters in groundwater monitoring programmes been selected to respond to different pressures</w:t>
      </w:r>
      <w:r w:rsidR="00AE5B76" w:rsidRPr="00EE1A30">
        <w:rPr>
          <w:szCs w:val="24"/>
          <w:lang w:eastAsia="en-GB"/>
        </w:rPr>
        <w:t xml:space="preserve"> and </w:t>
      </w:r>
      <w:r w:rsidR="00173807" w:rsidRPr="00EE1A30">
        <w:rPr>
          <w:szCs w:val="24"/>
          <w:lang w:eastAsia="en-GB"/>
        </w:rPr>
        <w:t>impacts?</w:t>
      </w:r>
    </w:p>
    <w:p w14:paraId="14E66A86" w14:textId="77777777" w:rsidR="00173807" w:rsidRPr="00EE1A30" w:rsidRDefault="00173807" w:rsidP="000840F3">
      <w:pPr>
        <w:numPr>
          <w:ilvl w:val="0"/>
          <w:numId w:val="33"/>
        </w:numPr>
        <w:jc w:val="both"/>
      </w:pPr>
      <w:r w:rsidRPr="00EE1A30">
        <w:t xml:space="preserve">How are groundwater chemical status monitoring programmes designed in order to detect significant and sustained upward trends in pollutants? Indicate which </w:t>
      </w:r>
      <w:r w:rsidR="00392EA8">
        <w:t xml:space="preserve">of the following </w:t>
      </w:r>
      <w:r w:rsidRPr="00EE1A30">
        <w:t>aspects</w:t>
      </w:r>
      <w:r w:rsidR="00AE5B76" w:rsidRPr="00EE1A30">
        <w:t xml:space="preserve"> were incorporated into the monitoring programmes</w:t>
      </w:r>
      <w:r w:rsidRPr="00EE1A30">
        <w:t>, and how:</w:t>
      </w:r>
    </w:p>
    <w:p w14:paraId="669155FE" w14:textId="77777777" w:rsidR="00173807" w:rsidRPr="00EE1A30" w:rsidRDefault="00173807" w:rsidP="000840F3">
      <w:pPr>
        <w:numPr>
          <w:ilvl w:val="1"/>
          <w:numId w:val="33"/>
        </w:numPr>
        <w:jc w:val="both"/>
      </w:pPr>
      <w:r w:rsidRPr="00EE1A30">
        <w:t xml:space="preserve">Trend assessment only carried out in groundwater bodies at risk of not meeting WFD </w:t>
      </w:r>
      <w:r w:rsidR="00C912E5" w:rsidRPr="00EE1A30">
        <w:t>Environmental Objectives</w:t>
      </w:r>
      <w:r w:rsidR="00AE5B76" w:rsidRPr="00EE1A30">
        <w:t>,</w:t>
      </w:r>
    </w:p>
    <w:p w14:paraId="709CDDC4" w14:textId="77777777" w:rsidR="00173807" w:rsidRPr="00EE1A30" w:rsidRDefault="00173807" w:rsidP="000840F3">
      <w:pPr>
        <w:numPr>
          <w:ilvl w:val="1"/>
          <w:numId w:val="33"/>
        </w:numPr>
        <w:jc w:val="both"/>
      </w:pPr>
      <w:r w:rsidRPr="00EE1A30">
        <w:t>Trend assessment on groundwater bodies not currently at risk in order to distinguish long</w:t>
      </w:r>
      <w:r w:rsidR="00AE5B76" w:rsidRPr="00EE1A30">
        <w:t>-</w:t>
      </w:r>
      <w:r w:rsidRPr="00EE1A30">
        <w:t>term trends both as a result of changes in natural conditions and through anthropogenic activity</w:t>
      </w:r>
      <w:r w:rsidR="00AE5B76" w:rsidRPr="00EE1A30">
        <w:t>.</w:t>
      </w:r>
    </w:p>
    <w:p w14:paraId="4CF4A901" w14:textId="77777777" w:rsidR="00173807" w:rsidRPr="00EE1A30" w:rsidRDefault="00173807" w:rsidP="000840F3">
      <w:pPr>
        <w:numPr>
          <w:ilvl w:val="1"/>
          <w:numId w:val="33"/>
        </w:numPr>
        <w:jc w:val="both"/>
      </w:pPr>
      <w:r w:rsidRPr="00EE1A30">
        <w:t>Trend assessment based on surveillance and operational monitoring data from individual monitoring sites</w:t>
      </w:r>
      <w:r w:rsidR="00AE5B76" w:rsidRPr="00EE1A30">
        <w:t>.</w:t>
      </w:r>
    </w:p>
    <w:p w14:paraId="61046E7E" w14:textId="77777777" w:rsidR="00173807" w:rsidRPr="00EE1A30" w:rsidRDefault="00173807" w:rsidP="000840F3">
      <w:pPr>
        <w:numPr>
          <w:ilvl w:val="1"/>
          <w:numId w:val="33"/>
        </w:numPr>
        <w:jc w:val="both"/>
      </w:pPr>
      <w:r w:rsidRPr="00EE1A30">
        <w:t xml:space="preserve">Statistical method for assessing trends at each monitoring </w:t>
      </w:r>
      <w:r w:rsidR="00AE5B76" w:rsidRPr="00EE1A30">
        <w:t xml:space="preserve">site </w:t>
      </w:r>
      <w:r w:rsidRPr="00EE1A30">
        <w:t>(</w:t>
      </w:r>
      <w:r w:rsidR="00B1668E" w:rsidRPr="00EE1A30">
        <w:t xml:space="preserve">statistical method adapted to initial conditions </w:t>
      </w:r>
      <w:r w:rsidRPr="00EE1A30">
        <w:t>such as regression analysis</w:t>
      </w:r>
      <w:r w:rsidR="00B1668E" w:rsidRPr="00EE1A30">
        <w:t xml:space="preserve"> for normal distributions and non-parametric tests for non-normal distributed time series</w:t>
      </w:r>
      <w:r w:rsidRPr="00EE1A30">
        <w:t>)</w:t>
      </w:r>
      <w:r w:rsidR="00AE5B76" w:rsidRPr="00EE1A30">
        <w:t>.</w:t>
      </w:r>
    </w:p>
    <w:p w14:paraId="020FBD88" w14:textId="77777777" w:rsidR="00173807" w:rsidRPr="00EE1A30" w:rsidRDefault="00173807" w:rsidP="000840F3">
      <w:pPr>
        <w:numPr>
          <w:ilvl w:val="1"/>
          <w:numId w:val="33"/>
        </w:numPr>
        <w:jc w:val="both"/>
      </w:pPr>
      <w:r w:rsidRPr="00EE1A30">
        <w:t xml:space="preserve">Individual parameter concentrations (or values) below </w:t>
      </w:r>
      <w:r w:rsidR="00AA6117" w:rsidRPr="00EE1A30">
        <w:t xml:space="preserve">the </w:t>
      </w:r>
      <w:r w:rsidRPr="00EE1A30">
        <w:t>Limit of Quantification (LOQ) replaced by half of the value of the highest LOQ occurring in the time series being analysed</w:t>
      </w:r>
      <w:r w:rsidR="00AA6117" w:rsidRPr="00EE1A30">
        <w:t>.</w:t>
      </w:r>
    </w:p>
    <w:p w14:paraId="30E6B125" w14:textId="77777777" w:rsidR="00173807" w:rsidRPr="00EE1A30" w:rsidRDefault="00173807" w:rsidP="000840F3">
      <w:pPr>
        <w:numPr>
          <w:ilvl w:val="1"/>
          <w:numId w:val="33"/>
        </w:numPr>
        <w:jc w:val="both"/>
      </w:pPr>
      <w:r w:rsidRPr="00EE1A30">
        <w:t xml:space="preserve">How </w:t>
      </w:r>
      <w:r w:rsidR="00AA6117" w:rsidRPr="00EE1A30">
        <w:t xml:space="preserve">were </w:t>
      </w:r>
      <w:r w:rsidRPr="00EE1A30">
        <w:t>upward trends identified in sufficient time to allow measures to be implemented</w:t>
      </w:r>
      <w:r w:rsidR="00AA6117" w:rsidRPr="00EE1A30">
        <w:t>?</w:t>
      </w:r>
    </w:p>
    <w:p w14:paraId="1D26AEC3" w14:textId="77777777" w:rsidR="00173807" w:rsidRPr="00EE1A30" w:rsidRDefault="00173807" w:rsidP="000840F3">
      <w:pPr>
        <w:numPr>
          <w:ilvl w:val="1"/>
          <w:numId w:val="33"/>
        </w:numPr>
        <w:jc w:val="both"/>
      </w:pPr>
      <w:r w:rsidRPr="00EE1A30">
        <w:t>Length of time series considered to be appropriate to detect significant trends</w:t>
      </w:r>
      <w:r w:rsidR="00AA6117" w:rsidRPr="00EE1A30">
        <w:t>.</w:t>
      </w:r>
    </w:p>
    <w:p w14:paraId="700B42E8" w14:textId="77777777" w:rsidR="00173807" w:rsidRPr="00EE1A30" w:rsidRDefault="00173807" w:rsidP="000840F3">
      <w:pPr>
        <w:numPr>
          <w:ilvl w:val="1"/>
          <w:numId w:val="33"/>
        </w:numPr>
        <w:jc w:val="both"/>
      </w:pPr>
      <w:r w:rsidRPr="00EE1A30">
        <w:t xml:space="preserve">How </w:t>
      </w:r>
      <w:r w:rsidR="00AA6117" w:rsidRPr="00EE1A30">
        <w:t xml:space="preserve">were </w:t>
      </w:r>
      <w:r w:rsidRPr="00EE1A30">
        <w:t>baseline levels for substances which occur both naturally and from anthropogenic sources considered</w:t>
      </w:r>
      <w:r w:rsidR="00AA6117" w:rsidRPr="00EE1A30">
        <w:t>?</w:t>
      </w:r>
    </w:p>
    <w:p w14:paraId="7B12B6D6" w14:textId="77777777" w:rsidR="00173807" w:rsidRPr="00EE1A30" w:rsidRDefault="00173807" w:rsidP="000840F3">
      <w:pPr>
        <w:numPr>
          <w:ilvl w:val="1"/>
          <w:numId w:val="33"/>
        </w:numPr>
        <w:jc w:val="both"/>
      </w:pPr>
      <w:r w:rsidRPr="00EE1A30">
        <w:t>How was it ensured that upward trends can be distinguished from natural variation with an adequate level of confidence and precision</w:t>
      </w:r>
      <w:r w:rsidR="00AA6117" w:rsidRPr="00EE1A30">
        <w:t>?</w:t>
      </w:r>
    </w:p>
    <w:p w14:paraId="17FD39FD" w14:textId="77777777" w:rsidR="00173807" w:rsidRPr="00EE1A30" w:rsidRDefault="00173807" w:rsidP="000840F3">
      <w:pPr>
        <w:numPr>
          <w:ilvl w:val="1"/>
          <w:numId w:val="33"/>
        </w:numPr>
        <w:jc w:val="both"/>
      </w:pPr>
      <w:r w:rsidRPr="00EE1A30">
        <w:t>What was considered to be an acceptable level of confidence in the trend assessment</w:t>
      </w:r>
      <w:r w:rsidR="00AA6117" w:rsidRPr="00EE1A30">
        <w:t>?</w:t>
      </w:r>
    </w:p>
    <w:p w14:paraId="68A65754" w14:textId="77777777" w:rsidR="00A616F4" w:rsidRPr="00EE1A30" w:rsidRDefault="006F25ED" w:rsidP="0010226A">
      <w:pPr>
        <w:pStyle w:val="Ttulo3"/>
      </w:pPr>
      <w:bookmarkStart w:id="32" w:name="_Ref425176628"/>
      <w:r w:rsidRPr="006F25ED">
        <w:t>Glossary: clarification of terms and reporting requirements</w:t>
      </w:r>
      <w:bookmarkEnd w:id="32"/>
    </w:p>
    <w:p w14:paraId="5071291A" w14:textId="77777777" w:rsidR="00D2705B" w:rsidRPr="00EE1A30" w:rsidRDefault="00D2705B" w:rsidP="000840F3">
      <w:pPr>
        <w:autoSpaceDE w:val="0"/>
        <w:autoSpaceDN w:val="0"/>
        <w:adjustRightInd w:val="0"/>
        <w:spacing w:after="0"/>
        <w:jc w:val="both"/>
        <w:rPr>
          <w:szCs w:val="24"/>
        </w:rPr>
      </w:pPr>
      <w:r w:rsidRPr="00EE1A30">
        <w:rPr>
          <w:szCs w:val="24"/>
        </w:rPr>
        <w:t xml:space="preserve">The </w:t>
      </w:r>
      <w:r w:rsidR="00AA6117" w:rsidRPr="00EE1A30">
        <w:rPr>
          <w:szCs w:val="24"/>
        </w:rPr>
        <w:t xml:space="preserve">Frequency </w:t>
      </w:r>
      <w:r w:rsidRPr="00EE1A30">
        <w:rPr>
          <w:szCs w:val="24"/>
        </w:rPr>
        <w:t xml:space="preserve">and </w:t>
      </w:r>
      <w:r w:rsidR="00AA6117" w:rsidRPr="00EE1A30">
        <w:rPr>
          <w:szCs w:val="24"/>
        </w:rPr>
        <w:t xml:space="preserve">Cycle </w:t>
      </w:r>
      <w:r w:rsidRPr="00EE1A30">
        <w:rPr>
          <w:szCs w:val="24"/>
        </w:rPr>
        <w:t xml:space="preserve">elements are used together to describe the frequency at which the </w:t>
      </w:r>
      <w:r w:rsidR="00AA6117" w:rsidRPr="00EE1A30">
        <w:rPr>
          <w:szCs w:val="24"/>
        </w:rPr>
        <w:t>QE</w:t>
      </w:r>
      <w:r w:rsidRPr="00EE1A30">
        <w:rPr>
          <w:szCs w:val="24"/>
        </w:rPr>
        <w:t>s</w:t>
      </w:r>
      <w:r w:rsidR="00AA6117" w:rsidRPr="00EE1A30">
        <w:rPr>
          <w:szCs w:val="24"/>
        </w:rPr>
        <w:t xml:space="preserve"> or chemical substances at surface water monitoring sites, or chemical parameters</w:t>
      </w:r>
      <w:r w:rsidRPr="00EE1A30">
        <w:rPr>
          <w:szCs w:val="24"/>
        </w:rPr>
        <w:t xml:space="preserve"> </w:t>
      </w:r>
      <w:r w:rsidR="00AA6117" w:rsidRPr="00EE1A30">
        <w:rPr>
          <w:szCs w:val="24"/>
        </w:rPr>
        <w:t xml:space="preserve">at groundwater monitoring sites, </w:t>
      </w:r>
      <w:r w:rsidRPr="00EE1A30">
        <w:rPr>
          <w:szCs w:val="24"/>
        </w:rPr>
        <w:t xml:space="preserve">are </w:t>
      </w:r>
      <w:r w:rsidR="00AA6117" w:rsidRPr="00EE1A30">
        <w:rPr>
          <w:szCs w:val="24"/>
        </w:rPr>
        <w:t>monitored</w:t>
      </w:r>
      <w:r w:rsidRPr="00EE1A30">
        <w:rPr>
          <w:szCs w:val="24"/>
        </w:rPr>
        <w:t xml:space="preserve">. </w:t>
      </w:r>
    </w:p>
    <w:p w14:paraId="2042A064" w14:textId="77777777" w:rsidR="00D2705B" w:rsidRPr="00EE1A30" w:rsidRDefault="00D2705B" w:rsidP="000840F3">
      <w:pPr>
        <w:autoSpaceDE w:val="0"/>
        <w:autoSpaceDN w:val="0"/>
        <w:adjustRightInd w:val="0"/>
        <w:spacing w:after="0"/>
        <w:jc w:val="both"/>
        <w:rPr>
          <w:szCs w:val="24"/>
        </w:rPr>
      </w:pPr>
    </w:p>
    <w:p w14:paraId="370FDCEB" w14:textId="77777777" w:rsidR="00D2705B" w:rsidRPr="00EE1A30" w:rsidRDefault="00D2705B" w:rsidP="000840F3">
      <w:pPr>
        <w:autoSpaceDE w:val="0"/>
        <w:autoSpaceDN w:val="0"/>
        <w:adjustRightInd w:val="0"/>
        <w:spacing w:after="0"/>
        <w:jc w:val="both"/>
        <w:rPr>
          <w:szCs w:val="24"/>
        </w:rPr>
      </w:pPr>
      <w:r w:rsidRPr="00EE1A30">
        <w:rPr>
          <w:szCs w:val="24"/>
        </w:rPr>
        <w:t>Frequency is the number of determination or sampling events made in a year when monitoring is undertaken. For example</w:t>
      </w:r>
      <w:r w:rsidR="00AA6117" w:rsidRPr="00EE1A30">
        <w:rPr>
          <w:szCs w:val="24"/>
        </w:rPr>
        <w:t>,</w:t>
      </w:r>
      <w:r w:rsidRPr="00EE1A30">
        <w:rPr>
          <w:szCs w:val="24"/>
        </w:rPr>
        <w:t xml:space="preserve"> </w:t>
      </w:r>
      <w:r w:rsidR="00AA6117" w:rsidRPr="00EE1A30">
        <w:rPr>
          <w:szCs w:val="24"/>
        </w:rPr>
        <w:t>‘</w:t>
      </w:r>
      <w:r w:rsidRPr="00EE1A30">
        <w:rPr>
          <w:szCs w:val="24"/>
        </w:rPr>
        <w:t>12</w:t>
      </w:r>
      <w:r w:rsidR="00AA6117" w:rsidRPr="00EE1A30">
        <w:rPr>
          <w:szCs w:val="24"/>
        </w:rPr>
        <w:t>’</w:t>
      </w:r>
      <w:r w:rsidRPr="00EE1A30">
        <w:rPr>
          <w:szCs w:val="24"/>
        </w:rPr>
        <w:t xml:space="preserve"> equates to approximately 12 monthly determinations, </w:t>
      </w:r>
      <w:r w:rsidR="00AA6117" w:rsidRPr="00EE1A30">
        <w:rPr>
          <w:szCs w:val="24"/>
        </w:rPr>
        <w:t>‘</w:t>
      </w:r>
      <w:r w:rsidRPr="00EE1A30">
        <w:rPr>
          <w:szCs w:val="24"/>
        </w:rPr>
        <w:t>4</w:t>
      </w:r>
      <w:r w:rsidR="00AA6117" w:rsidRPr="00EE1A30">
        <w:rPr>
          <w:szCs w:val="24"/>
        </w:rPr>
        <w:t>’</w:t>
      </w:r>
      <w:r w:rsidRPr="00EE1A30">
        <w:rPr>
          <w:szCs w:val="24"/>
        </w:rPr>
        <w:t xml:space="preserve"> equates to determinations approximately every 3 months</w:t>
      </w:r>
      <w:r w:rsidR="00AA6117" w:rsidRPr="00EE1A30">
        <w:rPr>
          <w:szCs w:val="24"/>
        </w:rPr>
        <w:t>,</w:t>
      </w:r>
      <w:r w:rsidRPr="00EE1A30">
        <w:rPr>
          <w:szCs w:val="24"/>
        </w:rPr>
        <w:t xml:space="preserve"> </w:t>
      </w:r>
      <w:r w:rsidR="00AA6117" w:rsidRPr="00EE1A30">
        <w:rPr>
          <w:szCs w:val="24"/>
        </w:rPr>
        <w:t>‘</w:t>
      </w:r>
      <w:r w:rsidRPr="00EE1A30">
        <w:rPr>
          <w:szCs w:val="24"/>
        </w:rPr>
        <w:t>2</w:t>
      </w:r>
      <w:r w:rsidR="00AA6117" w:rsidRPr="00EE1A30">
        <w:rPr>
          <w:szCs w:val="24"/>
        </w:rPr>
        <w:t>’</w:t>
      </w:r>
      <w:r w:rsidRPr="00EE1A30">
        <w:rPr>
          <w:szCs w:val="24"/>
        </w:rPr>
        <w:t xml:space="preserve"> equates to determinations approximately every 6 months or twice a year</w:t>
      </w:r>
      <w:r w:rsidR="00AA6117" w:rsidRPr="00EE1A30">
        <w:rPr>
          <w:szCs w:val="24"/>
        </w:rPr>
        <w:t xml:space="preserve">, </w:t>
      </w:r>
      <w:r w:rsidRPr="00EE1A30">
        <w:rPr>
          <w:szCs w:val="24"/>
        </w:rPr>
        <w:t xml:space="preserve">and </w:t>
      </w:r>
      <w:r w:rsidR="00AA6117" w:rsidRPr="00EE1A30">
        <w:rPr>
          <w:szCs w:val="24"/>
        </w:rPr>
        <w:t>‘</w:t>
      </w:r>
      <w:r w:rsidRPr="00EE1A30">
        <w:rPr>
          <w:szCs w:val="24"/>
        </w:rPr>
        <w:t>1</w:t>
      </w:r>
      <w:r w:rsidR="00AA6117" w:rsidRPr="00EE1A30">
        <w:rPr>
          <w:szCs w:val="24"/>
        </w:rPr>
        <w:t>’</w:t>
      </w:r>
      <w:r w:rsidRPr="00EE1A30">
        <w:rPr>
          <w:szCs w:val="24"/>
        </w:rPr>
        <w:t xml:space="preserve"> </w:t>
      </w:r>
      <w:r w:rsidR="00AA6117" w:rsidRPr="00EE1A30">
        <w:rPr>
          <w:szCs w:val="24"/>
        </w:rPr>
        <w:t xml:space="preserve">equates </w:t>
      </w:r>
      <w:r w:rsidRPr="00EE1A30">
        <w:rPr>
          <w:szCs w:val="24"/>
        </w:rPr>
        <w:t xml:space="preserve">to 1 determination in the year. </w:t>
      </w:r>
    </w:p>
    <w:p w14:paraId="769AECDF" w14:textId="77777777" w:rsidR="00D2705B" w:rsidRPr="00EE1A30" w:rsidRDefault="00D2705B" w:rsidP="000840F3">
      <w:pPr>
        <w:autoSpaceDE w:val="0"/>
        <w:autoSpaceDN w:val="0"/>
        <w:adjustRightInd w:val="0"/>
        <w:spacing w:after="0"/>
        <w:jc w:val="both"/>
        <w:rPr>
          <w:szCs w:val="24"/>
        </w:rPr>
      </w:pPr>
    </w:p>
    <w:p w14:paraId="307E2E7C" w14:textId="77777777" w:rsidR="00D2705B" w:rsidRPr="00EE1A30" w:rsidRDefault="00D2705B" w:rsidP="000840F3">
      <w:pPr>
        <w:autoSpaceDE w:val="0"/>
        <w:autoSpaceDN w:val="0"/>
        <w:adjustRightInd w:val="0"/>
        <w:spacing w:after="0"/>
        <w:jc w:val="both"/>
      </w:pPr>
      <w:r w:rsidRPr="00EE1A30">
        <w:rPr>
          <w:szCs w:val="24"/>
        </w:rPr>
        <w:t xml:space="preserve">Cycle is the period (years) between the years when monitoring is undertaken within the 6 year planning cycle. For example, </w:t>
      </w:r>
      <w:r w:rsidR="00AA6117" w:rsidRPr="00EE1A30">
        <w:rPr>
          <w:szCs w:val="24"/>
        </w:rPr>
        <w:t>‘</w:t>
      </w:r>
      <w:r w:rsidRPr="00EE1A30">
        <w:rPr>
          <w:szCs w:val="24"/>
        </w:rPr>
        <w:t>1</w:t>
      </w:r>
      <w:r w:rsidR="00AA6117" w:rsidRPr="00EE1A30">
        <w:rPr>
          <w:szCs w:val="24"/>
        </w:rPr>
        <w:t>’</w:t>
      </w:r>
      <w:r w:rsidRPr="00EE1A30">
        <w:rPr>
          <w:szCs w:val="24"/>
        </w:rPr>
        <w:t xml:space="preserve"> indicates that the element will be monitored every year in the 6 year </w:t>
      </w:r>
      <w:r w:rsidRPr="00EE1A30">
        <w:rPr>
          <w:szCs w:val="24"/>
        </w:rPr>
        <w:lastRenderedPageBreak/>
        <w:t xml:space="preserve">cycle, </w:t>
      </w:r>
      <w:r w:rsidR="00AA6117" w:rsidRPr="00EE1A30">
        <w:rPr>
          <w:szCs w:val="24"/>
        </w:rPr>
        <w:t>’</w:t>
      </w:r>
      <w:r w:rsidRPr="00EE1A30">
        <w:rPr>
          <w:szCs w:val="24"/>
        </w:rPr>
        <w:t>2</w:t>
      </w:r>
      <w:r w:rsidR="00AA6117" w:rsidRPr="00EE1A30">
        <w:rPr>
          <w:szCs w:val="24"/>
        </w:rPr>
        <w:t>’</w:t>
      </w:r>
      <w:r w:rsidRPr="00EE1A30">
        <w:rPr>
          <w:szCs w:val="24"/>
        </w:rPr>
        <w:t xml:space="preserve"> </w:t>
      </w:r>
      <w:r w:rsidR="00AA6117" w:rsidRPr="00EE1A30">
        <w:rPr>
          <w:szCs w:val="24"/>
        </w:rPr>
        <w:t xml:space="preserve">is </w:t>
      </w:r>
      <w:r w:rsidRPr="00EE1A30">
        <w:rPr>
          <w:szCs w:val="24"/>
        </w:rPr>
        <w:t>once every 2 years (i.e. 3 times in the cycle)</w:t>
      </w:r>
      <w:r w:rsidR="00AA6117" w:rsidRPr="00EE1A30">
        <w:rPr>
          <w:szCs w:val="24"/>
        </w:rPr>
        <w:t>,</w:t>
      </w:r>
      <w:r w:rsidRPr="00EE1A30">
        <w:rPr>
          <w:szCs w:val="24"/>
        </w:rPr>
        <w:t xml:space="preserve"> and </w:t>
      </w:r>
      <w:r w:rsidR="00AA6117" w:rsidRPr="00EE1A30">
        <w:rPr>
          <w:szCs w:val="24"/>
        </w:rPr>
        <w:t>’</w:t>
      </w:r>
      <w:r w:rsidRPr="00EE1A30">
        <w:rPr>
          <w:szCs w:val="24"/>
        </w:rPr>
        <w:t>3</w:t>
      </w:r>
      <w:r w:rsidR="00AA6117" w:rsidRPr="00EE1A30">
        <w:rPr>
          <w:szCs w:val="24"/>
        </w:rPr>
        <w:t xml:space="preserve">’ is </w:t>
      </w:r>
      <w:r w:rsidRPr="00EE1A30">
        <w:rPr>
          <w:szCs w:val="24"/>
        </w:rPr>
        <w:t xml:space="preserve">once every 3 years (i.e. twice in the cycle). </w:t>
      </w:r>
      <w:r w:rsidR="00AA6117" w:rsidRPr="00EE1A30">
        <w:t>’</w:t>
      </w:r>
      <w:r w:rsidRPr="00EE1A30">
        <w:t>0</w:t>
      </w:r>
      <w:r w:rsidR="00AA6117" w:rsidRPr="00EE1A30">
        <w:t>’</w:t>
      </w:r>
      <w:r w:rsidRPr="00EE1A30">
        <w:t xml:space="preserve"> </w:t>
      </w:r>
      <w:r w:rsidR="00AA6117" w:rsidRPr="00EE1A30">
        <w:t>should be used to indicate</w:t>
      </w:r>
      <w:r w:rsidRPr="00EE1A30">
        <w:t xml:space="preserve"> that the </w:t>
      </w:r>
      <w:r w:rsidR="00AA6117" w:rsidRPr="00EE1A30">
        <w:t xml:space="preserve">monitoring </w:t>
      </w:r>
      <w:r w:rsidRPr="00EE1A30">
        <w:t xml:space="preserve">programme will be implemented </w:t>
      </w:r>
      <w:r w:rsidR="00751336" w:rsidRPr="00EE1A30">
        <w:t>once per cycle</w:t>
      </w:r>
      <w:r w:rsidR="00AA6117" w:rsidRPr="00EE1A30">
        <w:t xml:space="preserve"> </w:t>
      </w:r>
      <w:r w:rsidRPr="00EE1A30">
        <w:t>and</w:t>
      </w:r>
      <w:r w:rsidR="00AA6117" w:rsidRPr="00EE1A30">
        <w:t>,</w:t>
      </w:r>
      <w:r w:rsidRPr="00EE1A30">
        <w:t xml:space="preserve"> depending on the results, future monitoring will be decided.</w:t>
      </w:r>
    </w:p>
    <w:p w14:paraId="73CA0E1B" w14:textId="77777777" w:rsidR="00D2705B" w:rsidRPr="00EE1A30" w:rsidRDefault="00D2705B" w:rsidP="000840F3">
      <w:pPr>
        <w:autoSpaceDE w:val="0"/>
        <w:autoSpaceDN w:val="0"/>
        <w:adjustRightInd w:val="0"/>
        <w:spacing w:after="0"/>
        <w:jc w:val="both"/>
      </w:pPr>
    </w:p>
    <w:p w14:paraId="298C1174" w14:textId="77777777" w:rsidR="00D2705B" w:rsidRPr="00EE1A30" w:rsidRDefault="00D2705B" w:rsidP="000840F3">
      <w:pPr>
        <w:jc w:val="both"/>
        <w:rPr>
          <w:color w:val="000000"/>
          <w:sz w:val="22"/>
          <w:szCs w:val="22"/>
          <w:lang w:eastAsia="en-GB"/>
        </w:rPr>
      </w:pPr>
      <w:r w:rsidRPr="00EE1A30">
        <w:rPr>
          <w:szCs w:val="24"/>
        </w:rPr>
        <w:t>Some QEs (</w:t>
      </w:r>
      <w:r w:rsidR="00AA6117" w:rsidRPr="00EE1A30">
        <w:rPr>
          <w:szCs w:val="24"/>
        </w:rPr>
        <w:t>e.g.</w:t>
      </w:r>
      <w:r w:rsidR="006B7605" w:rsidRPr="00EE1A30">
        <w:rPr>
          <w:color w:val="000000"/>
          <w:sz w:val="22"/>
          <w:szCs w:val="22"/>
          <w:lang w:eastAsia="en-GB"/>
        </w:rPr>
        <w:t xml:space="preserve"> QE2-1 Hydrological regime: rivers</w:t>
      </w:r>
      <w:r w:rsidRPr="00EE1A30">
        <w:rPr>
          <w:szCs w:val="24"/>
        </w:rPr>
        <w:t xml:space="preserve">) </w:t>
      </w:r>
      <w:r w:rsidR="00E52D2C" w:rsidRPr="00EE1A30">
        <w:rPr>
          <w:szCs w:val="24"/>
        </w:rPr>
        <w:t xml:space="preserve">or parameters (e.g. groundwater level) </w:t>
      </w:r>
      <w:r w:rsidRPr="00EE1A30">
        <w:rPr>
          <w:szCs w:val="24"/>
        </w:rPr>
        <w:t xml:space="preserve">are measured continuously. In these cases, enter </w:t>
      </w:r>
      <w:r w:rsidR="00AA6117" w:rsidRPr="00EE1A30">
        <w:rPr>
          <w:szCs w:val="24"/>
        </w:rPr>
        <w:t>‘</w:t>
      </w:r>
      <w:r w:rsidRPr="00EE1A30">
        <w:rPr>
          <w:szCs w:val="24"/>
        </w:rPr>
        <w:t>365</w:t>
      </w:r>
      <w:r w:rsidR="00AA6117" w:rsidRPr="00EE1A30">
        <w:rPr>
          <w:szCs w:val="24"/>
        </w:rPr>
        <w:t>’</w:t>
      </w:r>
      <w:r w:rsidRPr="00EE1A30">
        <w:rPr>
          <w:szCs w:val="24"/>
        </w:rPr>
        <w:t xml:space="preserve"> in the </w:t>
      </w:r>
      <w:r w:rsidR="00AA6117" w:rsidRPr="00EE1A30">
        <w:rPr>
          <w:szCs w:val="24"/>
        </w:rPr>
        <w:t>F</w:t>
      </w:r>
      <w:r w:rsidRPr="00EE1A30">
        <w:rPr>
          <w:szCs w:val="24"/>
        </w:rPr>
        <w:t xml:space="preserve">requency element and </w:t>
      </w:r>
      <w:r w:rsidR="00AA6117" w:rsidRPr="00EE1A30">
        <w:rPr>
          <w:szCs w:val="24"/>
        </w:rPr>
        <w:t>‘</w:t>
      </w:r>
      <w:r w:rsidRPr="00EE1A30">
        <w:rPr>
          <w:szCs w:val="24"/>
        </w:rPr>
        <w:t>1</w:t>
      </w:r>
      <w:r w:rsidR="00AA6117" w:rsidRPr="00EE1A30">
        <w:rPr>
          <w:szCs w:val="24"/>
        </w:rPr>
        <w:t>’</w:t>
      </w:r>
      <w:r w:rsidRPr="00EE1A30">
        <w:rPr>
          <w:szCs w:val="24"/>
        </w:rPr>
        <w:t xml:space="preserve"> in the </w:t>
      </w:r>
      <w:r w:rsidR="00AA6117" w:rsidRPr="00EE1A30">
        <w:rPr>
          <w:szCs w:val="24"/>
        </w:rPr>
        <w:t>C</w:t>
      </w:r>
      <w:r w:rsidRPr="00EE1A30">
        <w:rPr>
          <w:szCs w:val="24"/>
        </w:rPr>
        <w:t>ycle element.</w:t>
      </w:r>
    </w:p>
    <w:p w14:paraId="7D865B57" w14:textId="77777777" w:rsidR="00D2705B" w:rsidRPr="00EE1A30" w:rsidRDefault="00D2705B" w:rsidP="000840F3">
      <w:pPr>
        <w:jc w:val="both"/>
      </w:pPr>
      <w:r w:rsidRPr="00EE1A30">
        <w:t>Some examples are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696"/>
        <w:gridCol w:w="5156"/>
      </w:tblGrid>
      <w:tr w:rsidR="00D2705B" w:rsidRPr="00EE1A30" w14:paraId="1DD3E376" w14:textId="77777777" w:rsidTr="00C765A9">
        <w:tc>
          <w:tcPr>
            <w:tcW w:w="2832" w:type="dxa"/>
            <w:shd w:val="clear" w:color="auto" w:fill="auto"/>
          </w:tcPr>
          <w:p w14:paraId="266B0E65" w14:textId="77777777" w:rsidR="00D2705B" w:rsidRPr="00EE1A30" w:rsidRDefault="00AA6117" w:rsidP="000840F3">
            <w:pPr>
              <w:autoSpaceDE w:val="0"/>
              <w:autoSpaceDN w:val="0"/>
              <w:adjustRightInd w:val="0"/>
              <w:spacing w:after="0"/>
              <w:jc w:val="both"/>
              <w:rPr>
                <w:b/>
                <w:bCs/>
                <w:sz w:val="22"/>
                <w:szCs w:val="22"/>
              </w:rPr>
            </w:pPr>
            <w:r w:rsidRPr="00EE1A30">
              <w:rPr>
                <w:b/>
                <w:bCs/>
                <w:sz w:val="22"/>
                <w:szCs w:val="22"/>
              </w:rPr>
              <w:t xml:space="preserve">Frequency </w:t>
            </w:r>
          </w:p>
        </w:tc>
        <w:tc>
          <w:tcPr>
            <w:tcW w:w="1732" w:type="dxa"/>
            <w:shd w:val="clear" w:color="auto" w:fill="auto"/>
          </w:tcPr>
          <w:p w14:paraId="741400D8" w14:textId="77777777" w:rsidR="00D2705B" w:rsidRPr="00EE1A30" w:rsidRDefault="00AA6117" w:rsidP="000840F3">
            <w:pPr>
              <w:autoSpaceDE w:val="0"/>
              <w:autoSpaceDN w:val="0"/>
              <w:adjustRightInd w:val="0"/>
              <w:jc w:val="both"/>
              <w:rPr>
                <w:b/>
                <w:bCs/>
                <w:sz w:val="22"/>
                <w:szCs w:val="22"/>
              </w:rPr>
            </w:pPr>
            <w:r w:rsidRPr="00EE1A30">
              <w:rPr>
                <w:b/>
                <w:bCs/>
                <w:sz w:val="22"/>
                <w:szCs w:val="22"/>
              </w:rPr>
              <w:t xml:space="preserve">Cycle </w:t>
            </w:r>
          </w:p>
        </w:tc>
        <w:tc>
          <w:tcPr>
            <w:tcW w:w="5289" w:type="dxa"/>
            <w:shd w:val="clear" w:color="auto" w:fill="auto"/>
          </w:tcPr>
          <w:p w14:paraId="3E715B99" w14:textId="77777777" w:rsidR="00D2705B" w:rsidRPr="00EE1A30" w:rsidRDefault="00AA6117" w:rsidP="000840F3">
            <w:pPr>
              <w:autoSpaceDE w:val="0"/>
              <w:autoSpaceDN w:val="0"/>
              <w:adjustRightInd w:val="0"/>
              <w:jc w:val="both"/>
              <w:rPr>
                <w:b/>
                <w:bCs/>
                <w:sz w:val="22"/>
                <w:szCs w:val="22"/>
              </w:rPr>
            </w:pPr>
            <w:r w:rsidRPr="00EE1A30">
              <w:rPr>
                <w:b/>
                <w:bCs/>
                <w:sz w:val="22"/>
                <w:szCs w:val="22"/>
              </w:rPr>
              <w:t>Description</w:t>
            </w:r>
          </w:p>
        </w:tc>
      </w:tr>
      <w:tr w:rsidR="00D2705B" w:rsidRPr="00EE1A30" w14:paraId="5A5E3313" w14:textId="77777777" w:rsidTr="00C765A9">
        <w:tc>
          <w:tcPr>
            <w:tcW w:w="2832" w:type="dxa"/>
            <w:shd w:val="clear" w:color="auto" w:fill="auto"/>
          </w:tcPr>
          <w:p w14:paraId="64C9E867" w14:textId="77777777" w:rsidR="00D2705B" w:rsidRPr="00EE1A30" w:rsidRDefault="00D2705B" w:rsidP="000840F3">
            <w:pPr>
              <w:autoSpaceDE w:val="0"/>
              <w:autoSpaceDN w:val="0"/>
              <w:adjustRightInd w:val="0"/>
              <w:spacing w:after="0"/>
              <w:jc w:val="both"/>
              <w:rPr>
                <w:sz w:val="22"/>
                <w:szCs w:val="22"/>
              </w:rPr>
            </w:pPr>
            <w:r w:rsidRPr="00EE1A30">
              <w:rPr>
                <w:sz w:val="22"/>
                <w:szCs w:val="22"/>
              </w:rPr>
              <w:t xml:space="preserve">12 </w:t>
            </w:r>
          </w:p>
        </w:tc>
        <w:tc>
          <w:tcPr>
            <w:tcW w:w="1732" w:type="dxa"/>
            <w:shd w:val="clear" w:color="auto" w:fill="auto"/>
          </w:tcPr>
          <w:p w14:paraId="30E59CA6" w14:textId="77777777" w:rsidR="006C2522" w:rsidRDefault="00D2705B" w:rsidP="000840F3">
            <w:pPr>
              <w:autoSpaceDE w:val="0"/>
              <w:autoSpaceDN w:val="0"/>
              <w:adjustRightInd w:val="0"/>
              <w:jc w:val="both"/>
              <w:rPr>
                <w:sz w:val="22"/>
                <w:szCs w:val="22"/>
              </w:rPr>
            </w:pPr>
            <w:r w:rsidRPr="00EE1A30">
              <w:rPr>
                <w:sz w:val="22"/>
                <w:szCs w:val="22"/>
              </w:rPr>
              <w:t xml:space="preserve">1 </w:t>
            </w:r>
          </w:p>
        </w:tc>
        <w:tc>
          <w:tcPr>
            <w:tcW w:w="5289" w:type="dxa"/>
            <w:shd w:val="clear" w:color="auto" w:fill="auto"/>
          </w:tcPr>
          <w:p w14:paraId="73B74EFD" w14:textId="77777777" w:rsidR="006C2522" w:rsidRDefault="00D2705B" w:rsidP="000840F3">
            <w:pPr>
              <w:autoSpaceDE w:val="0"/>
              <w:autoSpaceDN w:val="0"/>
              <w:adjustRightInd w:val="0"/>
              <w:jc w:val="both"/>
              <w:rPr>
                <w:sz w:val="22"/>
                <w:szCs w:val="22"/>
              </w:rPr>
            </w:pPr>
            <w:r w:rsidRPr="00EE1A30">
              <w:rPr>
                <w:sz w:val="22"/>
                <w:szCs w:val="22"/>
              </w:rPr>
              <w:t>The element is determined monthly every year</w:t>
            </w:r>
          </w:p>
        </w:tc>
      </w:tr>
      <w:tr w:rsidR="00D2705B" w:rsidRPr="00EE1A30" w14:paraId="1F2C3F60" w14:textId="77777777" w:rsidTr="00C765A9">
        <w:tc>
          <w:tcPr>
            <w:tcW w:w="2832" w:type="dxa"/>
            <w:shd w:val="clear" w:color="auto" w:fill="auto"/>
          </w:tcPr>
          <w:p w14:paraId="6ADA40C8" w14:textId="77777777" w:rsidR="006C2522" w:rsidRDefault="00D2705B" w:rsidP="000840F3">
            <w:pPr>
              <w:autoSpaceDE w:val="0"/>
              <w:autoSpaceDN w:val="0"/>
              <w:adjustRightInd w:val="0"/>
              <w:spacing w:after="0"/>
              <w:jc w:val="both"/>
              <w:rPr>
                <w:sz w:val="22"/>
                <w:szCs w:val="22"/>
              </w:rPr>
            </w:pPr>
            <w:r w:rsidRPr="00EE1A30">
              <w:rPr>
                <w:sz w:val="22"/>
                <w:szCs w:val="22"/>
              </w:rPr>
              <w:t xml:space="preserve">1 </w:t>
            </w:r>
          </w:p>
        </w:tc>
        <w:tc>
          <w:tcPr>
            <w:tcW w:w="1732" w:type="dxa"/>
            <w:shd w:val="clear" w:color="auto" w:fill="auto"/>
          </w:tcPr>
          <w:p w14:paraId="51F4338A" w14:textId="77777777" w:rsidR="006C2522" w:rsidRDefault="00D2705B" w:rsidP="000840F3">
            <w:pPr>
              <w:autoSpaceDE w:val="0"/>
              <w:autoSpaceDN w:val="0"/>
              <w:adjustRightInd w:val="0"/>
              <w:jc w:val="both"/>
              <w:rPr>
                <w:sz w:val="22"/>
                <w:szCs w:val="22"/>
              </w:rPr>
            </w:pPr>
            <w:r w:rsidRPr="00EE1A30">
              <w:rPr>
                <w:sz w:val="22"/>
                <w:szCs w:val="22"/>
              </w:rPr>
              <w:t xml:space="preserve">2 </w:t>
            </w:r>
          </w:p>
        </w:tc>
        <w:tc>
          <w:tcPr>
            <w:tcW w:w="5289" w:type="dxa"/>
            <w:shd w:val="clear" w:color="auto" w:fill="auto"/>
          </w:tcPr>
          <w:p w14:paraId="206A0AC7" w14:textId="77777777" w:rsidR="006C2522" w:rsidRDefault="00D2705B" w:rsidP="000840F3">
            <w:pPr>
              <w:autoSpaceDE w:val="0"/>
              <w:autoSpaceDN w:val="0"/>
              <w:adjustRightInd w:val="0"/>
              <w:jc w:val="both"/>
              <w:rPr>
                <w:sz w:val="22"/>
                <w:szCs w:val="22"/>
              </w:rPr>
            </w:pPr>
            <w:r w:rsidRPr="00EE1A30">
              <w:rPr>
                <w:sz w:val="22"/>
                <w:szCs w:val="22"/>
              </w:rPr>
              <w:t>The element is determined once every two years</w:t>
            </w:r>
          </w:p>
        </w:tc>
      </w:tr>
      <w:tr w:rsidR="00D2705B" w:rsidRPr="00EE1A30" w14:paraId="526A0AC3" w14:textId="77777777" w:rsidTr="00C765A9">
        <w:tc>
          <w:tcPr>
            <w:tcW w:w="2832" w:type="dxa"/>
            <w:shd w:val="clear" w:color="auto" w:fill="auto"/>
          </w:tcPr>
          <w:p w14:paraId="7F87F97F" w14:textId="77777777" w:rsidR="006C2522" w:rsidRDefault="00D2705B" w:rsidP="000840F3">
            <w:pPr>
              <w:autoSpaceDE w:val="0"/>
              <w:autoSpaceDN w:val="0"/>
              <w:adjustRightInd w:val="0"/>
              <w:spacing w:after="0"/>
              <w:jc w:val="both"/>
              <w:rPr>
                <w:sz w:val="22"/>
                <w:szCs w:val="22"/>
              </w:rPr>
            </w:pPr>
            <w:r w:rsidRPr="00EE1A30">
              <w:rPr>
                <w:sz w:val="22"/>
                <w:szCs w:val="22"/>
              </w:rPr>
              <w:t xml:space="preserve">12 </w:t>
            </w:r>
          </w:p>
        </w:tc>
        <w:tc>
          <w:tcPr>
            <w:tcW w:w="1732" w:type="dxa"/>
            <w:shd w:val="clear" w:color="auto" w:fill="auto"/>
          </w:tcPr>
          <w:p w14:paraId="1E7B831C" w14:textId="77777777" w:rsidR="006C2522" w:rsidRDefault="00D2705B" w:rsidP="000840F3">
            <w:pPr>
              <w:autoSpaceDE w:val="0"/>
              <w:autoSpaceDN w:val="0"/>
              <w:adjustRightInd w:val="0"/>
              <w:jc w:val="both"/>
              <w:rPr>
                <w:sz w:val="22"/>
                <w:szCs w:val="22"/>
              </w:rPr>
            </w:pPr>
            <w:r w:rsidRPr="00EE1A30">
              <w:rPr>
                <w:sz w:val="22"/>
                <w:szCs w:val="22"/>
              </w:rPr>
              <w:t xml:space="preserve">0 </w:t>
            </w:r>
          </w:p>
        </w:tc>
        <w:tc>
          <w:tcPr>
            <w:tcW w:w="5289" w:type="dxa"/>
            <w:shd w:val="clear" w:color="auto" w:fill="auto"/>
          </w:tcPr>
          <w:p w14:paraId="03619A53" w14:textId="77777777" w:rsidR="006C2522" w:rsidRDefault="00D2705B" w:rsidP="000840F3">
            <w:pPr>
              <w:autoSpaceDE w:val="0"/>
              <w:autoSpaceDN w:val="0"/>
              <w:adjustRightInd w:val="0"/>
              <w:jc w:val="both"/>
              <w:rPr>
                <w:sz w:val="22"/>
                <w:szCs w:val="22"/>
              </w:rPr>
            </w:pPr>
            <w:r w:rsidRPr="00EE1A30">
              <w:rPr>
                <w:sz w:val="22"/>
                <w:szCs w:val="22"/>
              </w:rPr>
              <w:t>The element is determined monthly for one year only (i.e. the cycle is not repeated)</w:t>
            </w:r>
          </w:p>
        </w:tc>
      </w:tr>
      <w:tr w:rsidR="00751336" w:rsidRPr="00EE1A30" w14:paraId="7329C1A2" w14:textId="77777777" w:rsidTr="00C765A9">
        <w:tc>
          <w:tcPr>
            <w:tcW w:w="2832" w:type="dxa"/>
            <w:shd w:val="clear" w:color="auto" w:fill="auto"/>
          </w:tcPr>
          <w:p w14:paraId="492BC5EA" w14:textId="77777777" w:rsidR="006C2522" w:rsidRDefault="00751336" w:rsidP="000840F3">
            <w:pPr>
              <w:autoSpaceDE w:val="0"/>
              <w:autoSpaceDN w:val="0"/>
              <w:adjustRightInd w:val="0"/>
              <w:spacing w:after="0"/>
              <w:jc w:val="both"/>
              <w:rPr>
                <w:sz w:val="22"/>
                <w:szCs w:val="22"/>
              </w:rPr>
            </w:pPr>
            <w:r w:rsidRPr="00EE1A30">
              <w:rPr>
                <w:sz w:val="22"/>
                <w:szCs w:val="22"/>
              </w:rPr>
              <w:t>365</w:t>
            </w:r>
          </w:p>
        </w:tc>
        <w:tc>
          <w:tcPr>
            <w:tcW w:w="1732" w:type="dxa"/>
            <w:shd w:val="clear" w:color="auto" w:fill="auto"/>
          </w:tcPr>
          <w:p w14:paraId="2F546B24" w14:textId="77777777" w:rsidR="006C2522" w:rsidRDefault="00751336" w:rsidP="000840F3">
            <w:pPr>
              <w:autoSpaceDE w:val="0"/>
              <w:autoSpaceDN w:val="0"/>
              <w:adjustRightInd w:val="0"/>
              <w:jc w:val="both"/>
              <w:rPr>
                <w:sz w:val="22"/>
                <w:szCs w:val="22"/>
              </w:rPr>
            </w:pPr>
            <w:r w:rsidRPr="00EE1A30">
              <w:rPr>
                <w:sz w:val="22"/>
                <w:szCs w:val="22"/>
              </w:rPr>
              <w:t>1</w:t>
            </w:r>
          </w:p>
        </w:tc>
        <w:tc>
          <w:tcPr>
            <w:tcW w:w="5289" w:type="dxa"/>
            <w:shd w:val="clear" w:color="auto" w:fill="auto"/>
          </w:tcPr>
          <w:p w14:paraId="549F0258" w14:textId="77777777" w:rsidR="006C2522" w:rsidRDefault="00751336" w:rsidP="000840F3">
            <w:pPr>
              <w:autoSpaceDE w:val="0"/>
              <w:autoSpaceDN w:val="0"/>
              <w:adjustRightInd w:val="0"/>
              <w:jc w:val="both"/>
              <w:rPr>
                <w:sz w:val="22"/>
                <w:szCs w:val="22"/>
              </w:rPr>
            </w:pPr>
            <w:r w:rsidRPr="00EE1A30">
              <w:rPr>
                <w:sz w:val="22"/>
                <w:szCs w:val="22"/>
              </w:rPr>
              <w:t xml:space="preserve">The element is determined daily every year </w:t>
            </w:r>
            <w:r w:rsidR="002F21F2" w:rsidRPr="00EE1A30">
              <w:rPr>
                <w:sz w:val="22"/>
                <w:szCs w:val="22"/>
              </w:rPr>
              <w:t xml:space="preserve">or continuously </w:t>
            </w:r>
            <w:r w:rsidRPr="00EE1A30">
              <w:rPr>
                <w:sz w:val="22"/>
                <w:szCs w:val="22"/>
              </w:rPr>
              <w:t>(e</w:t>
            </w:r>
            <w:r w:rsidR="00AA6117" w:rsidRPr="00EE1A30">
              <w:rPr>
                <w:sz w:val="22"/>
                <w:szCs w:val="22"/>
              </w:rPr>
              <w:t>.g.</w:t>
            </w:r>
            <w:r w:rsidRPr="00EE1A30">
              <w:rPr>
                <w:sz w:val="22"/>
                <w:szCs w:val="22"/>
              </w:rPr>
              <w:t xml:space="preserve"> water table level</w:t>
            </w:r>
            <w:r w:rsidR="002F21F2" w:rsidRPr="00EE1A30">
              <w:rPr>
                <w:sz w:val="22"/>
                <w:szCs w:val="22"/>
              </w:rPr>
              <w:t xml:space="preserve"> or river flow</w:t>
            </w:r>
            <w:r w:rsidRPr="00EE1A30">
              <w:rPr>
                <w:sz w:val="22"/>
                <w:szCs w:val="22"/>
              </w:rPr>
              <w:t xml:space="preserve">) </w:t>
            </w:r>
          </w:p>
        </w:tc>
      </w:tr>
    </w:tbl>
    <w:p w14:paraId="45A58C64" w14:textId="77777777" w:rsidR="00BE6C87" w:rsidRPr="00716243" w:rsidRDefault="00BE6C87" w:rsidP="00751B06">
      <w:pPr>
        <w:jc w:val="both"/>
        <w:rPr>
          <w:lang w:val="pt-PT"/>
        </w:rPr>
      </w:pPr>
    </w:p>
    <w:sectPr w:rsidR="00BE6C87" w:rsidRPr="00716243" w:rsidSect="00751B06">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BB2E" w14:textId="77777777" w:rsidR="00BD4E1A" w:rsidRDefault="00BD4E1A" w:rsidP="00FD025B">
      <w:pPr>
        <w:spacing w:after="0"/>
      </w:pPr>
      <w:r>
        <w:separator/>
      </w:r>
    </w:p>
  </w:endnote>
  <w:endnote w:type="continuationSeparator" w:id="0">
    <w:p w14:paraId="47BE6F88" w14:textId="77777777" w:rsidR="00BD4E1A" w:rsidRDefault="00BD4E1A" w:rsidP="00FD025B">
      <w:pPr>
        <w:spacing w:after="0"/>
      </w:pPr>
      <w:r>
        <w:continuationSeparator/>
      </w:r>
    </w:p>
  </w:endnote>
  <w:endnote w:type="continuationNotice" w:id="1">
    <w:p w14:paraId="235FCD2E" w14:textId="77777777" w:rsidR="00BD4E1A" w:rsidRDefault="00BD4E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FEB5" w14:textId="77777777" w:rsidR="00BD4E1A" w:rsidRDefault="00BD4E1A" w:rsidP="00FD025B">
      <w:pPr>
        <w:spacing w:after="0"/>
      </w:pPr>
      <w:r>
        <w:separator/>
      </w:r>
    </w:p>
  </w:footnote>
  <w:footnote w:type="continuationSeparator" w:id="0">
    <w:p w14:paraId="38B55D0F" w14:textId="77777777" w:rsidR="00BD4E1A" w:rsidRDefault="00BD4E1A" w:rsidP="00FD025B">
      <w:pPr>
        <w:spacing w:after="0"/>
      </w:pPr>
      <w:r>
        <w:continuationSeparator/>
      </w:r>
    </w:p>
  </w:footnote>
  <w:footnote w:type="continuationNotice" w:id="1">
    <w:p w14:paraId="7C927FF7" w14:textId="77777777" w:rsidR="00BD4E1A" w:rsidRDefault="00BD4E1A">
      <w:pPr>
        <w:spacing w:after="0"/>
      </w:pPr>
    </w:p>
  </w:footnote>
  <w:footnote w:id="2">
    <w:p w14:paraId="50653EC5" w14:textId="77777777" w:rsidR="00AC2F4F" w:rsidRPr="00CB79D2" w:rsidRDefault="00AC2F4F">
      <w:pPr>
        <w:pStyle w:val="Textonotapie"/>
      </w:pPr>
      <w:r w:rsidRPr="00CB79D2">
        <w:rPr>
          <w:rStyle w:val="Refdenotaalpie"/>
        </w:rPr>
        <w:footnoteRef/>
      </w:r>
      <w:r w:rsidRPr="00CB79D2">
        <w:t xml:space="preserve"> </w:t>
      </w:r>
      <w:r w:rsidRPr="00CB79D2">
        <w:tab/>
      </w:r>
      <w:hyperlink r:id="rId1" w:history="1">
        <w:r w:rsidRPr="00CB79D2">
          <w:rPr>
            <w:rStyle w:val="Hipervnculo"/>
            <w:noProof w:val="0"/>
            <w:color w:val="auto"/>
          </w:rPr>
          <w:t>http://bookshop.europa.eu/en/technical-report-on-groundwater-dep</w:t>
        </w:r>
      </w:hyperlink>
      <w:r w:rsidRPr="00CB79D2">
        <w:t xml:space="preserve"> </w:t>
      </w:r>
    </w:p>
  </w:footnote>
  <w:footnote w:id="3">
    <w:p w14:paraId="5725FBBC" w14:textId="77777777" w:rsidR="00AC2F4F" w:rsidRPr="00CB79D2" w:rsidRDefault="00AC2F4F">
      <w:pPr>
        <w:pStyle w:val="Textonotapie"/>
      </w:pPr>
      <w:r w:rsidRPr="00CB79D2">
        <w:rPr>
          <w:rStyle w:val="Refdenotaalpie"/>
        </w:rPr>
        <w:footnoteRef/>
      </w:r>
      <w:r w:rsidRPr="00CB79D2">
        <w:t xml:space="preserve"> </w:t>
      </w:r>
      <w:r w:rsidRPr="00CB79D2">
        <w:tab/>
      </w:r>
      <w:hyperlink r:id="rId2" w:history="1">
        <w:r w:rsidRPr="00CB79D2">
          <w:rPr>
            <w:rStyle w:val="Hipervnculo"/>
            <w:noProof w:val="0"/>
            <w:color w:val="auto"/>
          </w:rPr>
          <w:t>http://eur-lex.europa.eu/legal-content/EN/TXT/?qid=1411979700659&amp;uri=CELEX:32009L0090</w:t>
        </w:r>
      </w:hyperlink>
      <w:r w:rsidRPr="00CB79D2">
        <w:t xml:space="preserve"> </w:t>
      </w:r>
    </w:p>
  </w:footnote>
  <w:footnote w:id="4">
    <w:p w14:paraId="673731E9" w14:textId="77777777" w:rsidR="00AC2F4F" w:rsidRPr="00CB79D2" w:rsidRDefault="00AC2F4F">
      <w:pPr>
        <w:pStyle w:val="Textonotapie"/>
      </w:pPr>
      <w:r w:rsidRPr="00CB79D2">
        <w:rPr>
          <w:rStyle w:val="Refdenotaalpie"/>
        </w:rPr>
        <w:footnoteRef/>
      </w:r>
      <w:r w:rsidRPr="00CB79D2">
        <w:t xml:space="preserve"> </w:t>
      </w:r>
      <w:r w:rsidRPr="00CB79D2">
        <w:tab/>
        <w:t>SEIS – shared environmental information systems – collect once use multiple times</w:t>
      </w:r>
    </w:p>
  </w:footnote>
  <w:footnote w:id="5">
    <w:p w14:paraId="4B82B6F3" w14:textId="77777777" w:rsidR="00AC2F4F" w:rsidRPr="00CB79D2" w:rsidRDefault="00AC2F4F">
      <w:pPr>
        <w:pStyle w:val="Textonotapie"/>
      </w:pPr>
      <w:r w:rsidRPr="00CB79D2">
        <w:rPr>
          <w:rStyle w:val="Refdenotaalpie"/>
        </w:rPr>
        <w:footnoteRef/>
      </w:r>
      <w:r>
        <w:t xml:space="preserve"> </w:t>
      </w:r>
      <w:hyperlink r:id="rId3" w:history="1">
        <w:r w:rsidRPr="00CB79D2">
          <w:rPr>
            <w:rStyle w:val="Hipervnculo"/>
            <w:noProof w:val="0"/>
            <w:color w:val="auto"/>
          </w:rPr>
          <w:t>http://icm.eionet.europa.eu/ETC_Reports/EcoChemStatusPressInEurWaters_201211/Ecological_and_chemical_status_and_pressures_ETC_13112012_Published.pdf</w:t>
        </w:r>
      </w:hyperlink>
      <w:r w:rsidRPr="00CB79D2">
        <w:t xml:space="preserve"> </w:t>
      </w:r>
    </w:p>
  </w:footnote>
  <w:footnote w:id="6">
    <w:p w14:paraId="70B1530E" w14:textId="77777777" w:rsidR="00AC2F4F" w:rsidRPr="00CB79D2" w:rsidRDefault="00AC2F4F">
      <w:pPr>
        <w:pStyle w:val="Textonotapie"/>
      </w:pPr>
      <w:r w:rsidRPr="00CB79D2">
        <w:rPr>
          <w:rStyle w:val="Refdenotaalpie"/>
        </w:rPr>
        <w:footnoteRef/>
      </w:r>
      <w:r w:rsidRPr="00CB79D2">
        <w:t xml:space="preserve"> </w:t>
      </w:r>
      <w:r w:rsidRPr="00CB79D2">
        <w:tab/>
        <w:t>http://rod.eionet.europa.eu/.</w:t>
      </w:r>
    </w:p>
  </w:footnote>
  <w:footnote w:id="7">
    <w:p w14:paraId="5DCC2490" w14:textId="77777777" w:rsidR="00AC2F4F" w:rsidRPr="00CB79D2" w:rsidRDefault="00AC2F4F">
      <w:pPr>
        <w:pStyle w:val="Textonotapie"/>
      </w:pPr>
      <w:r w:rsidRPr="00CB79D2">
        <w:rPr>
          <w:rStyle w:val="Refdenotaalpie"/>
        </w:rPr>
        <w:footnoteRef/>
      </w:r>
      <w:r w:rsidRPr="00CB79D2">
        <w:t xml:space="preserve"> </w:t>
      </w:r>
      <w:r w:rsidRPr="00CB79D2">
        <w:tab/>
        <w:t xml:space="preserve">Member State’s 2-alpha character ISO country code: </w:t>
      </w:r>
      <w:hyperlink r:id="rId4" w:history="1">
        <w:r w:rsidRPr="00CB79D2">
          <w:rPr>
            <w:rStyle w:val="Hipervnculo"/>
            <w:noProof w:val="0"/>
            <w:color w:val="auto"/>
          </w:rPr>
          <w:t>http://publications.europa.eu/code/en/en-370100.htm</w:t>
        </w:r>
      </w:hyperlink>
      <w:r w:rsidRPr="00CB79D2">
        <w:t xml:space="preserve"> (Note: for Greece use ‘EL’ and United Kingdom use ‘UK’)</w:t>
      </w:r>
    </w:p>
  </w:footnote>
  <w:footnote w:id="8">
    <w:p w14:paraId="7BA3987A" w14:textId="77777777" w:rsidR="00AC2F4F" w:rsidRPr="00CB79D2" w:rsidRDefault="00AC2F4F">
      <w:pPr>
        <w:pStyle w:val="Textonotapie"/>
      </w:pPr>
      <w:r w:rsidRPr="00CB79D2">
        <w:rPr>
          <w:rStyle w:val="Refdenotaalpie"/>
        </w:rPr>
        <w:footnoteRef/>
      </w:r>
      <w:r w:rsidRPr="00CB79D2">
        <w:t xml:space="preserve"> </w:t>
      </w:r>
      <w:r w:rsidRPr="00CB79D2">
        <w:tab/>
        <w:t>Please note that the multiplicity of the Class SWEcologicalMonitoring is 0 to many. Therefore, if there are no quality elements monitored at this site this whole class does not need to be reported.</w:t>
      </w:r>
    </w:p>
  </w:footnote>
  <w:footnote w:id="9">
    <w:p w14:paraId="4E1D7D4D" w14:textId="77777777" w:rsidR="00AC2F4F" w:rsidRPr="00CB79D2" w:rsidRDefault="00AC2F4F">
      <w:pPr>
        <w:pStyle w:val="Textonotapie"/>
      </w:pPr>
      <w:r w:rsidRPr="00CB79D2">
        <w:rPr>
          <w:rStyle w:val="Refdenotaalpie"/>
        </w:rPr>
        <w:footnoteRef/>
      </w:r>
      <w:r w:rsidRPr="00CB79D2">
        <w:t xml:space="preserve"> </w:t>
      </w:r>
      <w:r w:rsidRPr="00CB79D2">
        <w:tab/>
      </w:r>
      <w:hyperlink r:id="rId5" w:history="1">
        <w:r w:rsidRPr="00CB79D2">
          <w:rPr>
            <w:rStyle w:val="Hipervnculo"/>
            <w:noProof w:val="0"/>
            <w:color w:val="auto"/>
            <w:bdr w:val="none" w:sz="0" w:space="0" w:color="auto" w:frame="1"/>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hyperlink>
    </w:p>
  </w:footnote>
  <w:footnote w:id="10">
    <w:p w14:paraId="5C5CCBE9" w14:textId="77777777" w:rsidR="00AC2F4F" w:rsidRPr="00CB79D2" w:rsidRDefault="00AC2F4F">
      <w:pPr>
        <w:pStyle w:val="Textonotapie"/>
      </w:pPr>
      <w:r w:rsidRPr="00CB79D2">
        <w:rPr>
          <w:rStyle w:val="Refdenotaalpie"/>
        </w:rPr>
        <w:footnoteRef/>
      </w:r>
      <w:r w:rsidRPr="00CB79D2">
        <w:t xml:space="preserve"> </w:t>
      </w:r>
      <w:r w:rsidRPr="00CB79D2">
        <w:tab/>
      </w:r>
      <w:hyperlink r:id="rId6" w:history="1">
        <w:r w:rsidRPr="00CB79D2">
          <w:rPr>
            <w:rStyle w:val="Hipervnculo"/>
            <w:noProof w:val="0"/>
            <w:color w:val="auto"/>
            <w:bdr w:val="none" w:sz="0" w:space="0" w:color="auto" w:frame="1"/>
          </w:rPr>
          <w:t>Directive 2013/39/EU of the European Parliament and of the Council of 12 August 2013 amending Directives 2000/60/EC and 2008/105/EC as regards priority substances in the field of water policy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4C70F390"/>
    <w:lvl w:ilvl="0">
      <w:start w:val="4"/>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B06"/>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1FA5"/>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4E1A"/>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5CB12F-4343-4E66-9B31-10CBB2B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cm.eionet.europa.eu/ETC_Reports/EcoChemStatusPressInEurWaters_201211/Ecological_and_chemical_status_and_pressures_ETC_13112012_Published.pdf" TargetMode="External"/><Relationship Id="rId2" Type="http://schemas.openxmlformats.org/officeDocument/2006/relationships/hyperlink" Target="http://eur-lex.europa.eu/legal-content/EN/TXT/?qid=1411979700659&amp;uri=CELEX:32009L0090" TargetMode="External"/><Relationship Id="rId1" Type="http://schemas.openxmlformats.org/officeDocument/2006/relationships/hyperlink" Target="http://bookshop.europa.eu/en/technical-report-on-groundwater-dep" TargetMode="External"/><Relationship Id="rId6" Type="http://schemas.openxmlformats.org/officeDocument/2006/relationships/hyperlink" Target="http://eur-lex.europa.eu/legal-content/EN/TXT/?qid=1410784774193&amp;uri=CELEX:32013L0039" TargetMode="External"/><Relationship Id="rId5" Type="http://schemas.openxmlformats.org/officeDocument/2006/relationships/hyperlink" Target="http://eur-lex.europa.eu/legal-content/EN/TXT/?qid=1410784732488&amp;uri=CELEX:02008L0105-20130913" TargetMode="External"/><Relationship Id="rId4" Type="http://schemas.openxmlformats.org/officeDocument/2006/relationships/hyperlink" Target="http://publications.europa.eu/code/en/en-3701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B1CA0-1839-40AD-9D6C-F3022256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20</Pages>
  <Words>6685</Words>
  <Characters>36768</Characters>
  <Application>Microsoft Office Word</Application>
  <DocSecurity>0</DocSecurity>
  <PresentationFormat>Microsoft Word 14.0</PresentationFormat>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43367</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2019-02-04T10:26:00Z</dcterms:created>
  <dcterms:modified xsi:type="dcterms:W3CDTF">2019-02-04T10:27:00Z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