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C06" w:rsidRDefault="00723661" w:rsidP="00522C06">
      <w:pPr>
        <w:pStyle w:val="Heading1"/>
        <w:jc w:val="center"/>
        <w:rPr>
          <w:lang w:val="en-GB"/>
        </w:rPr>
      </w:pPr>
      <w:r>
        <w:rPr>
          <w:lang w:val="en-GB"/>
        </w:rPr>
        <w:t xml:space="preserve">DIKE TG and Marine Data and Observation Expert Group (MODEG) </w:t>
      </w:r>
    </w:p>
    <w:p w:rsidR="00CC3600" w:rsidRPr="00522C06" w:rsidRDefault="00723661" w:rsidP="00522C06">
      <w:pPr>
        <w:pStyle w:val="Heading1"/>
        <w:spacing w:before="0" w:line="240" w:lineRule="auto"/>
        <w:jc w:val="center"/>
        <w:rPr>
          <w:rFonts w:asciiTheme="minorHAnsi" w:hAnsiTheme="minorHAnsi" w:cstheme="minorHAnsi"/>
          <w:b w:val="0"/>
          <w:color w:val="000000" w:themeColor="text1"/>
          <w:sz w:val="22"/>
          <w:szCs w:val="22"/>
          <w:lang w:val="en-GB"/>
        </w:rPr>
      </w:pPr>
      <w:r w:rsidRPr="00522C06">
        <w:rPr>
          <w:rFonts w:asciiTheme="minorHAnsi" w:hAnsiTheme="minorHAnsi" w:cstheme="minorHAnsi"/>
          <w:b w:val="0"/>
          <w:color w:val="000000" w:themeColor="text1"/>
          <w:sz w:val="22"/>
          <w:szCs w:val="22"/>
          <w:lang w:val="en-GB"/>
        </w:rPr>
        <w:t>July 4</w:t>
      </w:r>
      <w:r w:rsidRPr="00522C06">
        <w:rPr>
          <w:rFonts w:asciiTheme="minorHAnsi" w:hAnsiTheme="minorHAnsi" w:cstheme="minorHAnsi"/>
          <w:b w:val="0"/>
          <w:color w:val="000000" w:themeColor="text1"/>
          <w:sz w:val="22"/>
          <w:szCs w:val="22"/>
          <w:vertAlign w:val="superscript"/>
          <w:lang w:val="en-GB"/>
        </w:rPr>
        <w:t>th</w:t>
      </w:r>
      <w:r w:rsidRPr="00522C06">
        <w:rPr>
          <w:rFonts w:asciiTheme="minorHAnsi" w:hAnsiTheme="minorHAnsi" w:cstheme="minorHAnsi"/>
          <w:b w:val="0"/>
          <w:color w:val="000000" w:themeColor="text1"/>
          <w:sz w:val="22"/>
          <w:szCs w:val="22"/>
          <w:lang w:val="en-GB"/>
        </w:rPr>
        <w:t xml:space="preserve"> and 5</w:t>
      </w:r>
      <w:r w:rsidRPr="00522C06">
        <w:rPr>
          <w:rFonts w:asciiTheme="minorHAnsi" w:hAnsiTheme="minorHAnsi" w:cstheme="minorHAnsi"/>
          <w:b w:val="0"/>
          <w:color w:val="000000" w:themeColor="text1"/>
          <w:sz w:val="22"/>
          <w:szCs w:val="22"/>
          <w:vertAlign w:val="superscript"/>
          <w:lang w:val="en-GB"/>
        </w:rPr>
        <w:t>th</w:t>
      </w:r>
    </w:p>
    <w:p w:rsidR="00723661" w:rsidRDefault="00723661" w:rsidP="00522C06">
      <w:pPr>
        <w:spacing w:after="0" w:line="240" w:lineRule="auto"/>
        <w:jc w:val="center"/>
        <w:rPr>
          <w:lang w:val="en-GB"/>
        </w:rPr>
      </w:pPr>
      <w:r>
        <w:rPr>
          <w:lang w:val="en-GB"/>
        </w:rPr>
        <w:t>European Environment Agency</w:t>
      </w:r>
    </w:p>
    <w:p w:rsidR="00723661" w:rsidRDefault="00723661" w:rsidP="00522C06">
      <w:pPr>
        <w:spacing w:after="0" w:line="240" w:lineRule="auto"/>
        <w:jc w:val="center"/>
        <w:rPr>
          <w:lang w:val="en-GB"/>
        </w:rPr>
      </w:pPr>
      <w:proofErr w:type="spellStart"/>
      <w:r>
        <w:rPr>
          <w:lang w:val="en-GB"/>
        </w:rPr>
        <w:t>Kgs</w:t>
      </w:r>
      <w:proofErr w:type="spellEnd"/>
      <w:r>
        <w:rPr>
          <w:lang w:val="en-GB"/>
        </w:rPr>
        <w:t xml:space="preserve"> </w:t>
      </w:r>
      <w:proofErr w:type="spellStart"/>
      <w:r>
        <w:rPr>
          <w:lang w:val="en-GB"/>
        </w:rPr>
        <w:t>Nytorv</w:t>
      </w:r>
      <w:proofErr w:type="spellEnd"/>
      <w:r>
        <w:rPr>
          <w:lang w:val="en-GB"/>
        </w:rPr>
        <w:t xml:space="preserve"> 6, Copenhagen</w:t>
      </w:r>
    </w:p>
    <w:p w:rsidR="00522C06" w:rsidRPr="00723661" w:rsidRDefault="00522C06" w:rsidP="00522C06">
      <w:pPr>
        <w:spacing w:after="0" w:line="240" w:lineRule="auto"/>
        <w:jc w:val="center"/>
        <w:rPr>
          <w:lang w:val="en-GB"/>
        </w:rPr>
      </w:pPr>
      <w:r>
        <w:rPr>
          <w:lang w:val="en-GB"/>
        </w:rPr>
        <w:t>Conference room</w:t>
      </w:r>
    </w:p>
    <w:p w:rsidR="00522C06" w:rsidRDefault="00522C06" w:rsidP="00723661">
      <w:pPr>
        <w:rPr>
          <w:i/>
          <w:lang w:val="en-GB"/>
        </w:rPr>
      </w:pPr>
    </w:p>
    <w:p w:rsidR="00723661" w:rsidRPr="008A3621" w:rsidRDefault="00723661" w:rsidP="00723661">
      <w:pPr>
        <w:rPr>
          <w:i/>
          <w:lang w:val="en-GB"/>
        </w:rPr>
      </w:pPr>
      <w:r w:rsidRPr="008A3621">
        <w:rPr>
          <w:i/>
          <w:lang w:val="en-GB"/>
        </w:rPr>
        <w:t>Members of M</w:t>
      </w:r>
      <w:r>
        <w:rPr>
          <w:i/>
          <w:lang w:val="en-GB"/>
        </w:rPr>
        <w:t>ODEG</w:t>
      </w:r>
      <w:r w:rsidRPr="008A3621">
        <w:rPr>
          <w:i/>
          <w:lang w:val="en-GB"/>
        </w:rPr>
        <w:t xml:space="preserve"> are invited to join DIKE TG as observers, and members of DIKE TG are invited as observers to the MODEG meeting.</w:t>
      </w:r>
      <w:r>
        <w:rPr>
          <w:i/>
          <w:lang w:val="en-GB"/>
        </w:rPr>
        <w:t xml:space="preserve"> Regional Sea Convention Secretariats</w:t>
      </w:r>
      <w:r w:rsidR="00FE24FF">
        <w:rPr>
          <w:i/>
          <w:lang w:val="en-GB"/>
        </w:rPr>
        <w:t xml:space="preserve"> or their representatives are invited to participate in both meetings, and ICES will participate in both meetings</w:t>
      </w:r>
      <w:r>
        <w:rPr>
          <w:i/>
          <w:lang w:val="en-GB"/>
        </w:rPr>
        <w:t xml:space="preserve">. The </w:t>
      </w:r>
      <w:r w:rsidR="00522C06">
        <w:rPr>
          <w:i/>
          <w:lang w:val="en-GB"/>
        </w:rPr>
        <w:t xml:space="preserve">DIKE TG is described below and the </w:t>
      </w:r>
      <w:r>
        <w:rPr>
          <w:i/>
          <w:lang w:val="en-GB"/>
        </w:rPr>
        <w:t xml:space="preserve">MODEG meeting will be </w:t>
      </w:r>
      <w:r w:rsidR="00522C06">
        <w:rPr>
          <w:i/>
          <w:lang w:val="en-GB"/>
        </w:rPr>
        <w:t xml:space="preserve">dedicated </w:t>
      </w:r>
      <w:r>
        <w:rPr>
          <w:i/>
          <w:lang w:val="en-GB"/>
        </w:rPr>
        <w:t>to present</w:t>
      </w:r>
      <w:r w:rsidR="00522C06">
        <w:rPr>
          <w:i/>
          <w:lang w:val="en-GB"/>
        </w:rPr>
        <w:t>ations of</w:t>
      </w:r>
      <w:r>
        <w:rPr>
          <w:i/>
          <w:lang w:val="en-GB"/>
        </w:rPr>
        <w:t xml:space="preserve"> the </w:t>
      </w:r>
      <w:r w:rsidR="000F6C52">
        <w:rPr>
          <w:i/>
          <w:lang w:val="en-GB"/>
        </w:rPr>
        <w:t xml:space="preserve">newly awarded </w:t>
      </w:r>
      <w:proofErr w:type="spellStart"/>
      <w:r w:rsidR="000F6C52">
        <w:rPr>
          <w:i/>
          <w:lang w:val="en-GB"/>
        </w:rPr>
        <w:t>Emodnet</w:t>
      </w:r>
      <w:proofErr w:type="spellEnd"/>
      <w:r w:rsidR="000F6C52">
        <w:rPr>
          <w:i/>
          <w:lang w:val="en-GB"/>
        </w:rPr>
        <w:t xml:space="preserve"> projects. Although the agenda for day 2 looks a bit dense, plenty of time will be allowed for discussion, and this day should be seen as an opportunity to influence the future content of the projects.</w:t>
      </w:r>
    </w:p>
    <w:p w:rsidR="002A54AE" w:rsidRDefault="002A54AE" w:rsidP="00AE1627">
      <w:pPr>
        <w:pStyle w:val="Heading1"/>
        <w:rPr>
          <w:lang w:val="en-GB"/>
        </w:rPr>
      </w:pPr>
      <w:r>
        <w:rPr>
          <w:lang w:val="en-GB"/>
        </w:rPr>
        <w:t>Background</w:t>
      </w:r>
      <w:r w:rsidR="0062575A">
        <w:rPr>
          <w:lang w:val="en-GB"/>
        </w:rPr>
        <w:t xml:space="preserve"> for DIKE TG activities</w:t>
      </w:r>
    </w:p>
    <w:p w:rsidR="002A54AE" w:rsidRDefault="002A54AE" w:rsidP="002A54AE">
      <w:pPr>
        <w:rPr>
          <w:lang w:val="en-GB"/>
        </w:rPr>
      </w:pPr>
      <w:r>
        <w:rPr>
          <w:lang w:val="en-GB"/>
        </w:rPr>
        <w:t xml:space="preserve">A strategic document outlining the priorities for the work under art 19.3 has been discussed in WG-DIKE and following considerable changes, it has been noted by the MSCG. The paper noted by the MSCG will be discussed again in the October, 2013 DIKE meeting, but it will none the less be used to set the over-all </w:t>
      </w:r>
      <w:r w:rsidR="0081143E">
        <w:rPr>
          <w:lang w:val="en-GB"/>
        </w:rPr>
        <w:t>context</w:t>
      </w:r>
      <w:r>
        <w:rPr>
          <w:lang w:val="en-GB"/>
        </w:rPr>
        <w:t xml:space="preserve"> of the DIKE TG meeting. </w:t>
      </w:r>
    </w:p>
    <w:p w:rsidR="00672930" w:rsidRDefault="0081143E" w:rsidP="00672930">
      <w:pPr>
        <w:rPr>
          <w:lang w:val="en-GB"/>
        </w:rPr>
      </w:pPr>
      <w:r>
        <w:rPr>
          <w:lang w:val="en-GB"/>
        </w:rPr>
        <w:t>The work under article 19.3 covers</w:t>
      </w:r>
      <w:r w:rsidR="00302447">
        <w:rPr>
          <w:lang w:val="en-GB"/>
        </w:rPr>
        <w:t xml:space="preserve"> how to deal with data when they are reported so that they are shared with the broadest possible community and made available for the largest number of purposes</w:t>
      </w:r>
      <w:r>
        <w:rPr>
          <w:lang w:val="en-GB"/>
        </w:rPr>
        <w:t xml:space="preserve">. </w:t>
      </w:r>
      <w:r w:rsidR="00DD7C97">
        <w:rPr>
          <w:lang w:val="en-GB"/>
        </w:rPr>
        <w:t>Underlying the</w:t>
      </w:r>
      <w:r w:rsidR="00302447">
        <w:rPr>
          <w:lang w:val="en-GB"/>
        </w:rPr>
        <w:t xml:space="preserve"> objectives </w:t>
      </w:r>
      <w:r w:rsidR="00DD7C97">
        <w:rPr>
          <w:lang w:val="en-GB"/>
        </w:rPr>
        <w:t xml:space="preserve">of </w:t>
      </w:r>
      <w:r w:rsidR="00672930">
        <w:rPr>
          <w:lang w:val="en-GB"/>
        </w:rPr>
        <w:t xml:space="preserve">art </w:t>
      </w:r>
      <w:r w:rsidR="00DD7C97">
        <w:rPr>
          <w:lang w:val="en-GB"/>
        </w:rPr>
        <w:t xml:space="preserve">19.3 </w:t>
      </w:r>
      <w:r w:rsidR="00302447">
        <w:rPr>
          <w:lang w:val="en-GB"/>
        </w:rPr>
        <w:t>are a series of technical considerations, and there is a nee</w:t>
      </w:r>
      <w:r w:rsidR="00672930">
        <w:rPr>
          <w:lang w:val="en-GB"/>
        </w:rPr>
        <w:t xml:space="preserve">d to explore how </w:t>
      </w:r>
      <w:r w:rsidR="00302447">
        <w:rPr>
          <w:lang w:val="en-GB"/>
        </w:rPr>
        <w:t>the data reporting will take place, once an agreement has been made on w</w:t>
      </w:r>
      <w:r w:rsidR="00DD7C97">
        <w:rPr>
          <w:lang w:val="en-GB"/>
        </w:rPr>
        <w:t xml:space="preserve">hich data to report, and these will be discussed in the DIKE technical group meetings. </w:t>
      </w:r>
      <w:r>
        <w:rPr>
          <w:lang w:val="en-GB"/>
        </w:rPr>
        <w:t>S</w:t>
      </w:r>
      <w:r w:rsidR="00672930">
        <w:rPr>
          <w:lang w:val="en-GB"/>
        </w:rPr>
        <w:t>uch discussions are</w:t>
      </w:r>
      <w:r>
        <w:rPr>
          <w:lang w:val="en-GB"/>
        </w:rPr>
        <w:t>, however,</w:t>
      </w:r>
      <w:r w:rsidR="00672930">
        <w:rPr>
          <w:lang w:val="en-GB"/>
        </w:rPr>
        <w:t xml:space="preserve"> best had on</w:t>
      </w:r>
      <w:r>
        <w:rPr>
          <w:lang w:val="en-GB"/>
        </w:rPr>
        <w:t xml:space="preserve"> the basis of concrete examples, and for this reason the discussions in the DIKE TG will be based on proposals for datasets to report on. </w:t>
      </w:r>
      <w:r w:rsidR="00CB395F">
        <w:rPr>
          <w:lang w:val="en-GB"/>
        </w:rPr>
        <w:t>Over time, t</w:t>
      </w:r>
      <w:r>
        <w:rPr>
          <w:lang w:val="en-GB"/>
        </w:rPr>
        <w:t>he datasets will be linked to the 11</w:t>
      </w:r>
      <w:r w:rsidR="00076B49">
        <w:rPr>
          <w:lang w:val="en-GB"/>
        </w:rPr>
        <w:t xml:space="preserve"> </w:t>
      </w:r>
      <w:r>
        <w:rPr>
          <w:lang w:val="en-GB"/>
        </w:rPr>
        <w:t xml:space="preserve">MSFD descriptors, criteria and indicators within the commission decision and indicator work taking place within the RSC.  </w:t>
      </w:r>
      <w:r w:rsidR="00672930">
        <w:rPr>
          <w:lang w:val="en-GB"/>
        </w:rPr>
        <w:t xml:space="preserve"> </w:t>
      </w:r>
      <w:r w:rsidR="00C14C69">
        <w:rPr>
          <w:lang w:val="en-GB"/>
        </w:rPr>
        <w:t xml:space="preserve">The aim will be </w:t>
      </w:r>
      <w:r>
        <w:rPr>
          <w:lang w:val="en-GB"/>
        </w:rPr>
        <w:t>to develop a collection of data fact she</w:t>
      </w:r>
      <w:r w:rsidR="00C14C69">
        <w:rPr>
          <w:lang w:val="en-GB"/>
        </w:rPr>
        <w:t>ets,</w:t>
      </w:r>
      <w:r>
        <w:rPr>
          <w:lang w:val="en-GB"/>
        </w:rPr>
        <w:t xml:space="preserve"> </w:t>
      </w:r>
      <w:r w:rsidR="00C14C69">
        <w:rPr>
          <w:lang w:val="en-GB"/>
        </w:rPr>
        <w:t>related to the data needs of each of the 11 descriptors. As they become ready, they will be submitted as proposals to WG DIKE and GES for further reflections, and hopefully they will ultimately</w:t>
      </w:r>
      <w:r w:rsidR="00076B49">
        <w:rPr>
          <w:lang w:val="en-GB"/>
        </w:rPr>
        <w:t xml:space="preserve"> be adopted as a commitment by M</w:t>
      </w:r>
      <w:r w:rsidR="00C14C69">
        <w:rPr>
          <w:lang w:val="en-GB"/>
        </w:rPr>
        <w:t xml:space="preserve">arine Directors in 2016.  </w:t>
      </w:r>
    </w:p>
    <w:p w:rsidR="00A57BAB" w:rsidRDefault="00C14C69" w:rsidP="002A54AE">
      <w:pPr>
        <w:rPr>
          <w:lang w:val="en-GB"/>
        </w:rPr>
      </w:pPr>
      <w:r>
        <w:rPr>
          <w:lang w:val="en-GB"/>
        </w:rPr>
        <w:t>In this first workshop the objective will be to reflect on the different elements needed for developing a</w:t>
      </w:r>
      <w:r w:rsidR="00076B49">
        <w:rPr>
          <w:lang w:val="en-GB"/>
        </w:rPr>
        <w:t>n appropriate</w:t>
      </w:r>
      <w:r>
        <w:rPr>
          <w:lang w:val="en-GB"/>
        </w:rPr>
        <w:t xml:space="preserve"> </w:t>
      </w:r>
      <w:r w:rsidR="00DE2831">
        <w:rPr>
          <w:lang w:val="en-GB"/>
        </w:rPr>
        <w:t xml:space="preserve">data </w:t>
      </w:r>
      <w:r>
        <w:rPr>
          <w:lang w:val="en-GB"/>
        </w:rPr>
        <w:t>fact sheet</w:t>
      </w:r>
      <w:r w:rsidR="00545F36">
        <w:rPr>
          <w:lang w:val="en-GB"/>
        </w:rPr>
        <w:t xml:space="preserve"> which describes the information needed about observations and the data exchange mechanism(s)</w:t>
      </w:r>
      <w:r>
        <w:rPr>
          <w:lang w:val="en-GB"/>
        </w:rPr>
        <w:t xml:space="preserve">. </w:t>
      </w:r>
      <w:r w:rsidR="00CB395F">
        <w:rPr>
          <w:lang w:val="en-GB"/>
        </w:rPr>
        <w:t>In order to make the dis</w:t>
      </w:r>
      <w:r w:rsidR="00545F36">
        <w:rPr>
          <w:lang w:val="en-GB"/>
        </w:rPr>
        <w:t>cussion concrete, it</w:t>
      </w:r>
      <w:r w:rsidR="00CB395F">
        <w:rPr>
          <w:lang w:val="en-GB"/>
        </w:rPr>
        <w:t xml:space="preserve"> will focus on eutrophication and hazardous substances, as already outlined earlier in the quick wins paper. </w:t>
      </w:r>
      <w:r>
        <w:rPr>
          <w:lang w:val="en-GB"/>
        </w:rPr>
        <w:t xml:space="preserve">The EEA and its ETC/ICM will show how </w:t>
      </w:r>
      <w:r w:rsidR="00545F36">
        <w:rPr>
          <w:lang w:val="en-GB"/>
        </w:rPr>
        <w:t>it sees the characterisation of the observations</w:t>
      </w:r>
      <w:r>
        <w:rPr>
          <w:lang w:val="en-GB"/>
        </w:rPr>
        <w:t xml:space="preserve"> and the data exchang</w:t>
      </w:r>
      <w:r w:rsidR="00A57BAB">
        <w:rPr>
          <w:lang w:val="en-GB"/>
        </w:rPr>
        <w:t>e and it will explain how observations</w:t>
      </w:r>
      <w:r>
        <w:rPr>
          <w:lang w:val="en-GB"/>
        </w:rPr>
        <w:t xml:space="preserve"> and data exchange has been handled to date </w:t>
      </w:r>
      <w:r w:rsidR="00076B49">
        <w:rPr>
          <w:lang w:val="en-GB"/>
        </w:rPr>
        <w:t xml:space="preserve">within the </w:t>
      </w:r>
      <w:proofErr w:type="spellStart"/>
      <w:r w:rsidR="00076B49">
        <w:rPr>
          <w:lang w:val="en-GB"/>
        </w:rPr>
        <w:t>Eionet</w:t>
      </w:r>
      <w:proofErr w:type="spellEnd"/>
      <w:r w:rsidR="00A57BAB">
        <w:rPr>
          <w:lang w:val="en-GB"/>
        </w:rPr>
        <w:t>.</w:t>
      </w:r>
      <w:r>
        <w:rPr>
          <w:lang w:val="en-GB"/>
        </w:rPr>
        <w:t xml:space="preserve"> </w:t>
      </w:r>
      <w:r w:rsidR="00320489">
        <w:rPr>
          <w:lang w:val="en-GB"/>
        </w:rPr>
        <w:t xml:space="preserve"> </w:t>
      </w:r>
    </w:p>
    <w:p w:rsidR="00545F36" w:rsidRDefault="00320489" w:rsidP="002A54AE">
      <w:pPr>
        <w:rPr>
          <w:lang w:val="en-GB"/>
        </w:rPr>
      </w:pPr>
      <w:r>
        <w:rPr>
          <w:lang w:val="en-GB"/>
        </w:rPr>
        <w:t xml:space="preserve">We have invited the coordinator of the </w:t>
      </w:r>
      <w:proofErr w:type="spellStart"/>
      <w:r>
        <w:rPr>
          <w:lang w:val="en-GB"/>
        </w:rPr>
        <w:t>Emodnet</w:t>
      </w:r>
      <w:proofErr w:type="spellEnd"/>
      <w:r>
        <w:rPr>
          <w:lang w:val="en-GB"/>
        </w:rPr>
        <w:t xml:space="preserve"> chemical project to understand better how they see options for engaging with the MSFD process and we wi</w:t>
      </w:r>
      <w:r w:rsidR="001F2655">
        <w:rPr>
          <w:lang w:val="en-GB"/>
        </w:rPr>
        <w:t>ll have a presentation on</w:t>
      </w:r>
      <w:r>
        <w:rPr>
          <w:lang w:val="en-GB"/>
        </w:rPr>
        <w:t xml:space="preserve"> options for handling the data exchange, rel</w:t>
      </w:r>
      <w:r w:rsidR="00A57BAB">
        <w:rPr>
          <w:lang w:val="en-GB"/>
        </w:rPr>
        <w:t>ated to INSPIRE. T</w:t>
      </w:r>
      <w:r>
        <w:rPr>
          <w:lang w:val="en-GB"/>
        </w:rPr>
        <w:t xml:space="preserve">he discussions to be based on </w:t>
      </w:r>
      <w:r w:rsidR="00076B49">
        <w:rPr>
          <w:lang w:val="en-GB"/>
        </w:rPr>
        <w:t xml:space="preserve">worked examples of how the exchange is currently taking place within the regional sea conventions, and </w:t>
      </w:r>
      <w:r>
        <w:rPr>
          <w:lang w:val="en-GB"/>
        </w:rPr>
        <w:t>a proposed template for de</w:t>
      </w:r>
      <w:r w:rsidR="00076B49">
        <w:rPr>
          <w:lang w:val="en-GB"/>
        </w:rPr>
        <w:t>scribing the reporting elements.  T</w:t>
      </w:r>
      <w:r>
        <w:rPr>
          <w:lang w:val="en-GB"/>
        </w:rPr>
        <w:t xml:space="preserve">he outcomes of the </w:t>
      </w:r>
      <w:r w:rsidR="00076B49">
        <w:rPr>
          <w:lang w:val="en-GB"/>
        </w:rPr>
        <w:t xml:space="preserve">discussions will be used to </w:t>
      </w:r>
      <w:r>
        <w:rPr>
          <w:lang w:val="en-GB"/>
        </w:rPr>
        <w:t>guid</w:t>
      </w:r>
      <w:r w:rsidR="00076B49">
        <w:rPr>
          <w:lang w:val="en-GB"/>
        </w:rPr>
        <w:t>e</w:t>
      </w:r>
      <w:r>
        <w:rPr>
          <w:lang w:val="en-GB"/>
        </w:rPr>
        <w:t xml:space="preserve"> how to further progress the template</w:t>
      </w:r>
      <w:r w:rsidR="00076B49">
        <w:rPr>
          <w:lang w:val="en-GB"/>
        </w:rPr>
        <w:t xml:space="preserve"> to adequate</w:t>
      </w:r>
      <w:r w:rsidR="00A57BAB">
        <w:rPr>
          <w:lang w:val="en-GB"/>
        </w:rPr>
        <w:t>ly describe observations</w:t>
      </w:r>
      <w:r w:rsidR="00076B49">
        <w:rPr>
          <w:lang w:val="en-GB"/>
        </w:rPr>
        <w:t xml:space="preserve"> and data </w:t>
      </w:r>
      <w:r w:rsidR="00A57BAB">
        <w:rPr>
          <w:lang w:val="en-GB"/>
        </w:rPr>
        <w:t>exchange mechanisms.</w:t>
      </w:r>
    </w:p>
    <w:p w:rsidR="00723661" w:rsidRDefault="00B340AA">
      <w:pPr>
        <w:rPr>
          <w:rFonts w:asciiTheme="majorHAnsi" w:eastAsiaTheme="majorEastAsia" w:hAnsiTheme="majorHAnsi" w:cstheme="majorBidi"/>
          <w:b/>
          <w:bCs/>
          <w:color w:val="365F91" w:themeColor="accent1" w:themeShade="BF"/>
          <w:sz w:val="28"/>
          <w:szCs w:val="28"/>
          <w:lang w:val="en-GB"/>
        </w:rPr>
      </w:pPr>
      <w:r>
        <w:rPr>
          <w:lang w:val="en-GB"/>
        </w:rPr>
        <w:lastRenderedPageBreak/>
        <w:t>T</w:t>
      </w:r>
      <w:r w:rsidR="00A57BAB">
        <w:rPr>
          <w:lang w:val="en-GB"/>
        </w:rPr>
        <w:t>he outcome of the meeting will</w:t>
      </w:r>
      <w:r>
        <w:rPr>
          <w:lang w:val="en-GB"/>
        </w:rPr>
        <w:t xml:space="preserve"> be a recommendation to WG-DIKE on how to characterize </w:t>
      </w:r>
      <w:r w:rsidR="00A57BAB">
        <w:rPr>
          <w:lang w:val="en-GB"/>
        </w:rPr>
        <w:t xml:space="preserve">observations, and data exchange mechanisms </w:t>
      </w:r>
      <w:r>
        <w:rPr>
          <w:lang w:val="en-GB"/>
        </w:rPr>
        <w:t>(which is based on specific examples)</w:t>
      </w:r>
      <w:r w:rsidR="00F07DFF">
        <w:rPr>
          <w:lang w:val="en-GB"/>
        </w:rPr>
        <w:t xml:space="preserve"> by using a template</w:t>
      </w:r>
      <w:r>
        <w:rPr>
          <w:lang w:val="en-GB"/>
        </w:rPr>
        <w:t xml:space="preserve">. </w:t>
      </w:r>
      <w:r w:rsidR="00F07DFF">
        <w:rPr>
          <w:lang w:val="en-GB"/>
        </w:rPr>
        <w:t xml:space="preserve">The agreed template will be used to structure </w:t>
      </w:r>
      <w:r>
        <w:rPr>
          <w:lang w:val="en-GB"/>
        </w:rPr>
        <w:t xml:space="preserve">future work </w:t>
      </w:r>
      <w:r w:rsidR="00F07DFF">
        <w:rPr>
          <w:lang w:val="en-GB"/>
        </w:rPr>
        <w:t xml:space="preserve">on </w:t>
      </w:r>
      <w:r>
        <w:rPr>
          <w:lang w:val="en-GB"/>
        </w:rPr>
        <w:t xml:space="preserve">the 11 </w:t>
      </w:r>
      <w:r w:rsidR="00F07DFF">
        <w:rPr>
          <w:lang w:val="en-GB"/>
        </w:rPr>
        <w:t xml:space="preserve">MSFD </w:t>
      </w:r>
      <w:r>
        <w:rPr>
          <w:lang w:val="en-GB"/>
        </w:rPr>
        <w:t>descriptors</w:t>
      </w:r>
      <w:r w:rsidR="00F07DFF">
        <w:rPr>
          <w:lang w:val="en-GB"/>
        </w:rPr>
        <w:t>.</w:t>
      </w:r>
      <w:r>
        <w:rPr>
          <w:lang w:val="en-GB"/>
        </w:rPr>
        <w:t xml:space="preserve"> </w:t>
      </w:r>
      <w:r w:rsidR="00F07DFF">
        <w:rPr>
          <w:lang w:val="en-GB"/>
        </w:rPr>
        <w:t xml:space="preserve">For each of the 11 topics, the WG-DIKE TG will </w:t>
      </w:r>
      <w:r w:rsidR="008841C1">
        <w:rPr>
          <w:lang w:val="en-GB"/>
        </w:rPr>
        <w:t xml:space="preserve">use the template to </w:t>
      </w:r>
      <w:r w:rsidR="00F07DFF">
        <w:rPr>
          <w:lang w:val="en-GB"/>
        </w:rPr>
        <w:t xml:space="preserve">propose observations and data exchange mechanisms based on </w:t>
      </w:r>
      <w:proofErr w:type="spellStart"/>
      <w:r w:rsidR="00F07DFF">
        <w:rPr>
          <w:lang w:val="en-GB"/>
        </w:rPr>
        <w:t>on</w:t>
      </w:r>
      <w:proofErr w:type="spellEnd"/>
      <w:r w:rsidR="008841C1">
        <w:rPr>
          <w:lang w:val="en-GB"/>
        </w:rPr>
        <w:t>-</w:t>
      </w:r>
      <w:r w:rsidR="00F07DFF">
        <w:rPr>
          <w:lang w:val="en-GB"/>
        </w:rPr>
        <w:t xml:space="preserve"> going work in the regional sea conventions to WG-DIKE</w:t>
      </w:r>
      <w:r w:rsidR="008841C1">
        <w:rPr>
          <w:lang w:val="en-GB"/>
        </w:rPr>
        <w:t xml:space="preserve"> for further reflection.</w:t>
      </w:r>
      <w:r w:rsidR="00B36215">
        <w:rPr>
          <w:lang w:val="en-GB"/>
        </w:rPr>
        <w:t xml:space="preserve"> </w:t>
      </w:r>
      <w:r>
        <w:rPr>
          <w:lang w:val="en-GB"/>
        </w:rPr>
        <w:t xml:space="preserve"> </w:t>
      </w:r>
    </w:p>
    <w:p w:rsidR="00047294" w:rsidRDefault="00047294">
      <w:pPr>
        <w:rPr>
          <w:rFonts w:asciiTheme="majorHAnsi" w:eastAsiaTheme="majorEastAsia" w:hAnsiTheme="majorHAnsi" w:cstheme="majorBidi"/>
          <w:b/>
          <w:bCs/>
          <w:color w:val="365F91" w:themeColor="accent1" w:themeShade="BF"/>
          <w:sz w:val="28"/>
          <w:szCs w:val="28"/>
          <w:lang w:val="en-GB"/>
        </w:rPr>
      </w:pPr>
      <w:r>
        <w:rPr>
          <w:lang w:val="en-GB"/>
        </w:rPr>
        <w:br w:type="page"/>
      </w:r>
    </w:p>
    <w:p w:rsidR="00DE2831" w:rsidRDefault="00320489" w:rsidP="00DE2831">
      <w:pPr>
        <w:pStyle w:val="Heading1"/>
        <w:jc w:val="center"/>
        <w:rPr>
          <w:lang w:val="en-GB"/>
        </w:rPr>
      </w:pPr>
      <w:r>
        <w:rPr>
          <w:lang w:val="en-GB"/>
        </w:rPr>
        <w:lastRenderedPageBreak/>
        <w:t>Draft agenda for First</w:t>
      </w:r>
      <w:r w:rsidR="00DE2831">
        <w:rPr>
          <w:lang w:val="en-GB"/>
        </w:rPr>
        <w:t xml:space="preserve"> DIKE technical group meeting</w:t>
      </w:r>
    </w:p>
    <w:p w:rsidR="00DE2831" w:rsidRDefault="00320489" w:rsidP="00DE2831">
      <w:pPr>
        <w:spacing w:after="0" w:line="240" w:lineRule="auto"/>
        <w:jc w:val="center"/>
        <w:rPr>
          <w:lang w:val="en-GB"/>
        </w:rPr>
      </w:pPr>
      <w:r>
        <w:rPr>
          <w:lang w:val="en-GB"/>
        </w:rPr>
        <w:t>July 4</w:t>
      </w:r>
      <w:r w:rsidRPr="00320489">
        <w:rPr>
          <w:vertAlign w:val="superscript"/>
          <w:lang w:val="en-GB"/>
        </w:rPr>
        <w:t>th</w:t>
      </w:r>
      <w:r>
        <w:rPr>
          <w:lang w:val="en-GB"/>
        </w:rPr>
        <w:t>, 2013</w:t>
      </w:r>
      <w:r w:rsidR="00DE2831">
        <w:rPr>
          <w:lang w:val="en-GB"/>
        </w:rPr>
        <w:t xml:space="preserve">, </w:t>
      </w:r>
    </w:p>
    <w:p w:rsidR="00DE2831" w:rsidRDefault="00DE2831" w:rsidP="00DE2831">
      <w:pPr>
        <w:spacing w:after="0" w:line="240" w:lineRule="auto"/>
        <w:jc w:val="center"/>
        <w:rPr>
          <w:lang w:val="en-GB"/>
        </w:rPr>
      </w:pPr>
      <w:r>
        <w:rPr>
          <w:lang w:val="en-GB"/>
        </w:rPr>
        <w:t>9-18:15</w:t>
      </w:r>
    </w:p>
    <w:p w:rsidR="00DE2831" w:rsidRDefault="00DE2831" w:rsidP="00DE2831">
      <w:pPr>
        <w:spacing w:after="0" w:line="240" w:lineRule="auto"/>
        <w:jc w:val="center"/>
        <w:rPr>
          <w:lang w:val="en-GB"/>
        </w:rPr>
      </w:pPr>
      <w:r>
        <w:rPr>
          <w:lang w:val="en-GB"/>
        </w:rPr>
        <w:t>European Environment Agency</w:t>
      </w:r>
    </w:p>
    <w:p w:rsidR="00DE2831" w:rsidRDefault="00DE2831" w:rsidP="00DE2831">
      <w:pPr>
        <w:spacing w:after="0" w:line="240" w:lineRule="auto"/>
        <w:jc w:val="center"/>
        <w:rPr>
          <w:lang w:val="en-GB"/>
        </w:rPr>
      </w:pPr>
      <w:proofErr w:type="spellStart"/>
      <w:r>
        <w:rPr>
          <w:lang w:val="en-GB"/>
        </w:rPr>
        <w:t>Kgs</w:t>
      </w:r>
      <w:proofErr w:type="spellEnd"/>
      <w:r>
        <w:rPr>
          <w:lang w:val="en-GB"/>
        </w:rPr>
        <w:t xml:space="preserve"> </w:t>
      </w:r>
      <w:proofErr w:type="spellStart"/>
      <w:r>
        <w:rPr>
          <w:lang w:val="en-GB"/>
        </w:rPr>
        <w:t>Nytorv</w:t>
      </w:r>
      <w:proofErr w:type="spellEnd"/>
      <w:r>
        <w:rPr>
          <w:lang w:val="en-GB"/>
        </w:rPr>
        <w:t xml:space="preserve"> 6</w:t>
      </w:r>
    </w:p>
    <w:p w:rsidR="00320489" w:rsidRDefault="00DE2831" w:rsidP="00DE2831">
      <w:pPr>
        <w:spacing w:after="0" w:line="240" w:lineRule="auto"/>
        <w:jc w:val="center"/>
        <w:rPr>
          <w:lang w:val="en-GB"/>
        </w:rPr>
      </w:pPr>
      <w:r>
        <w:rPr>
          <w:lang w:val="en-GB"/>
        </w:rPr>
        <w:t>Copenhagen</w:t>
      </w:r>
    </w:p>
    <w:p w:rsidR="00DE2831" w:rsidRDefault="00DE2831" w:rsidP="00DE2831">
      <w:pPr>
        <w:jc w:val="center"/>
        <w:rPr>
          <w:lang w:val="en-GB"/>
        </w:rPr>
      </w:pPr>
    </w:p>
    <w:p w:rsidR="00DE2831" w:rsidRPr="00DE2831" w:rsidRDefault="00DE2831" w:rsidP="00DE2831">
      <w:pPr>
        <w:rPr>
          <w:lang w:val="en-GB"/>
        </w:rPr>
      </w:pPr>
      <w:r>
        <w:rPr>
          <w:lang w:val="en-GB"/>
        </w:rPr>
        <w:t>Workshop Chair: EEA</w:t>
      </w:r>
    </w:p>
    <w:tbl>
      <w:tblPr>
        <w:tblStyle w:val="TableGrid"/>
        <w:tblW w:w="0" w:type="auto"/>
        <w:tblLook w:val="04A0" w:firstRow="1" w:lastRow="0" w:firstColumn="1" w:lastColumn="0" w:noHBand="0" w:noVBand="1"/>
      </w:tblPr>
      <w:tblGrid>
        <w:gridCol w:w="1077"/>
        <w:gridCol w:w="3898"/>
        <w:gridCol w:w="2150"/>
        <w:gridCol w:w="1568"/>
      </w:tblGrid>
      <w:tr w:rsidR="00DE2831" w:rsidTr="00DE2831">
        <w:tc>
          <w:tcPr>
            <w:tcW w:w="1077" w:type="dxa"/>
          </w:tcPr>
          <w:p w:rsidR="00DE2831" w:rsidRPr="00DE2831" w:rsidRDefault="00DE2831" w:rsidP="00DE2831">
            <w:pPr>
              <w:jc w:val="center"/>
              <w:rPr>
                <w:b/>
                <w:lang w:val="en-GB"/>
              </w:rPr>
            </w:pPr>
            <w:r w:rsidRPr="00DE2831">
              <w:rPr>
                <w:b/>
                <w:lang w:val="en-GB"/>
              </w:rPr>
              <w:t>Time</w:t>
            </w:r>
          </w:p>
        </w:tc>
        <w:tc>
          <w:tcPr>
            <w:tcW w:w="3898" w:type="dxa"/>
          </w:tcPr>
          <w:p w:rsidR="00DE2831" w:rsidRPr="00DE2831" w:rsidRDefault="00DE2831" w:rsidP="00DE2831">
            <w:pPr>
              <w:jc w:val="center"/>
              <w:rPr>
                <w:b/>
                <w:lang w:val="en-GB"/>
              </w:rPr>
            </w:pPr>
            <w:r w:rsidRPr="00DE2831">
              <w:rPr>
                <w:b/>
                <w:lang w:val="en-GB"/>
              </w:rPr>
              <w:t>Item</w:t>
            </w:r>
          </w:p>
        </w:tc>
        <w:tc>
          <w:tcPr>
            <w:tcW w:w="2150" w:type="dxa"/>
          </w:tcPr>
          <w:p w:rsidR="00DE2831" w:rsidRPr="00DE2831" w:rsidRDefault="00DE2831" w:rsidP="00DE2831">
            <w:pPr>
              <w:jc w:val="center"/>
              <w:rPr>
                <w:b/>
                <w:lang w:val="en-GB"/>
              </w:rPr>
            </w:pPr>
            <w:r w:rsidRPr="00DE2831">
              <w:rPr>
                <w:b/>
                <w:lang w:val="en-GB"/>
              </w:rPr>
              <w:t>Presenter</w:t>
            </w:r>
          </w:p>
        </w:tc>
        <w:tc>
          <w:tcPr>
            <w:tcW w:w="1568" w:type="dxa"/>
          </w:tcPr>
          <w:p w:rsidR="00DE2831" w:rsidRPr="00DE2831" w:rsidRDefault="00DE2831" w:rsidP="00DE2831">
            <w:pPr>
              <w:jc w:val="center"/>
              <w:rPr>
                <w:b/>
                <w:lang w:val="en-GB"/>
              </w:rPr>
            </w:pPr>
            <w:r w:rsidRPr="00DE2831">
              <w:rPr>
                <w:b/>
                <w:lang w:val="en-GB"/>
              </w:rPr>
              <w:t>Paper</w:t>
            </w:r>
          </w:p>
        </w:tc>
      </w:tr>
      <w:tr w:rsidR="00DE2831" w:rsidTr="00DE2831">
        <w:tc>
          <w:tcPr>
            <w:tcW w:w="1077" w:type="dxa"/>
          </w:tcPr>
          <w:p w:rsidR="00DE2831" w:rsidRDefault="00DE2831" w:rsidP="00DE2831">
            <w:pPr>
              <w:jc w:val="center"/>
              <w:rPr>
                <w:lang w:val="en-GB"/>
              </w:rPr>
            </w:pPr>
            <w:r>
              <w:rPr>
                <w:lang w:val="en-GB"/>
              </w:rPr>
              <w:t>8:30-9</w:t>
            </w:r>
          </w:p>
        </w:tc>
        <w:tc>
          <w:tcPr>
            <w:tcW w:w="3898" w:type="dxa"/>
          </w:tcPr>
          <w:p w:rsidR="00DE2831" w:rsidRDefault="00DE2831" w:rsidP="00DE2831">
            <w:pPr>
              <w:jc w:val="center"/>
              <w:rPr>
                <w:lang w:val="en-GB"/>
              </w:rPr>
            </w:pPr>
            <w:r>
              <w:rPr>
                <w:lang w:val="en-GB"/>
              </w:rPr>
              <w:t>Registration</w:t>
            </w:r>
          </w:p>
        </w:tc>
        <w:tc>
          <w:tcPr>
            <w:tcW w:w="2150" w:type="dxa"/>
          </w:tcPr>
          <w:p w:rsidR="00DE2831" w:rsidRDefault="00DE2831" w:rsidP="00DE2831">
            <w:pPr>
              <w:jc w:val="center"/>
              <w:rPr>
                <w:lang w:val="en-GB"/>
              </w:rPr>
            </w:pPr>
          </w:p>
        </w:tc>
        <w:tc>
          <w:tcPr>
            <w:tcW w:w="1568" w:type="dxa"/>
          </w:tcPr>
          <w:p w:rsidR="00DE2831" w:rsidRDefault="00DE2831" w:rsidP="00DE2831">
            <w:pPr>
              <w:jc w:val="center"/>
              <w:rPr>
                <w:lang w:val="en-GB"/>
              </w:rPr>
            </w:pPr>
          </w:p>
        </w:tc>
      </w:tr>
      <w:tr w:rsidR="00DE2831" w:rsidTr="00DE2831">
        <w:tc>
          <w:tcPr>
            <w:tcW w:w="1077" w:type="dxa"/>
          </w:tcPr>
          <w:p w:rsidR="00DE2831" w:rsidRDefault="00DE2831" w:rsidP="00DE2831">
            <w:pPr>
              <w:jc w:val="center"/>
              <w:rPr>
                <w:lang w:val="en-GB"/>
              </w:rPr>
            </w:pPr>
            <w:r>
              <w:rPr>
                <w:lang w:val="en-GB"/>
              </w:rPr>
              <w:t>9-10:30</w:t>
            </w:r>
          </w:p>
        </w:tc>
        <w:tc>
          <w:tcPr>
            <w:tcW w:w="3898" w:type="dxa"/>
          </w:tcPr>
          <w:p w:rsidR="00DE2831" w:rsidRDefault="00DE2831" w:rsidP="00DE2831">
            <w:pPr>
              <w:jc w:val="center"/>
              <w:rPr>
                <w:lang w:val="en-GB"/>
              </w:rPr>
            </w:pPr>
            <w:r>
              <w:rPr>
                <w:lang w:val="en-GB"/>
              </w:rPr>
              <w:t>Opening and welcome and</w:t>
            </w:r>
          </w:p>
        </w:tc>
        <w:tc>
          <w:tcPr>
            <w:tcW w:w="2150" w:type="dxa"/>
          </w:tcPr>
          <w:p w:rsidR="00DE2831" w:rsidRDefault="00DE2831" w:rsidP="00DE2831">
            <w:pPr>
              <w:jc w:val="center"/>
              <w:rPr>
                <w:lang w:val="en-GB"/>
              </w:rPr>
            </w:pPr>
          </w:p>
        </w:tc>
        <w:tc>
          <w:tcPr>
            <w:tcW w:w="1568" w:type="dxa"/>
          </w:tcPr>
          <w:p w:rsidR="00DE2831" w:rsidRDefault="00DE2831" w:rsidP="00DE2831">
            <w:pPr>
              <w:jc w:val="center"/>
              <w:rPr>
                <w:lang w:val="en-GB"/>
              </w:rPr>
            </w:pPr>
          </w:p>
        </w:tc>
      </w:tr>
      <w:tr w:rsidR="00DE2831" w:rsidRPr="00723661" w:rsidTr="00DE2831">
        <w:tc>
          <w:tcPr>
            <w:tcW w:w="1077" w:type="dxa"/>
          </w:tcPr>
          <w:p w:rsidR="00DE2831" w:rsidRDefault="00DE2831" w:rsidP="00DE2831">
            <w:pPr>
              <w:jc w:val="center"/>
              <w:rPr>
                <w:lang w:val="en-GB"/>
              </w:rPr>
            </w:pPr>
          </w:p>
        </w:tc>
        <w:tc>
          <w:tcPr>
            <w:tcW w:w="3898" w:type="dxa"/>
          </w:tcPr>
          <w:p w:rsidR="00DE2831" w:rsidRDefault="00DE2831" w:rsidP="00DE2831">
            <w:pPr>
              <w:jc w:val="center"/>
              <w:rPr>
                <w:lang w:val="en-GB"/>
              </w:rPr>
            </w:pPr>
            <w:r>
              <w:rPr>
                <w:lang w:val="en-GB"/>
              </w:rPr>
              <w:t>Presentation on workshop objectives</w:t>
            </w:r>
          </w:p>
        </w:tc>
        <w:tc>
          <w:tcPr>
            <w:tcW w:w="2150" w:type="dxa"/>
          </w:tcPr>
          <w:p w:rsidR="00DE2831" w:rsidRDefault="00DE2831" w:rsidP="00DE2831">
            <w:pPr>
              <w:jc w:val="center"/>
              <w:rPr>
                <w:lang w:val="en-GB"/>
              </w:rPr>
            </w:pPr>
            <w:r>
              <w:rPr>
                <w:lang w:val="en-GB"/>
              </w:rPr>
              <w:t>Trine Christiansen/EEA</w:t>
            </w:r>
          </w:p>
        </w:tc>
        <w:tc>
          <w:tcPr>
            <w:tcW w:w="1568" w:type="dxa"/>
          </w:tcPr>
          <w:p w:rsidR="00DE2831" w:rsidRDefault="00DE2831" w:rsidP="00DE2831">
            <w:pPr>
              <w:jc w:val="center"/>
              <w:rPr>
                <w:lang w:val="en-GB"/>
              </w:rPr>
            </w:pPr>
            <w:r>
              <w:rPr>
                <w:lang w:val="en-GB"/>
              </w:rPr>
              <w:t>Working paper 1: strategy paper proposed to MSCG</w:t>
            </w:r>
          </w:p>
        </w:tc>
      </w:tr>
      <w:tr w:rsidR="00DE2831" w:rsidRPr="00723661" w:rsidTr="00DE2831">
        <w:tc>
          <w:tcPr>
            <w:tcW w:w="1077" w:type="dxa"/>
          </w:tcPr>
          <w:p w:rsidR="00DE2831" w:rsidRDefault="00DE2831" w:rsidP="00DE2831">
            <w:pPr>
              <w:jc w:val="center"/>
              <w:rPr>
                <w:lang w:val="en-GB"/>
              </w:rPr>
            </w:pPr>
          </w:p>
        </w:tc>
        <w:tc>
          <w:tcPr>
            <w:tcW w:w="3898" w:type="dxa"/>
          </w:tcPr>
          <w:p w:rsidR="00DE2831" w:rsidRDefault="00DE2831" w:rsidP="00DE2831">
            <w:pPr>
              <w:jc w:val="center"/>
              <w:rPr>
                <w:lang w:val="en-GB"/>
              </w:rPr>
            </w:pPr>
            <w:r>
              <w:rPr>
                <w:lang w:val="en-GB"/>
              </w:rPr>
              <w:t>How data and data exchange have been handled to date</w:t>
            </w:r>
          </w:p>
        </w:tc>
        <w:tc>
          <w:tcPr>
            <w:tcW w:w="2150" w:type="dxa"/>
          </w:tcPr>
          <w:p w:rsidR="00DE2831" w:rsidRDefault="00DE2831" w:rsidP="00DE2831">
            <w:pPr>
              <w:jc w:val="center"/>
              <w:rPr>
                <w:lang w:val="en-GB"/>
              </w:rPr>
            </w:pPr>
            <w:proofErr w:type="spellStart"/>
            <w:r>
              <w:rPr>
                <w:lang w:val="en-GB"/>
              </w:rPr>
              <w:t>Constanca</w:t>
            </w:r>
            <w:proofErr w:type="spellEnd"/>
            <w:r>
              <w:rPr>
                <w:lang w:val="en-GB"/>
              </w:rPr>
              <w:t xml:space="preserve"> Belchior/EEA</w:t>
            </w:r>
          </w:p>
        </w:tc>
        <w:tc>
          <w:tcPr>
            <w:tcW w:w="1568" w:type="dxa"/>
          </w:tcPr>
          <w:p w:rsidR="00DE2831" w:rsidRDefault="00DE2831" w:rsidP="00DE2831">
            <w:pPr>
              <w:jc w:val="center"/>
              <w:rPr>
                <w:lang w:val="en-GB"/>
              </w:rPr>
            </w:pPr>
            <w:r>
              <w:rPr>
                <w:lang w:val="en-GB"/>
              </w:rPr>
              <w:t xml:space="preserve">Working paper 2: existing data exchange within </w:t>
            </w:r>
            <w:proofErr w:type="spellStart"/>
            <w:r>
              <w:rPr>
                <w:lang w:val="en-GB"/>
              </w:rPr>
              <w:t>Eionet</w:t>
            </w:r>
            <w:proofErr w:type="spellEnd"/>
          </w:p>
        </w:tc>
      </w:tr>
      <w:tr w:rsidR="00DE2831" w:rsidRPr="00723661" w:rsidTr="00DE2831">
        <w:tc>
          <w:tcPr>
            <w:tcW w:w="1077" w:type="dxa"/>
          </w:tcPr>
          <w:p w:rsidR="00DE2831" w:rsidRDefault="00DE2831" w:rsidP="00DE2831">
            <w:pPr>
              <w:jc w:val="center"/>
              <w:rPr>
                <w:lang w:val="en-GB"/>
              </w:rPr>
            </w:pPr>
          </w:p>
        </w:tc>
        <w:tc>
          <w:tcPr>
            <w:tcW w:w="3898" w:type="dxa"/>
          </w:tcPr>
          <w:p w:rsidR="00DE2831" w:rsidRDefault="00DE2831" w:rsidP="00DE2831">
            <w:pPr>
              <w:jc w:val="center"/>
              <w:rPr>
                <w:lang w:val="en-GB"/>
              </w:rPr>
            </w:pPr>
            <w:r>
              <w:rPr>
                <w:lang w:val="en-GB"/>
              </w:rPr>
              <w:t>What was achieved in the first art 19.3 reporting round</w:t>
            </w:r>
          </w:p>
        </w:tc>
        <w:tc>
          <w:tcPr>
            <w:tcW w:w="2150" w:type="dxa"/>
          </w:tcPr>
          <w:p w:rsidR="00DE2831" w:rsidRDefault="00DE2831" w:rsidP="00DE2831">
            <w:pPr>
              <w:jc w:val="center"/>
              <w:rPr>
                <w:lang w:val="en-GB"/>
              </w:rPr>
            </w:pPr>
            <w:r>
              <w:rPr>
                <w:lang w:val="en-GB"/>
              </w:rPr>
              <w:t>Neil Holdsworth/ICES</w:t>
            </w:r>
          </w:p>
        </w:tc>
        <w:tc>
          <w:tcPr>
            <w:tcW w:w="1568" w:type="dxa"/>
          </w:tcPr>
          <w:p w:rsidR="00DE2831" w:rsidRDefault="00DE2831" w:rsidP="00DE2831">
            <w:pPr>
              <w:jc w:val="center"/>
              <w:rPr>
                <w:lang w:val="en-GB"/>
              </w:rPr>
            </w:pPr>
            <w:r>
              <w:rPr>
                <w:lang w:val="en-GB"/>
              </w:rPr>
              <w:t>Working paper 3: status of 2013 reporting on art 19.3</w:t>
            </w:r>
          </w:p>
        </w:tc>
      </w:tr>
      <w:tr w:rsidR="00DE2831" w:rsidTr="00DE2831">
        <w:tc>
          <w:tcPr>
            <w:tcW w:w="1077" w:type="dxa"/>
          </w:tcPr>
          <w:p w:rsidR="00DE2831" w:rsidRDefault="00DE2831" w:rsidP="00DE2831">
            <w:pPr>
              <w:jc w:val="center"/>
              <w:rPr>
                <w:lang w:val="en-GB"/>
              </w:rPr>
            </w:pPr>
          </w:p>
        </w:tc>
        <w:tc>
          <w:tcPr>
            <w:tcW w:w="3898" w:type="dxa"/>
          </w:tcPr>
          <w:p w:rsidR="00DE2831" w:rsidRDefault="00DE2831" w:rsidP="00DE2831">
            <w:pPr>
              <w:jc w:val="center"/>
              <w:rPr>
                <w:lang w:val="en-GB"/>
              </w:rPr>
            </w:pPr>
            <w:r>
              <w:rPr>
                <w:lang w:val="en-GB"/>
              </w:rPr>
              <w:t>Discussion</w:t>
            </w:r>
          </w:p>
        </w:tc>
        <w:tc>
          <w:tcPr>
            <w:tcW w:w="2150" w:type="dxa"/>
          </w:tcPr>
          <w:p w:rsidR="00DE2831" w:rsidRDefault="00DE2831" w:rsidP="00DE2831">
            <w:pPr>
              <w:jc w:val="center"/>
              <w:rPr>
                <w:lang w:val="en-GB"/>
              </w:rPr>
            </w:pPr>
          </w:p>
        </w:tc>
        <w:tc>
          <w:tcPr>
            <w:tcW w:w="1568" w:type="dxa"/>
          </w:tcPr>
          <w:p w:rsidR="00DE2831" w:rsidRDefault="00DE2831" w:rsidP="00DE2831">
            <w:pPr>
              <w:jc w:val="center"/>
              <w:rPr>
                <w:lang w:val="en-GB"/>
              </w:rPr>
            </w:pPr>
          </w:p>
        </w:tc>
      </w:tr>
      <w:tr w:rsidR="00DE2831" w:rsidTr="00DE2831">
        <w:tc>
          <w:tcPr>
            <w:tcW w:w="1077" w:type="dxa"/>
          </w:tcPr>
          <w:p w:rsidR="00DE2831" w:rsidRDefault="00DE2831" w:rsidP="00DE2831">
            <w:pPr>
              <w:jc w:val="center"/>
              <w:rPr>
                <w:lang w:val="en-GB"/>
              </w:rPr>
            </w:pPr>
            <w:r>
              <w:rPr>
                <w:lang w:val="en-GB"/>
              </w:rPr>
              <w:t>10:30-11</w:t>
            </w:r>
          </w:p>
        </w:tc>
        <w:tc>
          <w:tcPr>
            <w:tcW w:w="3898" w:type="dxa"/>
          </w:tcPr>
          <w:p w:rsidR="00DE2831" w:rsidRDefault="00DE2831" w:rsidP="00DE2831">
            <w:pPr>
              <w:jc w:val="center"/>
              <w:rPr>
                <w:lang w:val="en-GB"/>
              </w:rPr>
            </w:pPr>
            <w:r>
              <w:rPr>
                <w:lang w:val="en-GB"/>
              </w:rPr>
              <w:t>Coffee</w:t>
            </w:r>
          </w:p>
        </w:tc>
        <w:tc>
          <w:tcPr>
            <w:tcW w:w="2150" w:type="dxa"/>
          </w:tcPr>
          <w:p w:rsidR="00DE2831" w:rsidRDefault="00DE2831" w:rsidP="00DE2831">
            <w:pPr>
              <w:jc w:val="center"/>
              <w:rPr>
                <w:lang w:val="en-GB"/>
              </w:rPr>
            </w:pPr>
          </w:p>
        </w:tc>
        <w:tc>
          <w:tcPr>
            <w:tcW w:w="1568" w:type="dxa"/>
          </w:tcPr>
          <w:p w:rsidR="00DE2831" w:rsidRDefault="00DE2831" w:rsidP="00DE2831">
            <w:pPr>
              <w:jc w:val="center"/>
              <w:rPr>
                <w:lang w:val="en-GB"/>
              </w:rPr>
            </w:pPr>
          </w:p>
        </w:tc>
      </w:tr>
      <w:tr w:rsidR="00DE2831" w:rsidRPr="00BD6F0D" w:rsidTr="00DE2831">
        <w:tc>
          <w:tcPr>
            <w:tcW w:w="1077" w:type="dxa"/>
          </w:tcPr>
          <w:p w:rsidR="00DE2831" w:rsidRDefault="00DE2831" w:rsidP="00DE2831">
            <w:pPr>
              <w:jc w:val="center"/>
              <w:rPr>
                <w:lang w:val="en-GB"/>
              </w:rPr>
            </w:pPr>
            <w:r>
              <w:rPr>
                <w:lang w:val="en-GB"/>
              </w:rPr>
              <w:t>11 -12</w:t>
            </w:r>
          </w:p>
        </w:tc>
        <w:tc>
          <w:tcPr>
            <w:tcW w:w="3898" w:type="dxa"/>
          </w:tcPr>
          <w:p w:rsidR="00DE2831" w:rsidRDefault="00DE2831" w:rsidP="00DE2831">
            <w:pPr>
              <w:jc w:val="center"/>
              <w:rPr>
                <w:lang w:val="en-GB"/>
              </w:rPr>
            </w:pPr>
            <w:r>
              <w:rPr>
                <w:lang w:val="en-GB"/>
              </w:rPr>
              <w:t>How can INSPIRE be used to support MSFD reporting</w:t>
            </w:r>
          </w:p>
        </w:tc>
        <w:tc>
          <w:tcPr>
            <w:tcW w:w="2150" w:type="dxa"/>
          </w:tcPr>
          <w:p w:rsidR="00DE2831" w:rsidRDefault="00DE2831" w:rsidP="00DE2831">
            <w:pPr>
              <w:jc w:val="center"/>
              <w:rPr>
                <w:lang w:val="en-GB"/>
              </w:rPr>
            </w:pPr>
            <w:r>
              <w:rPr>
                <w:lang w:val="en-GB"/>
              </w:rPr>
              <w:t>Darja Lihteneger/EEA</w:t>
            </w:r>
          </w:p>
        </w:tc>
        <w:tc>
          <w:tcPr>
            <w:tcW w:w="1568" w:type="dxa"/>
          </w:tcPr>
          <w:p w:rsidR="00DE2831" w:rsidRDefault="00DE2831" w:rsidP="00DE2831">
            <w:pPr>
              <w:jc w:val="center"/>
              <w:rPr>
                <w:lang w:val="en-GB"/>
              </w:rPr>
            </w:pPr>
          </w:p>
        </w:tc>
      </w:tr>
      <w:tr w:rsidR="00DE2831" w:rsidRPr="00723661" w:rsidTr="00DE2831">
        <w:tc>
          <w:tcPr>
            <w:tcW w:w="1077" w:type="dxa"/>
          </w:tcPr>
          <w:p w:rsidR="00DE2831" w:rsidRDefault="00DE2831" w:rsidP="00DE2831">
            <w:pPr>
              <w:jc w:val="center"/>
              <w:rPr>
                <w:lang w:val="en-GB"/>
              </w:rPr>
            </w:pPr>
          </w:p>
        </w:tc>
        <w:tc>
          <w:tcPr>
            <w:tcW w:w="3898" w:type="dxa"/>
          </w:tcPr>
          <w:p w:rsidR="00DE2831" w:rsidRDefault="00DE2831" w:rsidP="00DE2831">
            <w:pPr>
              <w:jc w:val="center"/>
              <w:rPr>
                <w:lang w:val="en-GB"/>
              </w:rPr>
            </w:pPr>
            <w:r>
              <w:rPr>
                <w:lang w:val="en-GB"/>
              </w:rPr>
              <w:t>Introduction of data reporting sheet</w:t>
            </w:r>
          </w:p>
        </w:tc>
        <w:tc>
          <w:tcPr>
            <w:tcW w:w="2150" w:type="dxa"/>
          </w:tcPr>
          <w:p w:rsidR="00DE2831" w:rsidRDefault="00DE2831" w:rsidP="00DE2831">
            <w:pPr>
              <w:jc w:val="center"/>
              <w:rPr>
                <w:lang w:val="en-GB"/>
              </w:rPr>
            </w:pPr>
            <w:r>
              <w:rPr>
                <w:lang w:val="en-GB"/>
              </w:rPr>
              <w:t>Neil Holdsworth/ICES</w:t>
            </w:r>
          </w:p>
        </w:tc>
        <w:tc>
          <w:tcPr>
            <w:tcW w:w="1568" w:type="dxa"/>
          </w:tcPr>
          <w:p w:rsidR="00DE2831" w:rsidRDefault="00DE2831" w:rsidP="00DE2831">
            <w:pPr>
              <w:jc w:val="center"/>
              <w:rPr>
                <w:lang w:val="en-GB"/>
              </w:rPr>
            </w:pPr>
            <w:r>
              <w:rPr>
                <w:lang w:val="en-GB"/>
              </w:rPr>
              <w:t>Working paper 4: worked examples from Baltic, North East Atlantic and Mediterranean</w:t>
            </w:r>
          </w:p>
        </w:tc>
      </w:tr>
      <w:tr w:rsidR="00DE2831" w:rsidRPr="00723661" w:rsidTr="00DE2831">
        <w:tc>
          <w:tcPr>
            <w:tcW w:w="1077" w:type="dxa"/>
          </w:tcPr>
          <w:p w:rsidR="00DE2831" w:rsidRDefault="00DE2831" w:rsidP="00DE2831">
            <w:pPr>
              <w:jc w:val="center"/>
              <w:rPr>
                <w:lang w:val="en-GB"/>
              </w:rPr>
            </w:pPr>
          </w:p>
        </w:tc>
        <w:tc>
          <w:tcPr>
            <w:tcW w:w="3898" w:type="dxa"/>
          </w:tcPr>
          <w:p w:rsidR="00DE2831" w:rsidRDefault="00DE2831" w:rsidP="00DE2831">
            <w:pPr>
              <w:jc w:val="center"/>
              <w:rPr>
                <w:lang w:val="en-GB"/>
              </w:rPr>
            </w:pPr>
            <w:r>
              <w:rPr>
                <w:lang w:val="en-GB"/>
              </w:rPr>
              <w:t xml:space="preserve">How can </w:t>
            </w:r>
            <w:proofErr w:type="spellStart"/>
            <w:r>
              <w:rPr>
                <w:lang w:val="en-GB"/>
              </w:rPr>
              <w:t>Emodnet</w:t>
            </w:r>
            <w:proofErr w:type="spellEnd"/>
            <w:r>
              <w:rPr>
                <w:lang w:val="en-GB"/>
              </w:rPr>
              <w:t xml:space="preserve"> engage in support to MSFD data reporting</w:t>
            </w:r>
          </w:p>
        </w:tc>
        <w:tc>
          <w:tcPr>
            <w:tcW w:w="2150" w:type="dxa"/>
          </w:tcPr>
          <w:p w:rsidR="00DE2831" w:rsidRDefault="00DE2831" w:rsidP="00DE2831">
            <w:pPr>
              <w:jc w:val="center"/>
              <w:rPr>
                <w:lang w:val="en-GB"/>
              </w:rPr>
            </w:pPr>
            <w:r>
              <w:rPr>
                <w:lang w:val="en-GB"/>
              </w:rPr>
              <w:t xml:space="preserve">Alessandra </w:t>
            </w:r>
            <w:proofErr w:type="spellStart"/>
            <w:r>
              <w:rPr>
                <w:lang w:val="en-GB"/>
              </w:rPr>
              <w:t>Giorgetti</w:t>
            </w:r>
            <w:proofErr w:type="spellEnd"/>
            <w:r>
              <w:rPr>
                <w:lang w:val="en-GB"/>
              </w:rPr>
              <w:t xml:space="preserve"> /university of Trieste</w:t>
            </w:r>
          </w:p>
          <w:p w:rsidR="00DE2831" w:rsidRDefault="00DE2831" w:rsidP="00DE2831">
            <w:pPr>
              <w:jc w:val="center"/>
              <w:rPr>
                <w:lang w:val="en-GB"/>
              </w:rPr>
            </w:pPr>
            <w:r>
              <w:rPr>
                <w:lang w:val="en-GB"/>
              </w:rPr>
              <w:t xml:space="preserve">Giordano </w:t>
            </w:r>
            <w:proofErr w:type="spellStart"/>
            <w:r>
              <w:rPr>
                <w:lang w:val="en-GB"/>
              </w:rPr>
              <w:t>Giorgi</w:t>
            </w:r>
            <w:proofErr w:type="spellEnd"/>
            <w:r>
              <w:rPr>
                <w:lang w:val="en-GB"/>
              </w:rPr>
              <w:t xml:space="preserve"> (IT)</w:t>
            </w:r>
          </w:p>
        </w:tc>
        <w:tc>
          <w:tcPr>
            <w:tcW w:w="1568" w:type="dxa"/>
          </w:tcPr>
          <w:p w:rsidR="00DE2831" w:rsidRDefault="00DE2831" w:rsidP="00DE2831">
            <w:pPr>
              <w:jc w:val="center"/>
              <w:rPr>
                <w:lang w:val="en-GB"/>
              </w:rPr>
            </w:pPr>
          </w:p>
        </w:tc>
      </w:tr>
      <w:tr w:rsidR="00DE2831" w:rsidRPr="00076B49" w:rsidTr="00DE2831">
        <w:tc>
          <w:tcPr>
            <w:tcW w:w="1077" w:type="dxa"/>
          </w:tcPr>
          <w:p w:rsidR="00DE2831" w:rsidRDefault="00DE2831" w:rsidP="00DE2831">
            <w:pPr>
              <w:jc w:val="center"/>
              <w:rPr>
                <w:lang w:val="en-GB"/>
              </w:rPr>
            </w:pPr>
            <w:r>
              <w:rPr>
                <w:lang w:val="en-GB"/>
              </w:rPr>
              <w:t>12-13</w:t>
            </w:r>
          </w:p>
        </w:tc>
        <w:tc>
          <w:tcPr>
            <w:tcW w:w="3898" w:type="dxa"/>
          </w:tcPr>
          <w:p w:rsidR="00076B49" w:rsidRDefault="00DE2831" w:rsidP="00DE2831">
            <w:pPr>
              <w:jc w:val="center"/>
              <w:rPr>
                <w:lang w:val="en-GB"/>
              </w:rPr>
            </w:pPr>
            <w:r>
              <w:rPr>
                <w:lang w:val="en-GB"/>
              </w:rPr>
              <w:t xml:space="preserve">Split into breakout groups (assuming  30 participants: 3-4 groups), </w:t>
            </w:r>
          </w:p>
          <w:p w:rsidR="00076B49" w:rsidRDefault="00076B49" w:rsidP="00DE2831">
            <w:pPr>
              <w:jc w:val="center"/>
              <w:rPr>
                <w:lang w:val="en-GB"/>
              </w:rPr>
            </w:pPr>
            <w:r>
              <w:rPr>
                <w:lang w:val="en-GB"/>
              </w:rPr>
              <w:t>R</w:t>
            </w:r>
            <w:r w:rsidR="00DE2831">
              <w:rPr>
                <w:lang w:val="en-GB"/>
              </w:rPr>
              <w:t>apporteurs</w:t>
            </w:r>
            <w:r>
              <w:rPr>
                <w:lang w:val="en-GB"/>
              </w:rPr>
              <w:t xml:space="preserve">: Neil Holdsworth, </w:t>
            </w:r>
            <w:proofErr w:type="spellStart"/>
            <w:r>
              <w:rPr>
                <w:lang w:val="en-GB"/>
              </w:rPr>
              <w:t>Constanca</w:t>
            </w:r>
            <w:proofErr w:type="spellEnd"/>
            <w:r>
              <w:rPr>
                <w:lang w:val="en-GB"/>
              </w:rPr>
              <w:t xml:space="preserve"> Belchior, David Connor, and Trine Christiansen</w:t>
            </w:r>
          </w:p>
          <w:p w:rsidR="00DE2831" w:rsidRDefault="00DE2831" w:rsidP="00076B49">
            <w:pPr>
              <w:jc w:val="center"/>
              <w:rPr>
                <w:lang w:val="en-GB"/>
              </w:rPr>
            </w:pPr>
            <w:r>
              <w:rPr>
                <w:lang w:val="en-GB"/>
              </w:rPr>
              <w:t xml:space="preserve"> </w:t>
            </w:r>
            <w:r w:rsidR="00076B49">
              <w:rPr>
                <w:lang w:val="en-GB"/>
              </w:rPr>
              <w:t xml:space="preserve">Slides with specific questions for discussion will be provided to rapporteurs. </w:t>
            </w:r>
          </w:p>
        </w:tc>
        <w:tc>
          <w:tcPr>
            <w:tcW w:w="2150" w:type="dxa"/>
          </w:tcPr>
          <w:p w:rsidR="00DE2831" w:rsidRDefault="00DE2831" w:rsidP="00DE2831">
            <w:pPr>
              <w:jc w:val="center"/>
              <w:rPr>
                <w:lang w:val="en-GB"/>
              </w:rPr>
            </w:pPr>
            <w:r>
              <w:rPr>
                <w:lang w:val="en-GB"/>
              </w:rPr>
              <w:t>All</w:t>
            </w:r>
          </w:p>
        </w:tc>
        <w:tc>
          <w:tcPr>
            <w:tcW w:w="1568" w:type="dxa"/>
          </w:tcPr>
          <w:p w:rsidR="00DE2831" w:rsidRDefault="00DE2831" w:rsidP="00DE2831">
            <w:pPr>
              <w:jc w:val="center"/>
              <w:rPr>
                <w:lang w:val="en-GB"/>
              </w:rPr>
            </w:pPr>
          </w:p>
        </w:tc>
      </w:tr>
      <w:tr w:rsidR="00DE2831" w:rsidRPr="00076B49" w:rsidTr="00DE2831">
        <w:tc>
          <w:tcPr>
            <w:tcW w:w="1077" w:type="dxa"/>
          </w:tcPr>
          <w:p w:rsidR="00DE2831" w:rsidRDefault="00DE2831" w:rsidP="00DE2831">
            <w:pPr>
              <w:jc w:val="center"/>
              <w:rPr>
                <w:lang w:val="en-GB"/>
              </w:rPr>
            </w:pPr>
            <w:r>
              <w:rPr>
                <w:lang w:val="en-GB"/>
              </w:rPr>
              <w:t>13-14</w:t>
            </w:r>
          </w:p>
        </w:tc>
        <w:tc>
          <w:tcPr>
            <w:tcW w:w="3898" w:type="dxa"/>
          </w:tcPr>
          <w:p w:rsidR="00DE2831" w:rsidRDefault="00DE2831" w:rsidP="00DE2831">
            <w:pPr>
              <w:jc w:val="center"/>
              <w:rPr>
                <w:lang w:val="en-GB"/>
              </w:rPr>
            </w:pPr>
            <w:r>
              <w:rPr>
                <w:lang w:val="en-GB"/>
              </w:rPr>
              <w:t>Lunch</w:t>
            </w:r>
          </w:p>
        </w:tc>
        <w:tc>
          <w:tcPr>
            <w:tcW w:w="2150" w:type="dxa"/>
          </w:tcPr>
          <w:p w:rsidR="00DE2831" w:rsidRDefault="00DE2831" w:rsidP="00DE2831">
            <w:pPr>
              <w:jc w:val="center"/>
              <w:rPr>
                <w:lang w:val="en-GB"/>
              </w:rPr>
            </w:pPr>
          </w:p>
        </w:tc>
        <w:tc>
          <w:tcPr>
            <w:tcW w:w="1568" w:type="dxa"/>
          </w:tcPr>
          <w:p w:rsidR="00DE2831" w:rsidRDefault="00DE2831" w:rsidP="00DE2831">
            <w:pPr>
              <w:jc w:val="center"/>
              <w:rPr>
                <w:lang w:val="en-GB"/>
              </w:rPr>
            </w:pPr>
          </w:p>
        </w:tc>
      </w:tr>
      <w:tr w:rsidR="00DE2831" w:rsidRPr="00076B49" w:rsidTr="00DE2831">
        <w:tc>
          <w:tcPr>
            <w:tcW w:w="1077" w:type="dxa"/>
          </w:tcPr>
          <w:p w:rsidR="00DE2831" w:rsidRDefault="00DE2831" w:rsidP="00DE2831">
            <w:pPr>
              <w:jc w:val="center"/>
              <w:rPr>
                <w:lang w:val="en-GB"/>
              </w:rPr>
            </w:pPr>
            <w:r>
              <w:rPr>
                <w:lang w:val="en-GB"/>
              </w:rPr>
              <w:lastRenderedPageBreak/>
              <w:t>14</w:t>
            </w:r>
          </w:p>
        </w:tc>
        <w:tc>
          <w:tcPr>
            <w:tcW w:w="3898" w:type="dxa"/>
          </w:tcPr>
          <w:p w:rsidR="00DE2831" w:rsidRDefault="00DE2831" w:rsidP="00DE2831">
            <w:pPr>
              <w:jc w:val="center"/>
              <w:rPr>
                <w:lang w:val="en-GB"/>
              </w:rPr>
            </w:pPr>
            <w:r>
              <w:rPr>
                <w:lang w:val="en-GB"/>
              </w:rPr>
              <w:t>Coffee</w:t>
            </w:r>
          </w:p>
        </w:tc>
        <w:tc>
          <w:tcPr>
            <w:tcW w:w="2150" w:type="dxa"/>
          </w:tcPr>
          <w:p w:rsidR="00DE2831" w:rsidRDefault="00DE2831" w:rsidP="00DE2831">
            <w:pPr>
              <w:jc w:val="center"/>
              <w:rPr>
                <w:lang w:val="en-GB"/>
              </w:rPr>
            </w:pPr>
          </w:p>
        </w:tc>
        <w:tc>
          <w:tcPr>
            <w:tcW w:w="1568" w:type="dxa"/>
          </w:tcPr>
          <w:p w:rsidR="00DE2831" w:rsidRDefault="00DE2831" w:rsidP="00DE2831">
            <w:pPr>
              <w:jc w:val="center"/>
              <w:rPr>
                <w:lang w:val="en-GB"/>
              </w:rPr>
            </w:pPr>
          </w:p>
        </w:tc>
      </w:tr>
      <w:tr w:rsidR="00DE2831" w:rsidRPr="00076B49" w:rsidTr="00DE2831">
        <w:tc>
          <w:tcPr>
            <w:tcW w:w="1077" w:type="dxa"/>
          </w:tcPr>
          <w:p w:rsidR="00DE2831" w:rsidRDefault="00DE2831" w:rsidP="00DE2831">
            <w:pPr>
              <w:jc w:val="center"/>
              <w:rPr>
                <w:lang w:val="en-GB"/>
              </w:rPr>
            </w:pPr>
            <w:r>
              <w:rPr>
                <w:lang w:val="en-GB"/>
              </w:rPr>
              <w:t>14-16</w:t>
            </w:r>
          </w:p>
        </w:tc>
        <w:tc>
          <w:tcPr>
            <w:tcW w:w="3898" w:type="dxa"/>
          </w:tcPr>
          <w:p w:rsidR="00DE2831" w:rsidRDefault="00DE2831" w:rsidP="00DE2831">
            <w:pPr>
              <w:jc w:val="center"/>
              <w:rPr>
                <w:lang w:val="en-GB"/>
              </w:rPr>
            </w:pPr>
            <w:r>
              <w:rPr>
                <w:lang w:val="en-GB"/>
              </w:rPr>
              <w:t>Breakout discussions continued</w:t>
            </w:r>
          </w:p>
        </w:tc>
        <w:tc>
          <w:tcPr>
            <w:tcW w:w="2150" w:type="dxa"/>
          </w:tcPr>
          <w:p w:rsidR="00DE2831" w:rsidRDefault="00DE2831" w:rsidP="00DE2831">
            <w:pPr>
              <w:jc w:val="center"/>
              <w:rPr>
                <w:lang w:val="en-GB"/>
              </w:rPr>
            </w:pPr>
            <w:r>
              <w:rPr>
                <w:lang w:val="en-GB"/>
              </w:rPr>
              <w:t>All</w:t>
            </w:r>
          </w:p>
        </w:tc>
        <w:tc>
          <w:tcPr>
            <w:tcW w:w="1568" w:type="dxa"/>
          </w:tcPr>
          <w:p w:rsidR="00DE2831" w:rsidRDefault="00DE2831" w:rsidP="00DE2831">
            <w:pPr>
              <w:jc w:val="center"/>
              <w:rPr>
                <w:lang w:val="en-GB"/>
              </w:rPr>
            </w:pPr>
          </w:p>
        </w:tc>
      </w:tr>
      <w:tr w:rsidR="00DE2831" w:rsidTr="00DE2831">
        <w:tc>
          <w:tcPr>
            <w:tcW w:w="1077" w:type="dxa"/>
          </w:tcPr>
          <w:p w:rsidR="00DE2831" w:rsidRDefault="00DE2831" w:rsidP="00DE2831">
            <w:pPr>
              <w:jc w:val="center"/>
              <w:rPr>
                <w:lang w:val="en-GB"/>
              </w:rPr>
            </w:pPr>
            <w:r>
              <w:rPr>
                <w:lang w:val="en-GB"/>
              </w:rPr>
              <w:t>16-17</w:t>
            </w:r>
          </w:p>
        </w:tc>
        <w:tc>
          <w:tcPr>
            <w:tcW w:w="3898" w:type="dxa"/>
          </w:tcPr>
          <w:p w:rsidR="00DE2831" w:rsidRDefault="00DE2831" w:rsidP="00DE2831">
            <w:pPr>
              <w:jc w:val="center"/>
              <w:rPr>
                <w:lang w:val="en-GB"/>
              </w:rPr>
            </w:pPr>
            <w:r>
              <w:rPr>
                <w:lang w:val="en-GB"/>
              </w:rPr>
              <w:t>Feedback to plenary from breakout groups</w:t>
            </w:r>
          </w:p>
        </w:tc>
        <w:tc>
          <w:tcPr>
            <w:tcW w:w="2150" w:type="dxa"/>
          </w:tcPr>
          <w:p w:rsidR="00DE2831" w:rsidRDefault="00DE2831" w:rsidP="00DE2831">
            <w:pPr>
              <w:jc w:val="center"/>
              <w:rPr>
                <w:lang w:val="en-GB"/>
              </w:rPr>
            </w:pPr>
            <w:r>
              <w:rPr>
                <w:lang w:val="en-GB"/>
              </w:rPr>
              <w:t>Breakout  group rapporteurs</w:t>
            </w:r>
          </w:p>
        </w:tc>
        <w:tc>
          <w:tcPr>
            <w:tcW w:w="1568" w:type="dxa"/>
          </w:tcPr>
          <w:p w:rsidR="00DE2831" w:rsidRDefault="00DE2831" w:rsidP="00DE2831">
            <w:pPr>
              <w:jc w:val="center"/>
              <w:rPr>
                <w:lang w:val="en-GB"/>
              </w:rPr>
            </w:pPr>
          </w:p>
        </w:tc>
      </w:tr>
      <w:tr w:rsidR="00DE2831" w:rsidRPr="00426C37" w:rsidTr="00DE2831">
        <w:tc>
          <w:tcPr>
            <w:tcW w:w="1077" w:type="dxa"/>
          </w:tcPr>
          <w:p w:rsidR="00DE2831" w:rsidRDefault="00DE2831" w:rsidP="00DE2831">
            <w:pPr>
              <w:jc w:val="center"/>
              <w:rPr>
                <w:lang w:val="en-GB"/>
              </w:rPr>
            </w:pPr>
            <w:r>
              <w:rPr>
                <w:lang w:val="en-GB"/>
              </w:rPr>
              <w:t>17</w:t>
            </w:r>
          </w:p>
        </w:tc>
        <w:tc>
          <w:tcPr>
            <w:tcW w:w="3898" w:type="dxa"/>
          </w:tcPr>
          <w:p w:rsidR="00DE2831" w:rsidRDefault="00DE2831" w:rsidP="00DE2831">
            <w:pPr>
              <w:jc w:val="center"/>
              <w:rPr>
                <w:lang w:val="en-GB"/>
              </w:rPr>
            </w:pPr>
            <w:r>
              <w:rPr>
                <w:lang w:val="en-GB"/>
              </w:rPr>
              <w:t>GMES presentation (information point to gauge interest in a dedicated workshop)</w:t>
            </w:r>
          </w:p>
        </w:tc>
        <w:tc>
          <w:tcPr>
            <w:tcW w:w="2150" w:type="dxa"/>
          </w:tcPr>
          <w:p w:rsidR="00DE2831" w:rsidRDefault="00DE2831" w:rsidP="00DE2831">
            <w:pPr>
              <w:jc w:val="center"/>
              <w:rPr>
                <w:lang w:val="en-GB"/>
              </w:rPr>
            </w:pPr>
            <w:r>
              <w:rPr>
                <w:lang w:val="en-GB"/>
              </w:rPr>
              <w:t xml:space="preserve">Giordano </w:t>
            </w:r>
            <w:proofErr w:type="spellStart"/>
            <w:r>
              <w:rPr>
                <w:lang w:val="en-GB"/>
              </w:rPr>
              <w:t>Giorgi</w:t>
            </w:r>
            <w:proofErr w:type="spellEnd"/>
            <w:r>
              <w:rPr>
                <w:lang w:val="en-GB"/>
              </w:rPr>
              <w:t xml:space="preserve"> (IT)</w:t>
            </w:r>
          </w:p>
        </w:tc>
        <w:tc>
          <w:tcPr>
            <w:tcW w:w="1568" w:type="dxa"/>
          </w:tcPr>
          <w:p w:rsidR="00DE2831" w:rsidRDefault="00DE2831" w:rsidP="00DE2831">
            <w:pPr>
              <w:jc w:val="center"/>
              <w:rPr>
                <w:lang w:val="en-GB"/>
              </w:rPr>
            </w:pPr>
          </w:p>
        </w:tc>
      </w:tr>
      <w:tr w:rsidR="00DE2831" w:rsidRPr="00CB395F" w:rsidTr="00DE2831">
        <w:tc>
          <w:tcPr>
            <w:tcW w:w="1077" w:type="dxa"/>
          </w:tcPr>
          <w:p w:rsidR="00DE2831" w:rsidRDefault="00DE2831" w:rsidP="00DE2831">
            <w:pPr>
              <w:jc w:val="center"/>
              <w:rPr>
                <w:lang w:val="en-GB"/>
              </w:rPr>
            </w:pPr>
            <w:r>
              <w:rPr>
                <w:lang w:val="en-GB"/>
              </w:rPr>
              <w:t>17:15</w:t>
            </w:r>
          </w:p>
        </w:tc>
        <w:tc>
          <w:tcPr>
            <w:tcW w:w="3898" w:type="dxa"/>
          </w:tcPr>
          <w:p w:rsidR="00DE2831" w:rsidRDefault="00DE2831" w:rsidP="00DE2831">
            <w:pPr>
              <w:jc w:val="center"/>
              <w:rPr>
                <w:lang w:val="en-GB"/>
              </w:rPr>
            </w:pPr>
            <w:r>
              <w:rPr>
                <w:lang w:val="en-GB"/>
              </w:rPr>
              <w:t>Presentation of fact sheet related to reporting of monitoring programmes</w:t>
            </w:r>
          </w:p>
        </w:tc>
        <w:tc>
          <w:tcPr>
            <w:tcW w:w="2150" w:type="dxa"/>
          </w:tcPr>
          <w:p w:rsidR="00DE2831" w:rsidRDefault="00DE2831" w:rsidP="00DE2831">
            <w:pPr>
              <w:jc w:val="center"/>
              <w:rPr>
                <w:lang w:val="en-GB"/>
              </w:rPr>
            </w:pPr>
            <w:r>
              <w:rPr>
                <w:lang w:val="en-GB"/>
              </w:rPr>
              <w:t xml:space="preserve">Hans-Christian </w:t>
            </w:r>
            <w:proofErr w:type="spellStart"/>
            <w:r>
              <w:rPr>
                <w:lang w:val="en-GB"/>
              </w:rPr>
              <w:t>Reimers</w:t>
            </w:r>
            <w:proofErr w:type="spellEnd"/>
            <w:r>
              <w:rPr>
                <w:lang w:val="en-GB"/>
              </w:rPr>
              <w:t xml:space="preserve">  (DE)</w:t>
            </w:r>
          </w:p>
        </w:tc>
        <w:tc>
          <w:tcPr>
            <w:tcW w:w="1568" w:type="dxa"/>
          </w:tcPr>
          <w:p w:rsidR="00DE2831" w:rsidRDefault="00DE2831" w:rsidP="00DE2831">
            <w:pPr>
              <w:jc w:val="center"/>
              <w:rPr>
                <w:lang w:val="en-GB"/>
              </w:rPr>
            </w:pPr>
            <w:r>
              <w:rPr>
                <w:lang w:val="en-GB"/>
              </w:rPr>
              <w:t>Working paper 5 (</w:t>
            </w:r>
            <w:proofErr w:type="spellStart"/>
            <w:r>
              <w:rPr>
                <w:lang w:val="en-GB"/>
              </w:rPr>
              <w:t>tbc</w:t>
            </w:r>
            <w:proofErr w:type="spellEnd"/>
            <w:r>
              <w:rPr>
                <w:lang w:val="en-GB"/>
              </w:rPr>
              <w:t>)</w:t>
            </w:r>
          </w:p>
        </w:tc>
      </w:tr>
      <w:tr w:rsidR="00DE2831" w:rsidRPr="00BD6F0D" w:rsidTr="00DE2831">
        <w:tc>
          <w:tcPr>
            <w:tcW w:w="1077" w:type="dxa"/>
          </w:tcPr>
          <w:p w:rsidR="00DE2831" w:rsidRDefault="00DE2831" w:rsidP="00DE2831">
            <w:pPr>
              <w:jc w:val="center"/>
              <w:rPr>
                <w:lang w:val="en-GB"/>
              </w:rPr>
            </w:pPr>
          </w:p>
        </w:tc>
        <w:tc>
          <w:tcPr>
            <w:tcW w:w="3898" w:type="dxa"/>
          </w:tcPr>
          <w:p w:rsidR="00DE2831" w:rsidRDefault="00DE2831" w:rsidP="00DE2831">
            <w:pPr>
              <w:jc w:val="center"/>
              <w:rPr>
                <w:lang w:val="en-GB"/>
              </w:rPr>
            </w:pPr>
            <w:r>
              <w:rPr>
                <w:lang w:val="en-GB"/>
              </w:rPr>
              <w:t>Further discussion and meeting conclusions</w:t>
            </w:r>
          </w:p>
        </w:tc>
        <w:tc>
          <w:tcPr>
            <w:tcW w:w="2150" w:type="dxa"/>
          </w:tcPr>
          <w:p w:rsidR="00DE2831" w:rsidRDefault="00076B49" w:rsidP="00DE2831">
            <w:pPr>
              <w:jc w:val="center"/>
              <w:rPr>
                <w:lang w:val="en-GB"/>
              </w:rPr>
            </w:pPr>
            <w:r>
              <w:rPr>
                <w:lang w:val="en-GB"/>
              </w:rPr>
              <w:t>All</w:t>
            </w:r>
          </w:p>
        </w:tc>
        <w:tc>
          <w:tcPr>
            <w:tcW w:w="1568" w:type="dxa"/>
          </w:tcPr>
          <w:p w:rsidR="00DE2831" w:rsidRDefault="00DE2831" w:rsidP="00DE2831">
            <w:pPr>
              <w:jc w:val="center"/>
              <w:rPr>
                <w:lang w:val="en-GB"/>
              </w:rPr>
            </w:pPr>
          </w:p>
        </w:tc>
      </w:tr>
      <w:tr w:rsidR="00DE2831" w:rsidTr="00DE2831">
        <w:tc>
          <w:tcPr>
            <w:tcW w:w="1077" w:type="dxa"/>
          </w:tcPr>
          <w:p w:rsidR="00DE2831" w:rsidRDefault="00DE2831" w:rsidP="00DE2831">
            <w:pPr>
              <w:jc w:val="center"/>
              <w:rPr>
                <w:lang w:val="en-GB"/>
              </w:rPr>
            </w:pPr>
            <w:r>
              <w:rPr>
                <w:lang w:val="en-GB"/>
              </w:rPr>
              <w:t>18:15</w:t>
            </w:r>
          </w:p>
        </w:tc>
        <w:tc>
          <w:tcPr>
            <w:tcW w:w="3898" w:type="dxa"/>
          </w:tcPr>
          <w:p w:rsidR="00DE2831" w:rsidRDefault="00DE2831" w:rsidP="00DE2831">
            <w:pPr>
              <w:jc w:val="center"/>
              <w:rPr>
                <w:lang w:val="en-GB"/>
              </w:rPr>
            </w:pPr>
            <w:r>
              <w:rPr>
                <w:lang w:val="en-GB"/>
              </w:rPr>
              <w:t>Meeting close</w:t>
            </w:r>
          </w:p>
        </w:tc>
        <w:tc>
          <w:tcPr>
            <w:tcW w:w="2150" w:type="dxa"/>
          </w:tcPr>
          <w:p w:rsidR="00DE2831" w:rsidRDefault="00DE2831" w:rsidP="00DE2831">
            <w:pPr>
              <w:jc w:val="center"/>
              <w:rPr>
                <w:lang w:val="en-GB"/>
              </w:rPr>
            </w:pPr>
          </w:p>
        </w:tc>
        <w:tc>
          <w:tcPr>
            <w:tcW w:w="1568" w:type="dxa"/>
          </w:tcPr>
          <w:p w:rsidR="00DE2831" w:rsidRDefault="00DE2831" w:rsidP="00DE2831">
            <w:pPr>
              <w:jc w:val="center"/>
              <w:rPr>
                <w:lang w:val="en-GB"/>
              </w:rPr>
            </w:pPr>
          </w:p>
        </w:tc>
      </w:tr>
      <w:tr w:rsidR="00723661" w:rsidTr="00DE2831">
        <w:tc>
          <w:tcPr>
            <w:tcW w:w="1077" w:type="dxa"/>
          </w:tcPr>
          <w:p w:rsidR="00723661" w:rsidRDefault="00723661" w:rsidP="00DE2831">
            <w:pPr>
              <w:jc w:val="center"/>
              <w:rPr>
                <w:lang w:val="en-GB"/>
              </w:rPr>
            </w:pPr>
          </w:p>
        </w:tc>
        <w:tc>
          <w:tcPr>
            <w:tcW w:w="3898" w:type="dxa"/>
          </w:tcPr>
          <w:p w:rsidR="00723661" w:rsidRDefault="00723661" w:rsidP="00DE2831">
            <w:pPr>
              <w:jc w:val="center"/>
              <w:rPr>
                <w:lang w:val="en-GB"/>
              </w:rPr>
            </w:pPr>
          </w:p>
        </w:tc>
        <w:tc>
          <w:tcPr>
            <w:tcW w:w="2150" w:type="dxa"/>
          </w:tcPr>
          <w:p w:rsidR="00723661" w:rsidRDefault="00723661" w:rsidP="00DE2831">
            <w:pPr>
              <w:jc w:val="center"/>
              <w:rPr>
                <w:lang w:val="en-GB"/>
              </w:rPr>
            </w:pPr>
          </w:p>
        </w:tc>
        <w:tc>
          <w:tcPr>
            <w:tcW w:w="1568" w:type="dxa"/>
          </w:tcPr>
          <w:p w:rsidR="00723661" w:rsidRDefault="00723661" w:rsidP="00DE2831">
            <w:pPr>
              <w:jc w:val="center"/>
              <w:rPr>
                <w:lang w:val="en-GB"/>
              </w:rPr>
            </w:pPr>
          </w:p>
        </w:tc>
      </w:tr>
      <w:tr w:rsidR="00723661" w:rsidRPr="00723661" w:rsidTr="00DE2831">
        <w:tc>
          <w:tcPr>
            <w:tcW w:w="1077" w:type="dxa"/>
          </w:tcPr>
          <w:p w:rsidR="00723661" w:rsidRDefault="00723661" w:rsidP="00DE2831">
            <w:pPr>
              <w:jc w:val="center"/>
              <w:rPr>
                <w:lang w:val="en-GB"/>
              </w:rPr>
            </w:pPr>
          </w:p>
        </w:tc>
        <w:tc>
          <w:tcPr>
            <w:tcW w:w="3898" w:type="dxa"/>
          </w:tcPr>
          <w:p w:rsidR="00723661" w:rsidRPr="00723661" w:rsidRDefault="00723661" w:rsidP="00DE2831">
            <w:pPr>
              <w:jc w:val="center"/>
              <w:rPr>
                <w:i/>
                <w:lang w:val="en-GB"/>
              </w:rPr>
            </w:pPr>
            <w:r>
              <w:rPr>
                <w:i/>
                <w:lang w:val="en-GB"/>
              </w:rPr>
              <w:t>Optional j</w:t>
            </w:r>
            <w:r w:rsidRPr="00723661">
              <w:rPr>
                <w:i/>
                <w:lang w:val="en-GB"/>
              </w:rPr>
              <w:t>oint dinner for those staying</w:t>
            </w:r>
          </w:p>
        </w:tc>
        <w:tc>
          <w:tcPr>
            <w:tcW w:w="2150" w:type="dxa"/>
          </w:tcPr>
          <w:p w:rsidR="00723661" w:rsidRDefault="00723661" w:rsidP="00DE2831">
            <w:pPr>
              <w:jc w:val="center"/>
              <w:rPr>
                <w:lang w:val="en-GB"/>
              </w:rPr>
            </w:pPr>
          </w:p>
        </w:tc>
        <w:tc>
          <w:tcPr>
            <w:tcW w:w="1568" w:type="dxa"/>
          </w:tcPr>
          <w:p w:rsidR="00723661" w:rsidRDefault="00723661" w:rsidP="00DE2831">
            <w:pPr>
              <w:jc w:val="center"/>
              <w:rPr>
                <w:lang w:val="en-GB"/>
              </w:rPr>
            </w:pPr>
          </w:p>
        </w:tc>
      </w:tr>
    </w:tbl>
    <w:p w:rsidR="00320489" w:rsidRDefault="00320489" w:rsidP="00DE2831">
      <w:pPr>
        <w:jc w:val="center"/>
        <w:rPr>
          <w:lang w:val="en-GB"/>
        </w:rPr>
      </w:pPr>
    </w:p>
    <w:p w:rsidR="00522C06" w:rsidRDefault="00522C06">
      <w:pPr>
        <w:rPr>
          <w:rFonts w:asciiTheme="majorHAnsi" w:eastAsiaTheme="majorEastAsia" w:hAnsiTheme="majorHAnsi" w:cstheme="majorBidi"/>
          <w:b/>
          <w:bCs/>
          <w:color w:val="365F91" w:themeColor="accent1" w:themeShade="BF"/>
          <w:sz w:val="28"/>
          <w:szCs w:val="28"/>
          <w:lang w:val="en-GB"/>
        </w:rPr>
      </w:pPr>
      <w:r>
        <w:rPr>
          <w:lang w:val="en-GB"/>
        </w:rPr>
        <w:br w:type="page"/>
      </w:r>
    </w:p>
    <w:p w:rsidR="00522C06" w:rsidRDefault="00522C06" w:rsidP="00522C06">
      <w:pPr>
        <w:pStyle w:val="Heading1"/>
        <w:jc w:val="center"/>
        <w:rPr>
          <w:lang w:val="en-GB"/>
        </w:rPr>
      </w:pPr>
      <w:r>
        <w:rPr>
          <w:lang w:val="en-GB"/>
        </w:rPr>
        <w:lastRenderedPageBreak/>
        <w:t xml:space="preserve">Draft </w:t>
      </w:r>
      <w:r>
        <w:rPr>
          <w:lang w:val="en-GB"/>
        </w:rPr>
        <w:t>agenda for 19</w:t>
      </w:r>
      <w:r w:rsidRPr="00522C06">
        <w:rPr>
          <w:vertAlign w:val="superscript"/>
          <w:lang w:val="en-GB"/>
        </w:rPr>
        <w:t>th</w:t>
      </w:r>
      <w:r>
        <w:rPr>
          <w:lang w:val="en-GB"/>
        </w:rPr>
        <w:t xml:space="preserve"> MODEG</w:t>
      </w:r>
      <w:r>
        <w:rPr>
          <w:lang w:val="en-GB"/>
        </w:rPr>
        <w:t xml:space="preserve"> meeting</w:t>
      </w:r>
    </w:p>
    <w:p w:rsidR="00522C06" w:rsidRDefault="00522C06" w:rsidP="00522C06">
      <w:pPr>
        <w:spacing w:after="0" w:line="240" w:lineRule="auto"/>
        <w:jc w:val="center"/>
        <w:rPr>
          <w:lang w:val="en-GB"/>
        </w:rPr>
      </w:pPr>
      <w:r>
        <w:rPr>
          <w:lang w:val="en-GB"/>
        </w:rPr>
        <w:t>July 5</w:t>
      </w:r>
      <w:r w:rsidRPr="00320489">
        <w:rPr>
          <w:vertAlign w:val="superscript"/>
          <w:lang w:val="en-GB"/>
        </w:rPr>
        <w:t>th</w:t>
      </w:r>
      <w:r>
        <w:rPr>
          <w:lang w:val="en-GB"/>
        </w:rPr>
        <w:t xml:space="preserve">, 2013, </w:t>
      </w:r>
    </w:p>
    <w:p w:rsidR="00522C06" w:rsidRDefault="00522C06" w:rsidP="00522C06">
      <w:pPr>
        <w:spacing w:after="0" w:line="240" w:lineRule="auto"/>
        <w:jc w:val="center"/>
        <w:rPr>
          <w:lang w:val="en-GB"/>
        </w:rPr>
      </w:pPr>
      <w:r>
        <w:rPr>
          <w:lang w:val="en-GB"/>
        </w:rPr>
        <w:t>8:30-17</w:t>
      </w:r>
    </w:p>
    <w:p w:rsidR="00522C06" w:rsidRDefault="00522C06" w:rsidP="00522C06">
      <w:pPr>
        <w:spacing w:after="0" w:line="240" w:lineRule="auto"/>
        <w:jc w:val="center"/>
        <w:rPr>
          <w:lang w:val="en-GB"/>
        </w:rPr>
      </w:pPr>
      <w:r>
        <w:rPr>
          <w:lang w:val="en-GB"/>
        </w:rPr>
        <w:t>European Environment Agency</w:t>
      </w:r>
    </w:p>
    <w:p w:rsidR="00522C06" w:rsidRDefault="00522C06" w:rsidP="00522C06">
      <w:pPr>
        <w:spacing w:after="0" w:line="240" w:lineRule="auto"/>
        <w:jc w:val="center"/>
        <w:rPr>
          <w:lang w:val="en-GB"/>
        </w:rPr>
      </w:pPr>
      <w:proofErr w:type="spellStart"/>
      <w:r>
        <w:rPr>
          <w:lang w:val="en-GB"/>
        </w:rPr>
        <w:t>Kgs</w:t>
      </w:r>
      <w:proofErr w:type="spellEnd"/>
      <w:r>
        <w:rPr>
          <w:lang w:val="en-GB"/>
        </w:rPr>
        <w:t xml:space="preserve"> </w:t>
      </w:r>
      <w:proofErr w:type="spellStart"/>
      <w:r>
        <w:rPr>
          <w:lang w:val="en-GB"/>
        </w:rPr>
        <w:t>Nytorv</w:t>
      </w:r>
      <w:proofErr w:type="spellEnd"/>
      <w:r>
        <w:rPr>
          <w:lang w:val="en-GB"/>
        </w:rPr>
        <w:t xml:space="preserve"> 6</w:t>
      </w:r>
    </w:p>
    <w:p w:rsidR="00522C06" w:rsidRDefault="00522C06" w:rsidP="00522C06">
      <w:pPr>
        <w:spacing w:after="0" w:line="240" w:lineRule="auto"/>
        <w:jc w:val="center"/>
        <w:rPr>
          <w:lang w:val="en-GB"/>
        </w:rPr>
      </w:pPr>
      <w:r>
        <w:rPr>
          <w:lang w:val="en-GB"/>
        </w:rPr>
        <w:t>Copenhagen</w:t>
      </w:r>
    </w:p>
    <w:p w:rsidR="00522C06" w:rsidRDefault="00522C06" w:rsidP="00522C06">
      <w:pPr>
        <w:jc w:val="center"/>
        <w:rPr>
          <w:lang w:val="en-GB"/>
        </w:rPr>
      </w:pPr>
    </w:p>
    <w:p w:rsidR="00522C06" w:rsidRDefault="00522C06" w:rsidP="00522C06">
      <w:pPr>
        <w:rPr>
          <w:lang w:val="en-GB"/>
        </w:rPr>
      </w:pPr>
      <w:r>
        <w:rPr>
          <w:lang w:val="en-GB"/>
        </w:rPr>
        <w:t>Workshop Chair: DG Mare</w:t>
      </w:r>
    </w:p>
    <w:tbl>
      <w:tblPr>
        <w:tblStyle w:val="TableGrid"/>
        <w:tblW w:w="0" w:type="auto"/>
        <w:tblLook w:val="04A0" w:firstRow="1" w:lastRow="0" w:firstColumn="1" w:lastColumn="0" w:noHBand="0" w:noVBand="1"/>
      </w:tblPr>
      <w:tblGrid>
        <w:gridCol w:w="1077"/>
        <w:gridCol w:w="3898"/>
        <w:gridCol w:w="2150"/>
        <w:gridCol w:w="1568"/>
      </w:tblGrid>
      <w:tr w:rsidR="00522C06" w:rsidTr="00C35772">
        <w:tc>
          <w:tcPr>
            <w:tcW w:w="1077" w:type="dxa"/>
          </w:tcPr>
          <w:p w:rsidR="00522C06" w:rsidRPr="00DE2831" w:rsidRDefault="00522C06" w:rsidP="00C35772">
            <w:pPr>
              <w:jc w:val="center"/>
              <w:rPr>
                <w:b/>
                <w:lang w:val="en-GB"/>
              </w:rPr>
            </w:pPr>
            <w:r w:rsidRPr="00DE2831">
              <w:rPr>
                <w:b/>
                <w:lang w:val="en-GB"/>
              </w:rPr>
              <w:t>Time</w:t>
            </w:r>
          </w:p>
        </w:tc>
        <w:tc>
          <w:tcPr>
            <w:tcW w:w="3898" w:type="dxa"/>
          </w:tcPr>
          <w:p w:rsidR="00522C06" w:rsidRPr="00DE2831" w:rsidRDefault="00522C06" w:rsidP="00C35772">
            <w:pPr>
              <w:jc w:val="center"/>
              <w:rPr>
                <w:b/>
                <w:lang w:val="en-GB"/>
              </w:rPr>
            </w:pPr>
            <w:r w:rsidRPr="00DE2831">
              <w:rPr>
                <w:b/>
                <w:lang w:val="en-GB"/>
              </w:rPr>
              <w:t>Item</w:t>
            </w:r>
          </w:p>
        </w:tc>
        <w:tc>
          <w:tcPr>
            <w:tcW w:w="2150" w:type="dxa"/>
          </w:tcPr>
          <w:p w:rsidR="00522C06" w:rsidRPr="00DE2831" w:rsidRDefault="00522C06" w:rsidP="00C35772">
            <w:pPr>
              <w:jc w:val="center"/>
              <w:rPr>
                <w:b/>
                <w:lang w:val="en-GB"/>
              </w:rPr>
            </w:pPr>
            <w:r w:rsidRPr="00DE2831">
              <w:rPr>
                <w:b/>
                <w:lang w:val="en-GB"/>
              </w:rPr>
              <w:t>Presenter</w:t>
            </w:r>
          </w:p>
        </w:tc>
        <w:tc>
          <w:tcPr>
            <w:tcW w:w="1568" w:type="dxa"/>
          </w:tcPr>
          <w:p w:rsidR="00522C06" w:rsidRPr="00DE2831" w:rsidRDefault="00522C06" w:rsidP="00C35772">
            <w:pPr>
              <w:jc w:val="center"/>
              <w:rPr>
                <w:b/>
                <w:lang w:val="en-GB"/>
              </w:rPr>
            </w:pPr>
            <w:r w:rsidRPr="00DE2831">
              <w:rPr>
                <w:b/>
                <w:lang w:val="en-GB"/>
              </w:rPr>
              <w:t>Paper</w:t>
            </w:r>
          </w:p>
        </w:tc>
      </w:tr>
      <w:tr w:rsidR="00522C06" w:rsidTr="00C35772">
        <w:tc>
          <w:tcPr>
            <w:tcW w:w="1077" w:type="dxa"/>
          </w:tcPr>
          <w:p w:rsidR="00522C06" w:rsidRDefault="00522C06" w:rsidP="00C35772">
            <w:pPr>
              <w:jc w:val="center"/>
              <w:rPr>
                <w:lang w:val="en-GB"/>
              </w:rPr>
            </w:pPr>
            <w:r>
              <w:rPr>
                <w:lang w:val="en-GB"/>
              </w:rPr>
              <w:t>8.30</w:t>
            </w:r>
          </w:p>
        </w:tc>
        <w:tc>
          <w:tcPr>
            <w:tcW w:w="3898" w:type="dxa"/>
          </w:tcPr>
          <w:p w:rsidR="00522C06" w:rsidRDefault="00522C06" w:rsidP="00C35772">
            <w:pPr>
              <w:rPr>
                <w:lang w:val="en-GB"/>
              </w:rPr>
            </w:pPr>
            <w:r>
              <w:rPr>
                <w:lang w:val="en-GB"/>
              </w:rPr>
              <w:t>Welcome and introduction to new MODEG members</w:t>
            </w:r>
          </w:p>
        </w:tc>
        <w:tc>
          <w:tcPr>
            <w:tcW w:w="2150" w:type="dxa"/>
          </w:tcPr>
          <w:p w:rsidR="00522C06" w:rsidRDefault="00522C06" w:rsidP="00C35772">
            <w:pPr>
              <w:jc w:val="center"/>
              <w:rPr>
                <w:lang w:val="en-GB"/>
              </w:rPr>
            </w:pPr>
            <w:r>
              <w:rPr>
                <w:lang w:val="en-GB"/>
              </w:rPr>
              <w:t>DG-MARE</w:t>
            </w:r>
          </w:p>
        </w:tc>
        <w:tc>
          <w:tcPr>
            <w:tcW w:w="1568" w:type="dxa"/>
          </w:tcPr>
          <w:p w:rsidR="00522C06" w:rsidRDefault="00522C06" w:rsidP="00C35772">
            <w:pPr>
              <w:jc w:val="center"/>
              <w:rPr>
                <w:lang w:val="en-GB"/>
              </w:rPr>
            </w:pPr>
          </w:p>
        </w:tc>
      </w:tr>
      <w:tr w:rsidR="00522C06" w:rsidTr="00C35772">
        <w:tc>
          <w:tcPr>
            <w:tcW w:w="1077" w:type="dxa"/>
          </w:tcPr>
          <w:p w:rsidR="00522C06" w:rsidRDefault="00522C06" w:rsidP="00C35772">
            <w:pPr>
              <w:jc w:val="center"/>
              <w:rPr>
                <w:lang w:val="en-GB"/>
              </w:rPr>
            </w:pPr>
            <w:r>
              <w:rPr>
                <w:lang w:val="en-GB"/>
              </w:rPr>
              <w:t>9.00</w:t>
            </w:r>
          </w:p>
        </w:tc>
        <w:tc>
          <w:tcPr>
            <w:tcW w:w="3898" w:type="dxa"/>
          </w:tcPr>
          <w:p w:rsidR="00522C06" w:rsidRDefault="00522C06" w:rsidP="00C35772">
            <w:pPr>
              <w:rPr>
                <w:lang w:val="en-GB"/>
              </w:rPr>
            </w:pPr>
            <w:proofErr w:type="spellStart"/>
            <w:r>
              <w:rPr>
                <w:lang w:val="en-GB"/>
              </w:rPr>
              <w:t>EMODnet</w:t>
            </w:r>
            <w:proofErr w:type="spellEnd"/>
            <w:r>
              <w:rPr>
                <w:lang w:val="en-GB"/>
              </w:rPr>
              <w:t xml:space="preserve"> bathymetry</w:t>
            </w:r>
          </w:p>
        </w:tc>
        <w:tc>
          <w:tcPr>
            <w:tcW w:w="2150" w:type="dxa"/>
          </w:tcPr>
          <w:p w:rsidR="00522C06" w:rsidRDefault="00522C06" w:rsidP="00C35772">
            <w:pPr>
              <w:jc w:val="center"/>
              <w:rPr>
                <w:lang w:val="en-GB"/>
              </w:rPr>
            </w:pPr>
          </w:p>
        </w:tc>
        <w:tc>
          <w:tcPr>
            <w:tcW w:w="1568" w:type="dxa"/>
          </w:tcPr>
          <w:p w:rsidR="00522C06" w:rsidRDefault="00522C06" w:rsidP="00C35772">
            <w:pPr>
              <w:jc w:val="center"/>
              <w:rPr>
                <w:lang w:val="en-GB"/>
              </w:rPr>
            </w:pPr>
          </w:p>
        </w:tc>
      </w:tr>
      <w:tr w:rsidR="00522C06" w:rsidTr="00C35772">
        <w:tc>
          <w:tcPr>
            <w:tcW w:w="1077" w:type="dxa"/>
          </w:tcPr>
          <w:p w:rsidR="00522C06" w:rsidRDefault="00522C06" w:rsidP="00C35772">
            <w:pPr>
              <w:jc w:val="center"/>
              <w:rPr>
                <w:lang w:val="en-GB"/>
              </w:rPr>
            </w:pPr>
            <w:r>
              <w:rPr>
                <w:lang w:val="en-GB"/>
              </w:rPr>
              <w:t>9.30</w:t>
            </w:r>
          </w:p>
        </w:tc>
        <w:tc>
          <w:tcPr>
            <w:tcW w:w="3898" w:type="dxa"/>
          </w:tcPr>
          <w:p w:rsidR="00522C06" w:rsidRDefault="00522C06" w:rsidP="00C35772">
            <w:pPr>
              <w:rPr>
                <w:lang w:val="en-GB"/>
              </w:rPr>
            </w:pPr>
            <w:proofErr w:type="spellStart"/>
            <w:r>
              <w:rPr>
                <w:lang w:val="en-GB"/>
              </w:rPr>
              <w:t>EMODnet</w:t>
            </w:r>
            <w:proofErr w:type="spellEnd"/>
            <w:r>
              <w:rPr>
                <w:lang w:val="en-GB"/>
              </w:rPr>
              <w:t xml:space="preserve"> geology</w:t>
            </w:r>
          </w:p>
        </w:tc>
        <w:tc>
          <w:tcPr>
            <w:tcW w:w="2150" w:type="dxa"/>
          </w:tcPr>
          <w:p w:rsidR="00522C06" w:rsidRDefault="00522C06" w:rsidP="00C35772">
            <w:pPr>
              <w:jc w:val="center"/>
              <w:rPr>
                <w:lang w:val="en-GB"/>
              </w:rPr>
            </w:pPr>
          </w:p>
        </w:tc>
        <w:tc>
          <w:tcPr>
            <w:tcW w:w="1568" w:type="dxa"/>
          </w:tcPr>
          <w:p w:rsidR="00522C06" w:rsidRDefault="00522C06" w:rsidP="00C35772">
            <w:pPr>
              <w:jc w:val="center"/>
              <w:rPr>
                <w:lang w:val="en-GB"/>
              </w:rPr>
            </w:pPr>
          </w:p>
        </w:tc>
      </w:tr>
      <w:tr w:rsidR="00522C06" w:rsidTr="00C35772">
        <w:tc>
          <w:tcPr>
            <w:tcW w:w="1077" w:type="dxa"/>
          </w:tcPr>
          <w:p w:rsidR="00522C06" w:rsidRDefault="00522C06" w:rsidP="00C35772">
            <w:pPr>
              <w:jc w:val="center"/>
              <w:rPr>
                <w:lang w:val="en-GB"/>
              </w:rPr>
            </w:pPr>
            <w:r>
              <w:rPr>
                <w:lang w:val="en-GB"/>
              </w:rPr>
              <w:t>10.00</w:t>
            </w:r>
          </w:p>
        </w:tc>
        <w:tc>
          <w:tcPr>
            <w:tcW w:w="3898" w:type="dxa"/>
          </w:tcPr>
          <w:p w:rsidR="00522C06" w:rsidRDefault="00522C06" w:rsidP="00C35772">
            <w:pPr>
              <w:rPr>
                <w:lang w:val="en-GB"/>
              </w:rPr>
            </w:pPr>
            <w:proofErr w:type="spellStart"/>
            <w:r>
              <w:rPr>
                <w:lang w:val="en-GB"/>
              </w:rPr>
              <w:t>EMODnet</w:t>
            </w:r>
            <w:proofErr w:type="spellEnd"/>
            <w:r>
              <w:rPr>
                <w:lang w:val="en-GB"/>
              </w:rPr>
              <w:t xml:space="preserve"> physics</w:t>
            </w:r>
          </w:p>
        </w:tc>
        <w:tc>
          <w:tcPr>
            <w:tcW w:w="2150" w:type="dxa"/>
          </w:tcPr>
          <w:p w:rsidR="00522C06" w:rsidRDefault="00522C06" w:rsidP="00C35772">
            <w:pPr>
              <w:jc w:val="center"/>
              <w:rPr>
                <w:lang w:val="en-GB"/>
              </w:rPr>
            </w:pPr>
          </w:p>
        </w:tc>
        <w:tc>
          <w:tcPr>
            <w:tcW w:w="1568" w:type="dxa"/>
          </w:tcPr>
          <w:p w:rsidR="00522C06" w:rsidRDefault="00522C06" w:rsidP="00C35772">
            <w:pPr>
              <w:jc w:val="center"/>
              <w:rPr>
                <w:lang w:val="en-GB"/>
              </w:rPr>
            </w:pPr>
          </w:p>
        </w:tc>
      </w:tr>
      <w:tr w:rsidR="00522C06" w:rsidTr="00C35772">
        <w:tc>
          <w:tcPr>
            <w:tcW w:w="1077" w:type="dxa"/>
          </w:tcPr>
          <w:p w:rsidR="00522C06" w:rsidRDefault="00522C06" w:rsidP="00C35772">
            <w:pPr>
              <w:jc w:val="center"/>
              <w:rPr>
                <w:lang w:val="en-GB"/>
              </w:rPr>
            </w:pPr>
            <w:r>
              <w:rPr>
                <w:lang w:val="en-GB"/>
              </w:rPr>
              <w:t>10.30</w:t>
            </w:r>
          </w:p>
        </w:tc>
        <w:tc>
          <w:tcPr>
            <w:tcW w:w="3898" w:type="dxa"/>
          </w:tcPr>
          <w:p w:rsidR="00522C06" w:rsidRDefault="00522C06" w:rsidP="00C35772">
            <w:pPr>
              <w:rPr>
                <w:lang w:val="en-GB"/>
              </w:rPr>
            </w:pPr>
            <w:r>
              <w:rPr>
                <w:lang w:val="en-GB"/>
              </w:rPr>
              <w:t>Coffee</w:t>
            </w:r>
          </w:p>
        </w:tc>
        <w:tc>
          <w:tcPr>
            <w:tcW w:w="2150" w:type="dxa"/>
          </w:tcPr>
          <w:p w:rsidR="00522C06" w:rsidRDefault="00522C06" w:rsidP="00C35772">
            <w:pPr>
              <w:jc w:val="center"/>
              <w:rPr>
                <w:lang w:val="en-GB"/>
              </w:rPr>
            </w:pPr>
          </w:p>
        </w:tc>
        <w:tc>
          <w:tcPr>
            <w:tcW w:w="1568" w:type="dxa"/>
          </w:tcPr>
          <w:p w:rsidR="00522C06" w:rsidRDefault="00522C06" w:rsidP="00C35772">
            <w:pPr>
              <w:jc w:val="center"/>
              <w:rPr>
                <w:lang w:val="en-GB"/>
              </w:rPr>
            </w:pPr>
          </w:p>
        </w:tc>
      </w:tr>
      <w:tr w:rsidR="00522C06" w:rsidTr="00C35772">
        <w:tc>
          <w:tcPr>
            <w:tcW w:w="1077" w:type="dxa"/>
          </w:tcPr>
          <w:p w:rsidR="00522C06" w:rsidRDefault="00522C06" w:rsidP="00C35772">
            <w:pPr>
              <w:jc w:val="center"/>
              <w:rPr>
                <w:lang w:val="en-GB"/>
              </w:rPr>
            </w:pPr>
            <w:r>
              <w:rPr>
                <w:lang w:val="en-GB"/>
              </w:rPr>
              <w:t>11.00</w:t>
            </w:r>
          </w:p>
        </w:tc>
        <w:tc>
          <w:tcPr>
            <w:tcW w:w="3898" w:type="dxa"/>
          </w:tcPr>
          <w:p w:rsidR="00522C06" w:rsidRDefault="00522C06" w:rsidP="00C35772">
            <w:pPr>
              <w:rPr>
                <w:lang w:val="en-GB"/>
              </w:rPr>
            </w:pPr>
            <w:proofErr w:type="spellStart"/>
            <w:r>
              <w:rPr>
                <w:lang w:val="en-GB"/>
              </w:rPr>
              <w:t>EMODNet</w:t>
            </w:r>
            <w:proofErr w:type="spellEnd"/>
            <w:r>
              <w:rPr>
                <w:lang w:val="en-GB"/>
              </w:rPr>
              <w:t xml:space="preserve"> chemistry</w:t>
            </w:r>
          </w:p>
        </w:tc>
        <w:tc>
          <w:tcPr>
            <w:tcW w:w="2150" w:type="dxa"/>
          </w:tcPr>
          <w:p w:rsidR="00522C06" w:rsidRDefault="00522C06" w:rsidP="00C35772">
            <w:pPr>
              <w:jc w:val="center"/>
              <w:rPr>
                <w:lang w:val="en-GB"/>
              </w:rPr>
            </w:pPr>
          </w:p>
        </w:tc>
        <w:tc>
          <w:tcPr>
            <w:tcW w:w="1568" w:type="dxa"/>
          </w:tcPr>
          <w:p w:rsidR="00522C06" w:rsidRDefault="00522C06" w:rsidP="00C35772">
            <w:pPr>
              <w:jc w:val="center"/>
              <w:rPr>
                <w:lang w:val="en-GB"/>
              </w:rPr>
            </w:pPr>
          </w:p>
        </w:tc>
      </w:tr>
      <w:tr w:rsidR="00522C06" w:rsidTr="00C35772">
        <w:tc>
          <w:tcPr>
            <w:tcW w:w="1077" w:type="dxa"/>
          </w:tcPr>
          <w:p w:rsidR="00522C06" w:rsidRDefault="00522C06" w:rsidP="00C35772">
            <w:pPr>
              <w:jc w:val="center"/>
              <w:rPr>
                <w:lang w:val="en-GB"/>
              </w:rPr>
            </w:pPr>
            <w:r>
              <w:rPr>
                <w:lang w:val="en-GB"/>
              </w:rPr>
              <w:t>11.30</w:t>
            </w:r>
          </w:p>
        </w:tc>
        <w:tc>
          <w:tcPr>
            <w:tcW w:w="3898" w:type="dxa"/>
          </w:tcPr>
          <w:p w:rsidR="00522C06" w:rsidRDefault="00522C06" w:rsidP="00C35772">
            <w:pPr>
              <w:rPr>
                <w:lang w:val="en-GB"/>
              </w:rPr>
            </w:pPr>
            <w:proofErr w:type="spellStart"/>
            <w:r>
              <w:rPr>
                <w:lang w:val="en-GB"/>
              </w:rPr>
              <w:t>EMODnet</w:t>
            </w:r>
            <w:proofErr w:type="spellEnd"/>
            <w:r>
              <w:rPr>
                <w:lang w:val="en-GB"/>
              </w:rPr>
              <w:t xml:space="preserve"> biology</w:t>
            </w:r>
          </w:p>
        </w:tc>
        <w:tc>
          <w:tcPr>
            <w:tcW w:w="2150" w:type="dxa"/>
          </w:tcPr>
          <w:p w:rsidR="00522C06" w:rsidRDefault="00522C06" w:rsidP="00C35772">
            <w:pPr>
              <w:jc w:val="center"/>
              <w:rPr>
                <w:lang w:val="en-GB"/>
              </w:rPr>
            </w:pPr>
          </w:p>
        </w:tc>
        <w:tc>
          <w:tcPr>
            <w:tcW w:w="1568" w:type="dxa"/>
          </w:tcPr>
          <w:p w:rsidR="00522C06" w:rsidRDefault="00522C06" w:rsidP="00C35772">
            <w:pPr>
              <w:jc w:val="center"/>
              <w:rPr>
                <w:lang w:val="en-GB"/>
              </w:rPr>
            </w:pPr>
          </w:p>
        </w:tc>
      </w:tr>
      <w:tr w:rsidR="00522C06" w:rsidTr="00C35772">
        <w:tc>
          <w:tcPr>
            <w:tcW w:w="1077" w:type="dxa"/>
          </w:tcPr>
          <w:p w:rsidR="00522C06" w:rsidRDefault="00522C06" w:rsidP="00C35772">
            <w:pPr>
              <w:jc w:val="center"/>
              <w:rPr>
                <w:lang w:val="en-GB"/>
              </w:rPr>
            </w:pPr>
            <w:r>
              <w:rPr>
                <w:lang w:val="en-GB"/>
              </w:rPr>
              <w:t>12.00</w:t>
            </w:r>
          </w:p>
        </w:tc>
        <w:tc>
          <w:tcPr>
            <w:tcW w:w="3898" w:type="dxa"/>
          </w:tcPr>
          <w:p w:rsidR="00522C06" w:rsidRDefault="00522C06" w:rsidP="00C35772">
            <w:pPr>
              <w:rPr>
                <w:lang w:val="en-GB"/>
              </w:rPr>
            </w:pPr>
            <w:proofErr w:type="spellStart"/>
            <w:r>
              <w:rPr>
                <w:lang w:val="en-GB"/>
              </w:rPr>
              <w:t>EMODnet</w:t>
            </w:r>
            <w:proofErr w:type="spellEnd"/>
            <w:r>
              <w:rPr>
                <w:lang w:val="en-GB"/>
              </w:rPr>
              <w:t xml:space="preserve"> human activity</w:t>
            </w:r>
          </w:p>
        </w:tc>
        <w:tc>
          <w:tcPr>
            <w:tcW w:w="2150" w:type="dxa"/>
          </w:tcPr>
          <w:p w:rsidR="00522C06" w:rsidRDefault="00522C06" w:rsidP="00C35772">
            <w:pPr>
              <w:jc w:val="center"/>
              <w:rPr>
                <w:lang w:val="en-GB"/>
              </w:rPr>
            </w:pPr>
          </w:p>
        </w:tc>
        <w:tc>
          <w:tcPr>
            <w:tcW w:w="1568" w:type="dxa"/>
          </w:tcPr>
          <w:p w:rsidR="00522C06" w:rsidRDefault="00522C06" w:rsidP="00C35772">
            <w:pPr>
              <w:jc w:val="center"/>
              <w:rPr>
                <w:lang w:val="en-GB"/>
              </w:rPr>
            </w:pPr>
          </w:p>
        </w:tc>
      </w:tr>
      <w:tr w:rsidR="00522C06" w:rsidTr="00C35772">
        <w:tc>
          <w:tcPr>
            <w:tcW w:w="1077" w:type="dxa"/>
          </w:tcPr>
          <w:p w:rsidR="00522C06" w:rsidRDefault="00522C06" w:rsidP="00C35772">
            <w:pPr>
              <w:jc w:val="center"/>
              <w:rPr>
                <w:lang w:val="en-GB"/>
              </w:rPr>
            </w:pPr>
            <w:r>
              <w:rPr>
                <w:lang w:val="en-GB"/>
              </w:rPr>
              <w:t>12.30</w:t>
            </w:r>
          </w:p>
        </w:tc>
        <w:tc>
          <w:tcPr>
            <w:tcW w:w="3898" w:type="dxa"/>
          </w:tcPr>
          <w:p w:rsidR="00522C06" w:rsidRDefault="00522C06" w:rsidP="00C35772">
            <w:pPr>
              <w:rPr>
                <w:lang w:val="en-GB"/>
              </w:rPr>
            </w:pPr>
            <w:r>
              <w:rPr>
                <w:lang w:val="en-GB"/>
              </w:rPr>
              <w:t>lunch</w:t>
            </w:r>
          </w:p>
        </w:tc>
        <w:tc>
          <w:tcPr>
            <w:tcW w:w="2150" w:type="dxa"/>
          </w:tcPr>
          <w:p w:rsidR="00522C06" w:rsidRDefault="00522C06" w:rsidP="00C35772">
            <w:pPr>
              <w:jc w:val="center"/>
              <w:rPr>
                <w:lang w:val="en-GB"/>
              </w:rPr>
            </w:pPr>
          </w:p>
        </w:tc>
        <w:tc>
          <w:tcPr>
            <w:tcW w:w="1568" w:type="dxa"/>
          </w:tcPr>
          <w:p w:rsidR="00522C06" w:rsidRDefault="00522C06" w:rsidP="00C35772">
            <w:pPr>
              <w:jc w:val="center"/>
              <w:rPr>
                <w:lang w:val="en-GB"/>
              </w:rPr>
            </w:pPr>
          </w:p>
        </w:tc>
      </w:tr>
      <w:tr w:rsidR="00522C06" w:rsidTr="00C35772">
        <w:tc>
          <w:tcPr>
            <w:tcW w:w="1077" w:type="dxa"/>
          </w:tcPr>
          <w:p w:rsidR="00522C06" w:rsidRDefault="00522C06" w:rsidP="00C35772">
            <w:pPr>
              <w:jc w:val="center"/>
              <w:rPr>
                <w:lang w:val="en-GB"/>
              </w:rPr>
            </w:pPr>
            <w:r>
              <w:rPr>
                <w:lang w:val="en-GB"/>
              </w:rPr>
              <w:t>14.00</w:t>
            </w:r>
          </w:p>
        </w:tc>
        <w:tc>
          <w:tcPr>
            <w:tcW w:w="3898" w:type="dxa"/>
          </w:tcPr>
          <w:p w:rsidR="00522C06" w:rsidRDefault="00522C06" w:rsidP="00C35772">
            <w:pPr>
              <w:rPr>
                <w:lang w:val="en-GB"/>
              </w:rPr>
            </w:pPr>
            <w:proofErr w:type="spellStart"/>
            <w:r>
              <w:rPr>
                <w:lang w:val="en-GB"/>
              </w:rPr>
              <w:t>EMODnet</w:t>
            </w:r>
            <w:proofErr w:type="spellEnd"/>
            <w:r>
              <w:rPr>
                <w:lang w:val="en-GB"/>
              </w:rPr>
              <w:t xml:space="preserve"> habitats</w:t>
            </w:r>
          </w:p>
        </w:tc>
        <w:tc>
          <w:tcPr>
            <w:tcW w:w="2150" w:type="dxa"/>
          </w:tcPr>
          <w:p w:rsidR="00522C06" w:rsidRDefault="00522C06" w:rsidP="00C35772">
            <w:pPr>
              <w:jc w:val="center"/>
              <w:rPr>
                <w:lang w:val="en-GB"/>
              </w:rPr>
            </w:pPr>
          </w:p>
        </w:tc>
        <w:tc>
          <w:tcPr>
            <w:tcW w:w="1568" w:type="dxa"/>
          </w:tcPr>
          <w:p w:rsidR="00522C06" w:rsidRDefault="00522C06" w:rsidP="00C35772">
            <w:pPr>
              <w:jc w:val="center"/>
              <w:rPr>
                <w:lang w:val="en-GB"/>
              </w:rPr>
            </w:pPr>
          </w:p>
        </w:tc>
      </w:tr>
      <w:tr w:rsidR="00522C06" w:rsidTr="00C35772">
        <w:tc>
          <w:tcPr>
            <w:tcW w:w="1077" w:type="dxa"/>
          </w:tcPr>
          <w:p w:rsidR="00522C06" w:rsidRDefault="00522C06" w:rsidP="00C35772">
            <w:pPr>
              <w:jc w:val="center"/>
              <w:rPr>
                <w:lang w:val="en-GB"/>
              </w:rPr>
            </w:pPr>
            <w:r>
              <w:rPr>
                <w:lang w:val="en-GB"/>
              </w:rPr>
              <w:t>14.30</w:t>
            </w:r>
          </w:p>
        </w:tc>
        <w:tc>
          <w:tcPr>
            <w:tcW w:w="3898" w:type="dxa"/>
          </w:tcPr>
          <w:p w:rsidR="00522C06" w:rsidRDefault="00522C06" w:rsidP="00C35772">
            <w:pPr>
              <w:rPr>
                <w:lang w:val="en-GB"/>
              </w:rPr>
            </w:pPr>
            <w:proofErr w:type="spellStart"/>
            <w:r>
              <w:rPr>
                <w:lang w:val="en-GB"/>
              </w:rPr>
              <w:t>EMODnet</w:t>
            </w:r>
            <w:proofErr w:type="spellEnd"/>
            <w:r>
              <w:rPr>
                <w:lang w:val="en-GB"/>
              </w:rPr>
              <w:t xml:space="preserve"> portal</w:t>
            </w:r>
          </w:p>
        </w:tc>
        <w:tc>
          <w:tcPr>
            <w:tcW w:w="2150" w:type="dxa"/>
          </w:tcPr>
          <w:p w:rsidR="00522C06" w:rsidRDefault="00522C06" w:rsidP="00C35772">
            <w:pPr>
              <w:jc w:val="center"/>
              <w:rPr>
                <w:lang w:val="en-GB"/>
              </w:rPr>
            </w:pPr>
            <w:r>
              <w:rPr>
                <w:lang w:val="en-GB"/>
              </w:rPr>
              <w:t>VLIZ</w:t>
            </w:r>
          </w:p>
        </w:tc>
        <w:tc>
          <w:tcPr>
            <w:tcW w:w="1568" w:type="dxa"/>
          </w:tcPr>
          <w:p w:rsidR="00522C06" w:rsidRDefault="00522C06" w:rsidP="00C35772">
            <w:pPr>
              <w:jc w:val="center"/>
              <w:rPr>
                <w:lang w:val="en-GB"/>
              </w:rPr>
            </w:pPr>
          </w:p>
        </w:tc>
      </w:tr>
      <w:tr w:rsidR="00522C06" w:rsidTr="00C35772">
        <w:tc>
          <w:tcPr>
            <w:tcW w:w="1077" w:type="dxa"/>
          </w:tcPr>
          <w:p w:rsidR="00522C06" w:rsidRDefault="00522C06" w:rsidP="00C35772">
            <w:pPr>
              <w:jc w:val="center"/>
              <w:rPr>
                <w:lang w:val="en-GB"/>
              </w:rPr>
            </w:pPr>
            <w:r>
              <w:rPr>
                <w:lang w:val="en-GB"/>
              </w:rPr>
              <w:t>15.00</w:t>
            </w:r>
          </w:p>
        </w:tc>
        <w:tc>
          <w:tcPr>
            <w:tcW w:w="3898" w:type="dxa"/>
          </w:tcPr>
          <w:p w:rsidR="00522C06" w:rsidRDefault="00522C06" w:rsidP="00C35772">
            <w:pPr>
              <w:rPr>
                <w:lang w:val="en-GB"/>
              </w:rPr>
            </w:pPr>
            <w:r>
              <w:rPr>
                <w:lang w:val="en-GB"/>
              </w:rPr>
              <w:t>coffee</w:t>
            </w:r>
          </w:p>
        </w:tc>
        <w:tc>
          <w:tcPr>
            <w:tcW w:w="2150" w:type="dxa"/>
          </w:tcPr>
          <w:p w:rsidR="00522C06" w:rsidRDefault="00522C06" w:rsidP="00C35772">
            <w:pPr>
              <w:jc w:val="center"/>
              <w:rPr>
                <w:lang w:val="en-GB"/>
              </w:rPr>
            </w:pPr>
          </w:p>
        </w:tc>
        <w:tc>
          <w:tcPr>
            <w:tcW w:w="1568" w:type="dxa"/>
          </w:tcPr>
          <w:p w:rsidR="00522C06" w:rsidRDefault="00522C06" w:rsidP="00C35772">
            <w:pPr>
              <w:jc w:val="center"/>
              <w:rPr>
                <w:lang w:val="en-GB"/>
              </w:rPr>
            </w:pPr>
          </w:p>
        </w:tc>
      </w:tr>
      <w:tr w:rsidR="00522C06" w:rsidTr="00C35772">
        <w:tc>
          <w:tcPr>
            <w:tcW w:w="1077" w:type="dxa"/>
          </w:tcPr>
          <w:p w:rsidR="00522C06" w:rsidRDefault="00522C06" w:rsidP="00C35772">
            <w:pPr>
              <w:jc w:val="center"/>
              <w:rPr>
                <w:lang w:val="en-GB"/>
              </w:rPr>
            </w:pPr>
            <w:r>
              <w:rPr>
                <w:lang w:val="en-GB"/>
              </w:rPr>
              <w:t>15.30</w:t>
            </w:r>
          </w:p>
        </w:tc>
        <w:tc>
          <w:tcPr>
            <w:tcW w:w="3898" w:type="dxa"/>
          </w:tcPr>
          <w:p w:rsidR="00522C06" w:rsidRDefault="00522C06" w:rsidP="00C35772">
            <w:pPr>
              <w:rPr>
                <w:lang w:val="en-GB"/>
              </w:rPr>
            </w:pPr>
            <w:r>
              <w:rPr>
                <w:lang w:val="en-GB"/>
              </w:rPr>
              <w:t>North Sea checkpoint</w:t>
            </w:r>
          </w:p>
        </w:tc>
        <w:tc>
          <w:tcPr>
            <w:tcW w:w="2150" w:type="dxa"/>
          </w:tcPr>
          <w:p w:rsidR="00522C06" w:rsidRDefault="00522C06" w:rsidP="00C35772">
            <w:pPr>
              <w:jc w:val="center"/>
              <w:rPr>
                <w:lang w:val="en-GB"/>
              </w:rPr>
            </w:pPr>
          </w:p>
        </w:tc>
        <w:tc>
          <w:tcPr>
            <w:tcW w:w="1568" w:type="dxa"/>
          </w:tcPr>
          <w:p w:rsidR="00522C06" w:rsidRDefault="00522C06" w:rsidP="00C35772">
            <w:pPr>
              <w:jc w:val="center"/>
              <w:rPr>
                <w:lang w:val="en-GB"/>
              </w:rPr>
            </w:pPr>
          </w:p>
        </w:tc>
      </w:tr>
      <w:tr w:rsidR="00522C06" w:rsidTr="00C35772">
        <w:tc>
          <w:tcPr>
            <w:tcW w:w="1077" w:type="dxa"/>
          </w:tcPr>
          <w:p w:rsidR="00522C06" w:rsidRDefault="00522C06" w:rsidP="00C35772">
            <w:pPr>
              <w:jc w:val="center"/>
              <w:rPr>
                <w:lang w:val="en-GB"/>
              </w:rPr>
            </w:pPr>
            <w:r>
              <w:rPr>
                <w:lang w:val="en-GB"/>
              </w:rPr>
              <w:t>16.00</w:t>
            </w:r>
          </w:p>
        </w:tc>
        <w:tc>
          <w:tcPr>
            <w:tcW w:w="3898" w:type="dxa"/>
          </w:tcPr>
          <w:p w:rsidR="00522C06" w:rsidRDefault="00522C06" w:rsidP="00C35772">
            <w:pPr>
              <w:rPr>
                <w:lang w:val="en-GB"/>
              </w:rPr>
            </w:pPr>
            <w:r>
              <w:rPr>
                <w:lang w:val="en-GB"/>
              </w:rPr>
              <w:t>Mediterranean checkpoint</w:t>
            </w:r>
          </w:p>
        </w:tc>
        <w:tc>
          <w:tcPr>
            <w:tcW w:w="2150" w:type="dxa"/>
          </w:tcPr>
          <w:p w:rsidR="00522C06" w:rsidRDefault="00522C06" w:rsidP="00C35772">
            <w:pPr>
              <w:jc w:val="center"/>
              <w:rPr>
                <w:lang w:val="en-GB"/>
              </w:rPr>
            </w:pPr>
          </w:p>
        </w:tc>
        <w:tc>
          <w:tcPr>
            <w:tcW w:w="1568" w:type="dxa"/>
          </w:tcPr>
          <w:p w:rsidR="00522C06" w:rsidRDefault="00522C06" w:rsidP="00C35772">
            <w:pPr>
              <w:jc w:val="center"/>
              <w:rPr>
                <w:lang w:val="en-GB"/>
              </w:rPr>
            </w:pPr>
          </w:p>
        </w:tc>
      </w:tr>
      <w:tr w:rsidR="00522C06" w:rsidTr="00C35772">
        <w:tc>
          <w:tcPr>
            <w:tcW w:w="1077" w:type="dxa"/>
          </w:tcPr>
          <w:p w:rsidR="00522C06" w:rsidRDefault="00522C06" w:rsidP="00C35772">
            <w:pPr>
              <w:jc w:val="center"/>
              <w:rPr>
                <w:lang w:val="en-GB"/>
              </w:rPr>
            </w:pPr>
            <w:r>
              <w:rPr>
                <w:lang w:val="en-GB"/>
              </w:rPr>
              <w:t>16.30</w:t>
            </w:r>
          </w:p>
        </w:tc>
        <w:tc>
          <w:tcPr>
            <w:tcW w:w="3898" w:type="dxa"/>
          </w:tcPr>
          <w:p w:rsidR="00522C06" w:rsidRDefault="00522C06" w:rsidP="00C35772">
            <w:pPr>
              <w:rPr>
                <w:lang w:val="en-GB"/>
              </w:rPr>
            </w:pPr>
            <w:r>
              <w:rPr>
                <w:lang w:val="en-GB"/>
              </w:rPr>
              <w:t xml:space="preserve">Next steps – </w:t>
            </w:r>
            <w:proofErr w:type="spellStart"/>
            <w:r>
              <w:rPr>
                <w:lang w:val="en-GB"/>
              </w:rPr>
              <w:t>EMODnet</w:t>
            </w:r>
            <w:proofErr w:type="spellEnd"/>
            <w:r>
              <w:rPr>
                <w:lang w:val="en-GB"/>
              </w:rPr>
              <w:t xml:space="preserve"> phase 3</w:t>
            </w:r>
          </w:p>
        </w:tc>
        <w:tc>
          <w:tcPr>
            <w:tcW w:w="2150" w:type="dxa"/>
          </w:tcPr>
          <w:p w:rsidR="00522C06" w:rsidRDefault="00522C06" w:rsidP="00C35772">
            <w:pPr>
              <w:jc w:val="center"/>
              <w:rPr>
                <w:lang w:val="en-GB"/>
              </w:rPr>
            </w:pPr>
            <w:r>
              <w:rPr>
                <w:lang w:val="en-GB"/>
              </w:rPr>
              <w:t>DG-MARE</w:t>
            </w:r>
          </w:p>
        </w:tc>
        <w:tc>
          <w:tcPr>
            <w:tcW w:w="1568" w:type="dxa"/>
          </w:tcPr>
          <w:p w:rsidR="00522C06" w:rsidRDefault="00522C06" w:rsidP="00C35772">
            <w:pPr>
              <w:jc w:val="center"/>
              <w:rPr>
                <w:lang w:val="en-GB"/>
              </w:rPr>
            </w:pPr>
          </w:p>
        </w:tc>
      </w:tr>
      <w:tr w:rsidR="00522C06" w:rsidTr="00C35772">
        <w:tc>
          <w:tcPr>
            <w:tcW w:w="1077" w:type="dxa"/>
          </w:tcPr>
          <w:p w:rsidR="00522C06" w:rsidRDefault="00522C06" w:rsidP="00C35772">
            <w:pPr>
              <w:jc w:val="center"/>
              <w:rPr>
                <w:lang w:val="en-GB"/>
              </w:rPr>
            </w:pPr>
            <w:r>
              <w:rPr>
                <w:lang w:val="en-GB"/>
              </w:rPr>
              <w:t>17.00</w:t>
            </w:r>
          </w:p>
        </w:tc>
        <w:tc>
          <w:tcPr>
            <w:tcW w:w="3898" w:type="dxa"/>
          </w:tcPr>
          <w:p w:rsidR="00522C06" w:rsidRDefault="00522C06" w:rsidP="00C35772">
            <w:pPr>
              <w:rPr>
                <w:lang w:val="en-GB"/>
              </w:rPr>
            </w:pPr>
            <w:r>
              <w:rPr>
                <w:lang w:val="en-GB"/>
              </w:rPr>
              <w:t>Anything else</w:t>
            </w:r>
          </w:p>
        </w:tc>
        <w:tc>
          <w:tcPr>
            <w:tcW w:w="2150" w:type="dxa"/>
          </w:tcPr>
          <w:p w:rsidR="00522C06" w:rsidRDefault="00522C06" w:rsidP="00C35772">
            <w:pPr>
              <w:jc w:val="center"/>
              <w:rPr>
                <w:lang w:val="en-GB"/>
              </w:rPr>
            </w:pPr>
          </w:p>
        </w:tc>
        <w:tc>
          <w:tcPr>
            <w:tcW w:w="1568" w:type="dxa"/>
          </w:tcPr>
          <w:p w:rsidR="00522C06" w:rsidRDefault="00522C06" w:rsidP="00C35772">
            <w:pPr>
              <w:jc w:val="center"/>
              <w:rPr>
                <w:lang w:val="en-GB"/>
              </w:rPr>
            </w:pPr>
          </w:p>
        </w:tc>
      </w:tr>
      <w:tr w:rsidR="00522C06" w:rsidTr="00C35772">
        <w:tc>
          <w:tcPr>
            <w:tcW w:w="1077" w:type="dxa"/>
          </w:tcPr>
          <w:p w:rsidR="00522C06" w:rsidRDefault="00522C06" w:rsidP="00C35772">
            <w:pPr>
              <w:jc w:val="center"/>
              <w:rPr>
                <w:lang w:val="en-GB"/>
              </w:rPr>
            </w:pPr>
            <w:r>
              <w:rPr>
                <w:lang w:val="en-GB"/>
              </w:rPr>
              <w:t>17.30</w:t>
            </w:r>
          </w:p>
        </w:tc>
        <w:tc>
          <w:tcPr>
            <w:tcW w:w="3898" w:type="dxa"/>
          </w:tcPr>
          <w:p w:rsidR="00522C06" w:rsidRDefault="00522C06" w:rsidP="00C35772">
            <w:pPr>
              <w:rPr>
                <w:lang w:val="en-GB"/>
              </w:rPr>
            </w:pPr>
            <w:r>
              <w:rPr>
                <w:lang w:val="en-GB"/>
              </w:rPr>
              <w:t>End</w:t>
            </w:r>
          </w:p>
        </w:tc>
        <w:tc>
          <w:tcPr>
            <w:tcW w:w="2150" w:type="dxa"/>
          </w:tcPr>
          <w:p w:rsidR="00522C06" w:rsidRDefault="00522C06" w:rsidP="00C35772">
            <w:pPr>
              <w:jc w:val="center"/>
              <w:rPr>
                <w:lang w:val="en-GB"/>
              </w:rPr>
            </w:pPr>
          </w:p>
        </w:tc>
        <w:tc>
          <w:tcPr>
            <w:tcW w:w="1568" w:type="dxa"/>
          </w:tcPr>
          <w:p w:rsidR="00522C06" w:rsidRDefault="00522C06" w:rsidP="00C35772">
            <w:pPr>
              <w:jc w:val="center"/>
              <w:rPr>
                <w:lang w:val="en-GB"/>
              </w:rPr>
            </w:pPr>
          </w:p>
        </w:tc>
      </w:tr>
    </w:tbl>
    <w:p w:rsidR="00522C06" w:rsidRDefault="00522C06" w:rsidP="00DE2831">
      <w:pPr>
        <w:jc w:val="center"/>
        <w:rPr>
          <w:lang w:val="en-GB"/>
        </w:rPr>
      </w:pPr>
      <w:bookmarkStart w:id="0" w:name="_GoBack"/>
      <w:bookmarkEnd w:id="0"/>
    </w:p>
    <w:sectPr w:rsidR="00522C0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4AE" w:rsidRDefault="002A54AE" w:rsidP="002A54AE">
      <w:pPr>
        <w:spacing w:after="0" w:line="240" w:lineRule="auto"/>
      </w:pPr>
      <w:r>
        <w:separator/>
      </w:r>
    </w:p>
  </w:endnote>
  <w:endnote w:type="continuationSeparator" w:id="0">
    <w:p w:rsidR="002A54AE" w:rsidRDefault="002A54AE" w:rsidP="002A5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4AE" w:rsidRDefault="002A54AE" w:rsidP="002A54AE">
      <w:pPr>
        <w:spacing w:after="0" w:line="240" w:lineRule="auto"/>
      </w:pPr>
      <w:r>
        <w:separator/>
      </w:r>
    </w:p>
  </w:footnote>
  <w:footnote w:type="continuationSeparator" w:id="0">
    <w:p w:rsidR="002A54AE" w:rsidRDefault="002A54AE" w:rsidP="002A5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032D"/>
    <w:multiLevelType w:val="hybridMultilevel"/>
    <w:tmpl w:val="AE6E265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D126164"/>
    <w:multiLevelType w:val="hybridMultilevel"/>
    <w:tmpl w:val="08BA3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300B23"/>
    <w:multiLevelType w:val="hybridMultilevel"/>
    <w:tmpl w:val="3912BD58"/>
    <w:lvl w:ilvl="0" w:tplc="9314CD72">
      <w:start w:val="1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F07985"/>
    <w:multiLevelType w:val="hybridMultilevel"/>
    <w:tmpl w:val="476A3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2E7968"/>
    <w:multiLevelType w:val="hybridMultilevel"/>
    <w:tmpl w:val="0BDAEC7C"/>
    <w:lvl w:ilvl="0" w:tplc="FB8A978A">
      <w:start w:val="1"/>
      <w:numFmt w:val="lowerRoman"/>
      <w:lvlText w:val="%1)"/>
      <w:lvlJc w:val="left"/>
      <w:pPr>
        <w:ind w:left="2024" w:hanging="72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5">
    <w:nsid w:val="738F7A82"/>
    <w:multiLevelType w:val="hybridMultilevel"/>
    <w:tmpl w:val="A9A48D4C"/>
    <w:lvl w:ilvl="0" w:tplc="04060017">
      <w:start w:val="1"/>
      <w:numFmt w:val="low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627"/>
    <w:rsid w:val="00044585"/>
    <w:rsid w:val="00047294"/>
    <w:rsid w:val="00053803"/>
    <w:rsid w:val="00071B0B"/>
    <w:rsid w:val="00076B49"/>
    <w:rsid w:val="000D099B"/>
    <w:rsid w:val="000E4640"/>
    <w:rsid w:val="000F6C52"/>
    <w:rsid w:val="0012545C"/>
    <w:rsid w:val="0013085D"/>
    <w:rsid w:val="00176BB6"/>
    <w:rsid w:val="001B3CDE"/>
    <w:rsid w:val="001D3C84"/>
    <w:rsid w:val="001E22F6"/>
    <w:rsid w:val="001E58A9"/>
    <w:rsid w:val="001F2218"/>
    <w:rsid w:val="001F2655"/>
    <w:rsid w:val="002A54AE"/>
    <w:rsid w:val="002B3D81"/>
    <w:rsid w:val="002C2D23"/>
    <w:rsid w:val="002D0EE1"/>
    <w:rsid w:val="002F3EF9"/>
    <w:rsid w:val="002F4280"/>
    <w:rsid w:val="00302447"/>
    <w:rsid w:val="00320489"/>
    <w:rsid w:val="00416DBB"/>
    <w:rsid w:val="00426C37"/>
    <w:rsid w:val="004E26E2"/>
    <w:rsid w:val="00522C06"/>
    <w:rsid w:val="00532574"/>
    <w:rsid w:val="00534542"/>
    <w:rsid w:val="00545F36"/>
    <w:rsid w:val="00620447"/>
    <w:rsid w:val="0062575A"/>
    <w:rsid w:val="00672930"/>
    <w:rsid w:val="006834BA"/>
    <w:rsid w:val="006F3767"/>
    <w:rsid w:val="00723661"/>
    <w:rsid w:val="0073143C"/>
    <w:rsid w:val="007926AB"/>
    <w:rsid w:val="007B6A3D"/>
    <w:rsid w:val="007F6A1F"/>
    <w:rsid w:val="00810595"/>
    <w:rsid w:val="0081143E"/>
    <w:rsid w:val="00814E8F"/>
    <w:rsid w:val="00833345"/>
    <w:rsid w:val="008841C1"/>
    <w:rsid w:val="008A3621"/>
    <w:rsid w:val="00950252"/>
    <w:rsid w:val="009923D4"/>
    <w:rsid w:val="009B6243"/>
    <w:rsid w:val="009C2310"/>
    <w:rsid w:val="009F7EEF"/>
    <w:rsid w:val="00A138C8"/>
    <w:rsid w:val="00A57BAB"/>
    <w:rsid w:val="00AD2A8E"/>
    <w:rsid w:val="00AE1627"/>
    <w:rsid w:val="00B036FD"/>
    <w:rsid w:val="00B340AA"/>
    <w:rsid w:val="00B36215"/>
    <w:rsid w:val="00B53045"/>
    <w:rsid w:val="00B5393B"/>
    <w:rsid w:val="00B5441D"/>
    <w:rsid w:val="00BB411B"/>
    <w:rsid w:val="00BD6F0D"/>
    <w:rsid w:val="00BE5BFD"/>
    <w:rsid w:val="00C14C69"/>
    <w:rsid w:val="00C353F6"/>
    <w:rsid w:val="00C420E4"/>
    <w:rsid w:val="00CB395F"/>
    <w:rsid w:val="00CC3600"/>
    <w:rsid w:val="00DB3550"/>
    <w:rsid w:val="00DD7C97"/>
    <w:rsid w:val="00DE2831"/>
    <w:rsid w:val="00DE745B"/>
    <w:rsid w:val="00E36826"/>
    <w:rsid w:val="00ED0770"/>
    <w:rsid w:val="00F07DFF"/>
    <w:rsid w:val="00F15BD2"/>
    <w:rsid w:val="00F5661E"/>
    <w:rsid w:val="00FE24FF"/>
    <w:rsid w:val="00FE4A0C"/>
    <w:rsid w:val="00FF687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6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16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62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E1627"/>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E16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62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D0EE1"/>
    <w:pPr>
      <w:ind w:left="720"/>
      <w:contextualSpacing/>
    </w:pPr>
  </w:style>
  <w:style w:type="character" w:styleId="CommentReference">
    <w:name w:val="annotation reference"/>
    <w:basedOn w:val="DefaultParagraphFont"/>
    <w:uiPriority w:val="99"/>
    <w:semiHidden/>
    <w:unhideWhenUsed/>
    <w:rsid w:val="00044585"/>
    <w:rPr>
      <w:sz w:val="16"/>
      <w:szCs w:val="16"/>
    </w:rPr>
  </w:style>
  <w:style w:type="paragraph" w:styleId="CommentText">
    <w:name w:val="annotation text"/>
    <w:basedOn w:val="Normal"/>
    <w:link w:val="CommentTextChar"/>
    <w:uiPriority w:val="99"/>
    <w:semiHidden/>
    <w:unhideWhenUsed/>
    <w:rsid w:val="00044585"/>
    <w:pPr>
      <w:spacing w:line="240" w:lineRule="auto"/>
    </w:pPr>
    <w:rPr>
      <w:sz w:val="20"/>
      <w:szCs w:val="20"/>
    </w:rPr>
  </w:style>
  <w:style w:type="character" w:customStyle="1" w:styleId="CommentTextChar">
    <w:name w:val="Comment Text Char"/>
    <w:basedOn w:val="DefaultParagraphFont"/>
    <w:link w:val="CommentText"/>
    <w:uiPriority w:val="99"/>
    <w:semiHidden/>
    <w:rsid w:val="00044585"/>
    <w:rPr>
      <w:sz w:val="20"/>
      <w:szCs w:val="20"/>
    </w:rPr>
  </w:style>
  <w:style w:type="paragraph" w:styleId="CommentSubject">
    <w:name w:val="annotation subject"/>
    <w:basedOn w:val="CommentText"/>
    <w:next w:val="CommentText"/>
    <w:link w:val="CommentSubjectChar"/>
    <w:uiPriority w:val="99"/>
    <w:semiHidden/>
    <w:unhideWhenUsed/>
    <w:rsid w:val="00044585"/>
    <w:rPr>
      <w:b/>
      <w:bCs/>
    </w:rPr>
  </w:style>
  <w:style w:type="character" w:customStyle="1" w:styleId="CommentSubjectChar">
    <w:name w:val="Comment Subject Char"/>
    <w:basedOn w:val="CommentTextChar"/>
    <w:link w:val="CommentSubject"/>
    <w:uiPriority w:val="99"/>
    <w:semiHidden/>
    <w:rsid w:val="00044585"/>
    <w:rPr>
      <w:b/>
      <w:bCs/>
      <w:sz w:val="20"/>
      <w:szCs w:val="20"/>
    </w:rPr>
  </w:style>
  <w:style w:type="paragraph" w:styleId="BalloonText">
    <w:name w:val="Balloon Text"/>
    <w:basedOn w:val="Normal"/>
    <w:link w:val="BalloonTextChar"/>
    <w:uiPriority w:val="99"/>
    <w:semiHidden/>
    <w:unhideWhenUsed/>
    <w:rsid w:val="00044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585"/>
    <w:rPr>
      <w:rFonts w:ascii="Tahoma" w:hAnsi="Tahoma" w:cs="Tahoma"/>
      <w:sz w:val="16"/>
      <w:szCs w:val="16"/>
    </w:rPr>
  </w:style>
  <w:style w:type="table" w:styleId="TableGrid">
    <w:name w:val="Table Grid"/>
    <w:basedOn w:val="TableNormal"/>
    <w:uiPriority w:val="59"/>
    <w:rsid w:val="007F6A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36826"/>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character" w:customStyle="1" w:styleId="FootnoteTextChar1">
    <w:name w:val="Footnote Text Char1"/>
    <w:aliases w:val="fn Char,Geneva 9 Char,Font: Geneva 9 Char,Boston 10 Char,f Char,ft Char1,Fotnotstext Char Char,ft Char Char,single space Char,FOOTNOTES Char,ADB Char,single space1 Char,footnote text1 Char,FOOTNOTES1 Char,fn1 Char,ADB1 Char,fn2 Char"/>
    <w:link w:val="FootnoteText"/>
    <w:uiPriority w:val="99"/>
    <w:semiHidden/>
    <w:locked/>
    <w:rsid w:val="002A54AE"/>
    <w:rPr>
      <w:rFonts w:ascii="Times New Roman" w:eastAsia="Times New Roman" w:hAnsi="Times New Roman" w:cs="Times New Roman"/>
      <w:lang w:val="fr-BE" w:eastAsia="nb-NO"/>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link w:val="FootnoteTextChar1"/>
    <w:uiPriority w:val="99"/>
    <w:semiHidden/>
    <w:unhideWhenUsed/>
    <w:rsid w:val="002A54AE"/>
    <w:pPr>
      <w:spacing w:after="120" w:line="240" w:lineRule="auto"/>
      <w:jc w:val="both"/>
    </w:pPr>
    <w:rPr>
      <w:rFonts w:ascii="Times New Roman" w:eastAsia="Times New Roman" w:hAnsi="Times New Roman" w:cs="Times New Roman"/>
      <w:lang w:val="fr-BE" w:eastAsia="nb-NO"/>
    </w:rPr>
  </w:style>
  <w:style w:type="character" w:customStyle="1" w:styleId="FootnoteTextChar">
    <w:name w:val="Footnote Text Char"/>
    <w:basedOn w:val="DefaultParagraphFont"/>
    <w:uiPriority w:val="99"/>
    <w:semiHidden/>
    <w:rsid w:val="002A54AE"/>
    <w:rPr>
      <w:sz w:val="20"/>
      <w:szCs w:val="20"/>
    </w:rPr>
  </w:style>
  <w:style w:type="character" w:styleId="FootnoteReference">
    <w:name w:val="footnote reference"/>
    <w:semiHidden/>
    <w:unhideWhenUsed/>
    <w:rsid w:val="002A54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6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16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62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E1627"/>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E16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62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D0EE1"/>
    <w:pPr>
      <w:ind w:left="720"/>
      <w:contextualSpacing/>
    </w:pPr>
  </w:style>
  <w:style w:type="character" w:styleId="CommentReference">
    <w:name w:val="annotation reference"/>
    <w:basedOn w:val="DefaultParagraphFont"/>
    <w:uiPriority w:val="99"/>
    <w:semiHidden/>
    <w:unhideWhenUsed/>
    <w:rsid w:val="00044585"/>
    <w:rPr>
      <w:sz w:val="16"/>
      <w:szCs w:val="16"/>
    </w:rPr>
  </w:style>
  <w:style w:type="paragraph" w:styleId="CommentText">
    <w:name w:val="annotation text"/>
    <w:basedOn w:val="Normal"/>
    <w:link w:val="CommentTextChar"/>
    <w:uiPriority w:val="99"/>
    <w:semiHidden/>
    <w:unhideWhenUsed/>
    <w:rsid w:val="00044585"/>
    <w:pPr>
      <w:spacing w:line="240" w:lineRule="auto"/>
    </w:pPr>
    <w:rPr>
      <w:sz w:val="20"/>
      <w:szCs w:val="20"/>
    </w:rPr>
  </w:style>
  <w:style w:type="character" w:customStyle="1" w:styleId="CommentTextChar">
    <w:name w:val="Comment Text Char"/>
    <w:basedOn w:val="DefaultParagraphFont"/>
    <w:link w:val="CommentText"/>
    <w:uiPriority w:val="99"/>
    <w:semiHidden/>
    <w:rsid w:val="00044585"/>
    <w:rPr>
      <w:sz w:val="20"/>
      <w:szCs w:val="20"/>
    </w:rPr>
  </w:style>
  <w:style w:type="paragraph" w:styleId="CommentSubject">
    <w:name w:val="annotation subject"/>
    <w:basedOn w:val="CommentText"/>
    <w:next w:val="CommentText"/>
    <w:link w:val="CommentSubjectChar"/>
    <w:uiPriority w:val="99"/>
    <w:semiHidden/>
    <w:unhideWhenUsed/>
    <w:rsid w:val="00044585"/>
    <w:rPr>
      <w:b/>
      <w:bCs/>
    </w:rPr>
  </w:style>
  <w:style w:type="character" w:customStyle="1" w:styleId="CommentSubjectChar">
    <w:name w:val="Comment Subject Char"/>
    <w:basedOn w:val="CommentTextChar"/>
    <w:link w:val="CommentSubject"/>
    <w:uiPriority w:val="99"/>
    <w:semiHidden/>
    <w:rsid w:val="00044585"/>
    <w:rPr>
      <w:b/>
      <w:bCs/>
      <w:sz w:val="20"/>
      <w:szCs w:val="20"/>
    </w:rPr>
  </w:style>
  <w:style w:type="paragraph" w:styleId="BalloonText">
    <w:name w:val="Balloon Text"/>
    <w:basedOn w:val="Normal"/>
    <w:link w:val="BalloonTextChar"/>
    <w:uiPriority w:val="99"/>
    <w:semiHidden/>
    <w:unhideWhenUsed/>
    <w:rsid w:val="00044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585"/>
    <w:rPr>
      <w:rFonts w:ascii="Tahoma" w:hAnsi="Tahoma" w:cs="Tahoma"/>
      <w:sz w:val="16"/>
      <w:szCs w:val="16"/>
    </w:rPr>
  </w:style>
  <w:style w:type="table" w:styleId="TableGrid">
    <w:name w:val="Table Grid"/>
    <w:basedOn w:val="TableNormal"/>
    <w:uiPriority w:val="59"/>
    <w:rsid w:val="007F6A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36826"/>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character" w:customStyle="1" w:styleId="FootnoteTextChar1">
    <w:name w:val="Footnote Text Char1"/>
    <w:aliases w:val="fn Char,Geneva 9 Char,Font: Geneva 9 Char,Boston 10 Char,f Char,ft Char1,Fotnotstext Char Char,ft Char Char,single space Char,FOOTNOTES Char,ADB Char,single space1 Char,footnote text1 Char,FOOTNOTES1 Char,fn1 Char,ADB1 Char,fn2 Char"/>
    <w:link w:val="FootnoteText"/>
    <w:uiPriority w:val="99"/>
    <w:semiHidden/>
    <w:locked/>
    <w:rsid w:val="002A54AE"/>
    <w:rPr>
      <w:rFonts w:ascii="Times New Roman" w:eastAsia="Times New Roman" w:hAnsi="Times New Roman" w:cs="Times New Roman"/>
      <w:lang w:val="fr-BE" w:eastAsia="nb-NO"/>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link w:val="FootnoteTextChar1"/>
    <w:uiPriority w:val="99"/>
    <w:semiHidden/>
    <w:unhideWhenUsed/>
    <w:rsid w:val="002A54AE"/>
    <w:pPr>
      <w:spacing w:after="120" w:line="240" w:lineRule="auto"/>
      <w:jc w:val="both"/>
    </w:pPr>
    <w:rPr>
      <w:rFonts w:ascii="Times New Roman" w:eastAsia="Times New Roman" w:hAnsi="Times New Roman" w:cs="Times New Roman"/>
      <w:lang w:val="fr-BE" w:eastAsia="nb-NO"/>
    </w:rPr>
  </w:style>
  <w:style w:type="character" w:customStyle="1" w:styleId="FootnoteTextChar">
    <w:name w:val="Footnote Text Char"/>
    <w:basedOn w:val="DefaultParagraphFont"/>
    <w:uiPriority w:val="99"/>
    <w:semiHidden/>
    <w:rsid w:val="002A54AE"/>
    <w:rPr>
      <w:sz w:val="20"/>
      <w:szCs w:val="20"/>
    </w:rPr>
  </w:style>
  <w:style w:type="character" w:styleId="FootnoteReference">
    <w:name w:val="footnote reference"/>
    <w:semiHidden/>
    <w:unhideWhenUsed/>
    <w:rsid w:val="002A54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3C499-E21F-4B0B-887A-89294D739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ICES</Company>
  <LinksUpToDate>false</LinksUpToDate>
  <CharactersWithSpaces>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neilh</dc:creator>
  <cp:lastModifiedBy>Trine Christiansen</cp:lastModifiedBy>
  <cp:revision>4</cp:revision>
  <dcterms:created xsi:type="dcterms:W3CDTF">2013-06-07T07:07:00Z</dcterms:created>
  <dcterms:modified xsi:type="dcterms:W3CDTF">2013-06-07T09:19:00Z</dcterms:modified>
</cp:coreProperties>
</file>