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C36032" w14:textId="57807B81" w:rsidR="00D024E7" w:rsidRPr="00D024E7" w:rsidRDefault="00D024E7" w:rsidP="00D024E7">
      <w:pPr>
        <w:jc w:val="center"/>
        <w:rPr>
          <w:rFonts w:ascii="Calibri" w:eastAsia="Calibri" w:hAnsi="Calibri" w:cs="Calibri"/>
          <w:b/>
          <w:sz w:val="32"/>
        </w:rPr>
      </w:pPr>
      <w:r w:rsidRPr="00D024E7">
        <w:rPr>
          <w:rFonts w:ascii="Calibri" w:eastAsia="Calibri" w:hAnsi="Calibri" w:cs="Calibri"/>
          <w:b/>
          <w:sz w:val="32"/>
        </w:rPr>
        <w:t xml:space="preserve">KIP-INCA </w:t>
      </w:r>
      <w:r w:rsidR="005175DA">
        <w:rPr>
          <w:rFonts w:ascii="Calibri" w:eastAsia="Calibri" w:hAnsi="Calibri" w:cs="Calibri"/>
          <w:b/>
          <w:sz w:val="32"/>
        </w:rPr>
        <w:t>Workshop on developing a shared spatial data platform</w:t>
      </w:r>
    </w:p>
    <w:p w14:paraId="354E5D51" w14:textId="5B5D918E" w:rsidR="00382C3A" w:rsidRDefault="005175DA" w:rsidP="00D024E7">
      <w:pPr>
        <w:jc w:val="center"/>
        <w:rPr>
          <w:rFonts w:ascii="Calibri" w:eastAsia="Calibri" w:hAnsi="Calibri" w:cs="Calibri"/>
          <w:b/>
          <w:sz w:val="32"/>
        </w:rPr>
      </w:pPr>
      <w:r>
        <w:rPr>
          <w:rFonts w:ascii="Calibri" w:eastAsia="Calibri" w:hAnsi="Calibri" w:cs="Calibri"/>
          <w:b/>
          <w:sz w:val="32"/>
        </w:rPr>
        <w:t>EEA, 9 March 2018</w:t>
      </w:r>
    </w:p>
    <w:p w14:paraId="3AF24E23" w14:textId="77777777" w:rsidR="003609F3" w:rsidRDefault="003609F3" w:rsidP="00D024E7">
      <w:pPr>
        <w:jc w:val="center"/>
        <w:rPr>
          <w:rFonts w:ascii="Calibri" w:eastAsia="Calibri" w:hAnsi="Calibri" w:cs="Calibri"/>
          <w:b/>
          <w:sz w:val="32"/>
        </w:rPr>
      </w:pPr>
    </w:p>
    <w:p w14:paraId="4737109D" w14:textId="60D94D9C" w:rsidR="003609F3" w:rsidRPr="003609F3" w:rsidRDefault="005175DA" w:rsidP="00D024E7">
      <w:pPr>
        <w:jc w:val="center"/>
        <w:rPr>
          <w:sz w:val="28"/>
          <w:szCs w:val="28"/>
        </w:rPr>
      </w:pPr>
      <w:r>
        <w:rPr>
          <w:rFonts w:ascii="Calibri" w:eastAsia="Calibri" w:hAnsi="Calibri" w:cs="Calibri"/>
          <w:b/>
          <w:sz w:val="28"/>
          <w:szCs w:val="28"/>
        </w:rPr>
        <w:t>Background paper, draft</w:t>
      </w:r>
      <w:r w:rsidR="003609F3" w:rsidRPr="003609F3">
        <w:rPr>
          <w:rFonts w:ascii="Calibri" w:eastAsia="Calibri" w:hAnsi="Calibri" w:cs="Calibri"/>
          <w:b/>
          <w:sz w:val="28"/>
          <w:szCs w:val="28"/>
        </w:rPr>
        <w:t xml:space="preserve"> </w:t>
      </w:r>
      <w:r>
        <w:rPr>
          <w:rFonts w:ascii="Calibri" w:eastAsia="Calibri" w:hAnsi="Calibri" w:cs="Calibri"/>
          <w:b/>
          <w:sz w:val="28"/>
          <w:szCs w:val="28"/>
        </w:rPr>
        <w:t>1</w:t>
      </w:r>
      <w:r w:rsidR="003609F3" w:rsidRPr="003609F3">
        <w:rPr>
          <w:rFonts w:ascii="Calibri" w:eastAsia="Calibri" w:hAnsi="Calibri" w:cs="Calibri"/>
          <w:b/>
          <w:sz w:val="28"/>
          <w:szCs w:val="28"/>
        </w:rPr>
        <w:t xml:space="preserve"> </w:t>
      </w:r>
    </w:p>
    <w:p w14:paraId="1A5ECFB5" w14:textId="77777777" w:rsidR="00382C3A" w:rsidRDefault="00382C3A" w:rsidP="00D024E7">
      <w:pPr>
        <w:jc w:val="both"/>
      </w:pPr>
    </w:p>
    <w:p w14:paraId="42532015" w14:textId="77777777" w:rsidR="00382C3A" w:rsidRPr="00FB516F" w:rsidRDefault="00D024E7" w:rsidP="00D024E7">
      <w:pPr>
        <w:jc w:val="both"/>
      </w:pPr>
      <w:r w:rsidRPr="00FB516F">
        <w:rPr>
          <w:rFonts w:ascii="Calibri" w:eastAsia="Calibri" w:hAnsi="Calibri" w:cs="Calibri"/>
          <w:b/>
        </w:rPr>
        <w:t xml:space="preserve">1. </w:t>
      </w:r>
      <w:r w:rsidR="00F67522" w:rsidRPr="00FB516F">
        <w:rPr>
          <w:rFonts w:ascii="Calibri" w:eastAsia="Calibri" w:hAnsi="Calibri" w:cs="Calibri"/>
          <w:b/>
        </w:rPr>
        <w:t>Introduction</w:t>
      </w:r>
    </w:p>
    <w:p w14:paraId="0A028A7E" w14:textId="037D8C7A" w:rsidR="00171742" w:rsidRPr="00FB516F" w:rsidRDefault="00171742" w:rsidP="00171742">
      <w:pPr>
        <w:jc w:val="both"/>
        <w:rPr>
          <w:rFonts w:ascii="Calibri" w:eastAsia="Calibri" w:hAnsi="Calibri" w:cs="Calibri"/>
        </w:rPr>
      </w:pPr>
    </w:p>
    <w:p w14:paraId="0282D3C1" w14:textId="2582627E" w:rsidR="00E772C3" w:rsidRPr="00FB516F" w:rsidRDefault="006221F3" w:rsidP="00171742">
      <w:pPr>
        <w:jc w:val="both"/>
        <w:rPr>
          <w:rFonts w:ascii="Calibri" w:eastAsia="Calibri" w:hAnsi="Calibri" w:cs="Calibri"/>
        </w:rPr>
      </w:pPr>
      <w:r w:rsidRPr="00FB516F">
        <w:rPr>
          <w:rFonts w:ascii="Calibri" w:eastAsia="Calibri" w:hAnsi="Calibri" w:cs="Calibri"/>
        </w:rPr>
        <w:t xml:space="preserve">The </w:t>
      </w:r>
      <w:r w:rsidR="00E772C3" w:rsidRPr="00FB516F">
        <w:rPr>
          <w:rFonts w:ascii="Calibri" w:eastAsia="Calibri" w:hAnsi="Calibri" w:cs="Calibri"/>
        </w:rPr>
        <w:t xml:space="preserve">KIP INCA </w:t>
      </w:r>
      <w:r w:rsidRPr="00FB516F">
        <w:rPr>
          <w:rFonts w:ascii="Calibri" w:eastAsia="Calibri" w:hAnsi="Calibri" w:cs="Calibri"/>
        </w:rPr>
        <w:t xml:space="preserve">2016 roadmap states in its chapter 6 on ‘Data infrastructure for EU ecosystem accounts’: </w:t>
      </w:r>
    </w:p>
    <w:p w14:paraId="16092F7A" w14:textId="20BB1B78" w:rsidR="006221F3" w:rsidRPr="00FB516F" w:rsidRDefault="006221F3" w:rsidP="00171742">
      <w:pPr>
        <w:jc w:val="both"/>
        <w:rPr>
          <w:rFonts w:ascii="Calibri" w:eastAsia="Calibri" w:hAnsi="Calibri" w:cs="Calibri"/>
        </w:rPr>
      </w:pPr>
    </w:p>
    <w:p w14:paraId="45199825" w14:textId="749710B2" w:rsidR="006221F3" w:rsidRPr="00FB516F" w:rsidRDefault="006221F3" w:rsidP="006221F3">
      <w:pPr>
        <w:jc w:val="both"/>
        <w:rPr>
          <w:rFonts w:ascii="Calibri" w:eastAsia="Calibri" w:hAnsi="Calibri" w:cs="Calibri"/>
        </w:rPr>
      </w:pPr>
      <w:r w:rsidRPr="00FB516F">
        <w:rPr>
          <w:bCs/>
          <w:sz w:val="20"/>
          <w:szCs w:val="20"/>
        </w:rPr>
        <w:t>‘Ecosystem accounting depends on the availability of geospatial data that accurately describe the distribution and condition of ecosystems with sufficient resolution to capture small ecosystems. This means that a further investment is required at EU level to develop a shared data platform for the integration of ecosystem-related data at large spatial scale (&lt;1:100 000) than currently feasible for a number of data sets. Such a shared data platform would be a key building block for operational EU ecosystem accounts but would also provide substantial value-added for other analytical purposes.’</w:t>
      </w:r>
    </w:p>
    <w:p w14:paraId="1C13606B" w14:textId="77777777" w:rsidR="00E772C3" w:rsidRPr="00FB516F" w:rsidRDefault="00E772C3" w:rsidP="00171742">
      <w:pPr>
        <w:jc w:val="both"/>
        <w:rPr>
          <w:rFonts w:ascii="Calibri" w:eastAsia="Calibri" w:hAnsi="Calibri" w:cs="Calibri"/>
        </w:rPr>
      </w:pPr>
    </w:p>
    <w:p w14:paraId="41F38090" w14:textId="53A7F1D0" w:rsidR="00EE1F0F" w:rsidRPr="00FB516F" w:rsidRDefault="006221F3" w:rsidP="00171742">
      <w:pPr>
        <w:jc w:val="both"/>
        <w:rPr>
          <w:rFonts w:ascii="Calibri" w:eastAsia="Calibri" w:hAnsi="Calibri" w:cs="Calibri"/>
        </w:rPr>
      </w:pPr>
      <w:r w:rsidRPr="00FB516F">
        <w:rPr>
          <w:rFonts w:ascii="Calibri" w:eastAsia="Calibri" w:hAnsi="Calibri" w:cs="Calibri"/>
        </w:rPr>
        <w:t>In the</w:t>
      </w:r>
      <w:r w:rsidR="00171742" w:rsidRPr="00FB516F">
        <w:rPr>
          <w:rFonts w:ascii="Calibri" w:eastAsia="Calibri" w:hAnsi="Calibri" w:cs="Calibri"/>
        </w:rPr>
        <w:t xml:space="preserve"> context</w:t>
      </w:r>
      <w:r w:rsidRPr="00FB516F">
        <w:rPr>
          <w:rFonts w:ascii="Calibri" w:eastAsia="Calibri" w:hAnsi="Calibri" w:cs="Calibri"/>
        </w:rPr>
        <w:t xml:space="preserve"> of this objective, the</w:t>
      </w:r>
      <w:r w:rsidR="00171742" w:rsidRPr="00FB516F">
        <w:rPr>
          <w:rFonts w:ascii="Calibri" w:eastAsia="Calibri" w:hAnsi="Calibri" w:cs="Calibri"/>
        </w:rPr>
        <w:t xml:space="preserve"> KIP INCA partners have to agree on what elements of such a data </w:t>
      </w:r>
      <w:r w:rsidRPr="00FB516F">
        <w:rPr>
          <w:rFonts w:ascii="Calibri" w:eastAsia="Calibri" w:hAnsi="Calibri" w:cs="Calibri"/>
        </w:rPr>
        <w:t>platform</w:t>
      </w:r>
      <w:r w:rsidR="00171742" w:rsidRPr="00FB516F">
        <w:rPr>
          <w:rFonts w:ascii="Calibri" w:eastAsia="Calibri" w:hAnsi="Calibri" w:cs="Calibri"/>
        </w:rPr>
        <w:t xml:space="preserve"> should be developed and how </w:t>
      </w:r>
      <w:r w:rsidR="00661F42" w:rsidRPr="00FB516F">
        <w:rPr>
          <w:rFonts w:ascii="Calibri" w:eastAsia="Calibri" w:hAnsi="Calibri" w:cs="Calibri"/>
        </w:rPr>
        <w:t xml:space="preserve">far these elements should </w:t>
      </w:r>
      <w:r w:rsidR="00171742" w:rsidRPr="00FB516F">
        <w:rPr>
          <w:rFonts w:ascii="Calibri" w:eastAsia="Calibri" w:hAnsi="Calibri" w:cs="Calibri"/>
        </w:rPr>
        <w:t xml:space="preserve">be shared. </w:t>
      </w:r>
      <w:r w:rsidR="00F83121" w:rsidRPr="00FB516F">
        <w:rPr>
          <w:rFonts w:ascii="Calibri" w:eastAsia="Calibri" w:hAnsi="Calibri" w:cs="Calibri"/>
        </w:rPr>
        <w:t xml:space="preserve">A </w:t>
      </w:r>
      <w:r w:rsidRPr="00FB516F">
        <w:rPr>
          <w:rFonts w:ascii="Calibri" w:eastAsia="Calibri" w:hAnsi="Calibri" w:cs="Calibri"/>
        </w:rPr>
        <w:t xml:space="preserve">key </w:t>
      </w:r>
      <w:r w:rsidR="00F83121" w:rsidRPr="00FB516F">
        <w:rPr>
          <w:rFonts w:ascii="Calibri" w:eastAsia="Calibri" w:hAnsi="Calibri" w:cs="Calibri"/>
        </w:rPr>
        <w:t xml:space="preserve">element is a </w:t>
      </w:r>
      <w:r w:rsidR="00D32E3F" w:rsidRPr="00FB516F">
        <w:rPr>
          <w:rFonts w:ascii="Calibri" w:eastAsia="Calibri" w:hAnsi="Calibri" w:cs="Calibri"/>
        </w:rPr>
        <w:t>shared structured approach that</w:t>
      </w:r>
      <w:r w:rsidR="00F83121" w:rsidRPr="00FB516F">
        <w:rPr>
          <w:rFonts w:ascii="Calibri" w:eastAsia="Calibri" w:hAnsi="Calibri" w:cs="Calibri"/>
        </w:rPr>
        <w:t xml:space="preserve"> enables harmonized, quality controlled and quality assured storage</w:t>
      </w:r>
      <w:r w:rsidR="00970B3E" w:rsidRPr="00FB516F">
        <w:rPr>
          <w:rFonts w:ascii="Calibri" w:eastAsia="Calibri" w:hAnsi="Calibri" w:cs="Calibri"/>
        </w:rPr>
        <w:t xml:space="preserve">, </w:t>
      </w:r>
      <w:r w:rsidR="00F83121" w:rsidRPr="00FB516F">
        <w:rPr>
          <w:rFonts w:ascii="Calibri" w:eastAsia="Calibri" w:hAnsi="Calibri" w:cs="Calibri"/>
        </w:rPr>
        <w:t xml:space="preserve">access </w:t>
      </w:r>
      <w:r w:rsidR="00970B3E" w:rsidRPr="00FB516F">
        <w:rPr>
          <w:rFonts w:ascii="Calibri" w:eastAsia="Calibri" w:hAnsi="Calibri" w:cs="Calibri"/>
        </w:rPr>
        <w:t xml:space="preserve">and sharing </w:t>
      </w:r>
      <w:r w:rsidR="00F83121" w:rsidRPr="00FB516F">
        <w:rPr>
          <w:rFonts w:ascii="Calibri" w:eastAsia="Calibri" w:hAnsi="Calibri" w:cs="Calibri"/>
        </w:rPr>
        <w:t>of spatial</w:t>
      </w:r>
      <w:r w:rsidR="00970B3E" w:rsidRPr="00FB516F">
        <w:rPr>
          <w:rFonts w:ascii="Calibri" w:eastAsia="Calibri" w:hAnsi="Calibri" w:cs="Calibri"/>
        </w:rPr>
        <w:t xml:space="preserve"> data</w:t>
      </w:r>
      <w:r w:rsidR="00D43290" w:rsidRPr="00FB516F">
        <w:rPr>
          <w:rFonts w:ascii="Calibri" w:eastAsia="Calibri" w:hAnsi="Calibri" w:cs="Calibri"/>
        </w:rPr>
        <w:t xml:space="preserve"> while </w:t>
      </w:r>
      <w:r w:rsidR="00D32E3F" w:rsidRPr="00FB516F">
        <w:rPr>
          <w:rFonts w:ascii="Calibri" w:eastAsia="Calibri" w:hAnsi="Calibri" w:cs="Calibri"/>
        </w:rPr>
        <w:t>allowing targeted search by</w:t>
      </w:r>
      <w:r w:rsidR="00D43290" w:rsidRPr="00FB516F">
        <w:rPr>
          <w:rFonts w:ascii="Calibri" w:eastAsia="Calibri" w:hAnsi="Calibri" w:cs="Calibri"/>
        </w:rPr>
        <w:t xml:space="preserve"> environmental topics</w:t>
      </w:r>
      <w:r w:rsidR="00970B3E" w:rsidRPr="00FB516F">
        <w:rPr>
          <w:rFonts w:ascii="Calibri" w:eastAsia="Calibri" w:hAnsi="Calibri" w:cs="Calibri"/>
        </w:rPr>
        <w:t xml:space="preserve">. </w:t>
      </w:r>
      <w:r w:rsidR="00F92A27" w:rsidRPr="00FB516F">
        <w:rPr>
          <w:rFonts w:ascii="Calibri" w:eastAsia="Calibri" w:hAnsi="Calibri" w:cs="Calibri"/>
        </w:rPr>
        <w:t xml:space="preserve">Further elements of a spatial data architecture </w:t>
      </w:r>
      <w:r w:rsidR="00D32E3F" w:rsidRPr="00FB516F">
        <w:rPr>
          <w:rFonts w:ascii="Calibri" w:eastAsia="Calibri" w:hAnsi="Calibri" w:cs="Calibri"/>
        </w:rPr>
        <w:t>c</w:t>
      </w:r>
      <w:r w:rsidR="00EE1F0F" w:rsidRPr="00FB516F">
        <w:rPr>
          <w:rFonts w:ascii="Calibri" w:eastAsia="Calibri" w:hAnsi="Calibri" w:cs="Calibri"/>
        </w:rPr>
        <w:t xml:space="preserve">ould </w:t>
      </w:r>
      <w:r w:rsidR="00D43290" w:rsidRPr="00FB516F">
        <w:rPr>
          <w:rFonts w:ascii="Calibri" w:eastAsia="Calibri" w:hAnsi="Calibri" w:cs="Calibri"/>
        </w:rPr>
        <w:t>address</w:t>
      </w:r>
      <w:r w:rsidR="00D62C20" w:rsidRPr="00FB516F">
        <w:rPr>
          <w:rFonts w:ascii="Calibri" w:eastAsia="Calibri" w:hAnsi="Calibri" w:cs="Calibri"/>
        </w:rPr>
        <w:t xml:space="preserve">, among others, </w:t>
      </w:r>
      <w:r w:rsidR="00D43290" w:rsidRPr="00FB516F">
        <w:rPr>
          <w:rFonts w:ascii="Calibri" w:eastAsia="Calibri" w:hAnsi="Calibri" w:cs="Calibri"/>
        </w:rPr>
        <w:t xml:space="preserve">automation </w:t>
      </w:r>
      <w:r w:rsidR="00EE1F0F" w:rsidRPr="00FB516F">
        <w:rPr>
          <w:rFonts w:ascii="Calibri" w:eastAsia="Calibri" w:hAnsi="Calibri" w:cs="Calibri"/>
        </w:rPr>
        <w:t xml:space="preserve">of work flows related to </w:t>
      </w:r>
      <w:r w:rsidR="00D43290" w:rsidRPr="00FB516F">
        <w:rPr>
          <w:rFonts w:ascii="Calibri" w:eastAsia="Calibri" w:hAnsi="Calibri" w:cs="Calibri"/>
        </w:rPr>
        <w:t>geo</w:t>
      </w:r>
      <w:r w:rsidRPr="00FB516F">
        <w:rPr>
          <w:rFonts w:ascii="Calibri" w:eastAsia="Calibri" w:hAnsi="Calibri" w:cs="Calibri"/>
        </w:rPr>
        <w:t>-</w:t>
      </w:r>
      <w:r w:rsidR="00D43290" w:rsidRPr="00FB516F">
        <w:rPr>
          <w:rFonts w:ascii="Calibri" w:eastAsia="Calibri" w:hAnsi="Calibri" w:cs="Calibri"/>
        </w:rPr>
        <w:t>processing scripts and models, servers, publishing and data integration, editing environments</w:t>
      </w:r>
      <w:r w:rsidR="00D62C20" w:rsidRPr="00FB516F">
        <w:rPr>
          <w:rFonts w:ascii="Calibri" w:eastAsia="Calibri" w:hAnsi="Calibri" w:cs="Calibri"/>
        </w:rPr>
        <w:t xml:space="preserve">, and semantic inventories. </w:t>
      </w:r>
    </w:p>
    <w:p w14:paraId="7FEF47C5" w14:textId="4AC8DD12" w:rsidR="00E772C3" w:rsidRPr="00FB516F" w:rsidRDefault="00E772C3" w:rsidP="00171742">
      <w:pPr>
        <w:jc w:val="both"/>
        <w:rPr>
          <w:rFonts w:ascii="Calibri" w:eastAsia="Calibri" w:hAnsi="Calibri" w:cs="Calibri"/>
        </w:rPr>
      </w:pPr>
    </w:p>
    <w:p w14:paraId="16D5D801" w14:textId="741B44C5" w:rsidR="00E772C3" w:rsidRPr="00FB516F" w:rsidRDefault="00E772C3" w:rsidP="00171742">
      <w:pPr>
        <w:jc w:val="both"/>
        <w:rPr>
          <w:rFonts w:ascii="Calibri" w:eastAsia="Calibri" w:hAnsi="Calibri" w:cs="Calibri"/>
        </w:rPr>
      </w:pPr>
      <w:r w:rsidRPr="00FB516F">
        <w:rPr>
          <w:rFonts w:ascii="Calibri" w:eastAsia="Calibri" w:hAnsi="Calibri" w:cs="Calibri"/>
          <w:b/>
          <w:bCs/>
        </w:rPr>
        <w:t xml:space="preserve">Key tenets for </w:t>
      </w:r>
      <w:r w:rsidR="00D32E3F" w:rsidRPr="00FB516F">
        <w:rPr>
          <w:rFonts w:ascii="Calibri" w:eastAsia="Calibri" w:hAnsi="Calibri" w:cs="Calibri"/>
          <w:b/>
          <w:bCs/>
        </w:rPr>
        <w:t xml:space="preserve">developing a shared spatial data platform under </w:t>
      </w:r>
      <w:r w:rsidR="00D32E3F" w:rsidRPr="00FB516F">
        <w:rPr>
          <w:rFonts w:ascii="Calibri" w:eastAsia="Calibri" w:hAnsi="Calibri" w:cs="Calibri"/>
          <w:b/>
          <w:bCs/>
        </w:rPr>
        <w:t>KIP INCA</w:t>
      </w:r>
      <w:r w:rsidR="00D32E3F" w:rsidRPr="00FB516F">
        <w:rPr>
          <w:rFonts w:ascii="Calibri" w:eastAsia="Calibri" w:hAnsi="Calibri" w:cs="Calibri"/>
          <w:b/>
          <w:bCs/>
        </w:rPr>
        <w:t xml:space="preserve"> (taken from 2017 paper)</w:t>
      </w:r>
      <w:r w:rsidRPr="00FB516F">
        <w:rPr>
          <w:rFonts w:ascii="Calibri" w:eastAsia="Calibri" w:hAnsi="Calibri" w:cs="Calibri"/>
          <w:b/>
          <w:bCs/>
        </w:rPr>
        <w:t>:</w:t>
      </w:r>
    </w:p>
    <w:p w14:paraId="66584A0A" w14:textId="77777777" w:rsidR="00375FBE" w:rsidRPr="00FB516F" w:rsidRDefault="008E08B9" w:rsidP="00E772C3">
      <w:pPr>
        <w:numPr>
          <w:ilvl w:val="0"/>
          <w:numId w:val="15"/>
        </w:numPr>
        <w:jc w:val="both"/>
        <w:rPr>
          <w:rFonts w:ascii="Calibri" w:eastAsia="Calibri" w:hAnsi="Calibri" w:cs="Calibri"/>
        </w:rPr>
      </w:pPr>
      <w:r w:rsidRPr="00FB516F">
        <w:rPr>
          <w:rFonts w:ascii="Calibri" w:eastAsia="Calibri" w:hAnsi="Calibri" w:cs="Calibri"/>
        </w:rPr>
        <w:t>Aim is to develop a shared platform that is stable, ‘institutional’ and achieves full integration of systems and sharing data sets (as far as appropriate)</w:t>
      </w:r>
    </w:p>
    <w:p w14:paraId="641D4AFB" w14:textId="77777777" w:rsidR="00375FBE" w:rsidRPr="00FB516F" w:rsidRDefault="008E08B9" w:rsidP="00E772C3">
      <w:pPr>
        <w:numPr>
          <w:ilvl w:val="0"/>
          <w:numId w:val="15"/>
        </w:numPr>
        <w:jc w:val="both"/>
        <w:rPr>
          <w:rFonts w:ascii="Calibri" w:eastAsia="Calibri" w:hAnsi="Calibri" w:cs="Calibri"/>
        </w:rPr>
      </w:pPr>
      <w:r w:rsidRPr="00FB516F">
        <w:rPr>
          <w:rFonts w:ascii="Calibri" w:eastAsia="Calibri" w:hAnsi="Calibri" w:cs="Calibri"/>
        </w:rPr>
        <w:t>Develop accounts underpinned by harmonised, geo-referenced and QA/QCd datasets</w:t>
      </w:r>
    </w:p>
    <w:p w14:paraId="52D267DC" w14:textId="77777777" w:rsidR="00375FBE" w:rsidRPr="00FB516F" w:rsidRDefault="008E08B9" w:rsidP="00E772C3">
      <w:pPr>
        <w:numPr>
          <w:ilvl w:val="0"/>
          <w:numId w:val="15"/>
        </w:numPr>
        <w:jc w:val="both"/>
        <w:rPr>
          <w:rFonts w:ascii="Calibri" w:eastAsia="Calibri" w:hAnsi="Calibri" w:cs="Calibri"/>
        </w:rPr>
      </w:pPr>
      <w:r w:rsidRPr="00FB516F">
        <w:rPr>
          <w:rFonts w:ascii="Calibri" w:eastAsia="Calibri" w:hAnsi="Calibri" w:cs="Calibri"/>
        </w:rPr>
        <w:t>Develop a semantic inventory of spatial datasets placing data in their context.</w:t>
      </w:r>
    </w:p>
    <w:p w14:paraId="6CE7333E" w14:textId="77777777" w:rsidR="00375FBE" w:rsidRPr="00FB516F" w:rsidRDefault="008E08B9" w:rsidP="00E772C3">
      <w:pPr>
        <w:numPr>
          <w:ilvl w:val="0"/>
          <w:numId w:val="15"/>
        </w:numPr>
        <w:jc w:val="both"/>
        <w:rPr>
          <w:rFonts w:ascii="Calibri" w:eastAsia="Calibri" w:hAnsi="Calibri" w:cs="Calibri"/>
        </w:rPr>
      </w:pPr>
      <w:r w:rsidRPr="00FB516F">
        <w:rPr>
          <w:rFonts w:ascii="Calibri" w:eastAsia="Calibri" w:hAnsi="Calibri" w:cs="Calibri"/>
        </w:rPr>
        <w:t>Serve as common spatial reference framework; with a 1km grid as the core accounting grid</w:t>
      </w:r>
    </w:p>
    <w:p w14:paraId="7CA5C6EF" w14:textId="77777777" w:rsidR="00375FBE" w:rsidRPr="00FB516F" w:rsidRDefault="008E08B9" w:rsidP="00E772C3">
      <w:pPr>
        <w:numPr>
          <w:ilvl w:val="0"/>
          <w:numId w:val="15"/>
        </w:numPr>
        <w:jc w:val="both"/>
        <w:rPr>
          <w:rFonts w:ascii="Calibri" w:eastAsia="Calibri" w:hAnsi="Calibri" w:cs="Calibri"/>
        </w:rPr>
      </w:pPr>
      <w:r w:rsidRPr="00FB516F">
        <w:rPr>
          <w:rFonts w:ascii="Calibri" w:eastAsia="Calibri" w:hAnsi="Calibri" w:cs="Calibri"/>
        </w:rPr>
        <w:t>Ensure transparency, traceability and accountability of the datasets and models used to compute the accounts</w:t>
      </w:r>
    </w:p>
    <w:p w14:paraId="7ECDB0F0" w14:textId="77777777" w:rsidR="00375FBE" w:rsidRPr="00FB516F" w:rsidRDefault="008E08B9" w:rsidP="00E772C3">
      <w:pPr>
        <w:numPr>
          <w:ilvl w:val="0"/>
          <w:numId w:val="15"/>
        </w:numPr>
        <w:jc w:val="both"/>
        <w:rPr>
          <w:rFonts w:ascii="Calibri" w:eastAsia="Calibri" w:hAnsi="Calibri" w:cs="Calibri"/>
        </w:rPr>
      </w:pPr>
      <w:r w:rsidRPr="00FB516F">
        <w:rPr>
          <w:rFonts w:ascii="Calibri" w:eastAsia="Calibri" w:hAnsi="Calibri" w:cs="Calibri"/>
        </w:rPr>
        <w:t xml:space="preserve">Facilitate greater efficiency in sharing of spatial data and related joint analysis, thus enabling a pooling of resources between KIP INCA partners and synergies </w:t>
      </w:r>
    </w:p>
    <w:p w14:paraId="3409D99B" w14:textId="77777777" w:rsidR="00375FBE" w:rsidRPr="00FB516F" w:rsidRDefault="008E08B9" w:rsidP="00E772C3">
      <w:pPr>
        <w:numPr>
          <w:ilvl w:val="0"/>
          <w:numId w:val="15"/>
        </w:numPr>
        <w:jc w:val="both"/>
        <w:rPr>
          <w:rFonts w:ascii="Calibri" w:eastAsia="Calibri" w:hAnsi="Calibri" w:cs="Calibri"/>
        </w:rPr>
      </w:pPr>
      <w:r w:rsidRPr="00FB516F">
        <w:rPr>
          <w:rFonts w:ascii="Calibri" w:eastAsia="Calibri" w:hAnsi="Calibri" w:cs="Calibri"/>
        </w:rPr>
        <w:t>Achieve this making best use of the present capacity and resources</w:t>
      </w:r>
    </w:p>
    <w:p w14:paraId="20A181E4" w14:textId="530C04D6" w:rsidR="00E772C3" w:rsidRPr="00FB516F" w:rsidRDefault="00E772C3" w:rsidP="00171742">
      <w:pPr>
        <w:jc w:val="both"/>
        <w:rPr>
          <w:rFonts w:ascii="Calibri" w:eastAsia="Calibri" w:hAnsi="Calibri" w:cs="Calibri"/>
        </w:rPr>
      </w:pPr>
    </w:p>
    <w:p w14:paraId="0F2270BE" w14:textId="77777777" w:rsidR="006221F3" w:rsidRPr="00FB516F" w:rsidRDefault="006221F3" w:rsidP="00171742">
      <w:pPr>
        <w:jc w:val="both"/>
        <w:rPr>
          <w:rFonts w:ascii="Calibri" w:eastAsia="Calibri" w:hAnsi="Calibri" w:cs="Calibri"/>
        </w:rPr>
      </w:pPr>
    </w:p>
    <w:p w14:paraId="0CA5318D" w14:textId="77777777" w:rsidR="00E772C3" w:rsidRPr="00FB516F" w:rsidRDefault="00E772C3" w:rsidP="00171742">
      <w:pPr>
        <w:jc w:val="both"/>
        <w:rPr>
          <w:rFonts w:ascii="Calibri" w:eastAsia="Calibri" w:hAnsi="Calibri" w:cs="Calibri"/>
        </w:rPr>
      </w:pPr>
    </w:p>
    <w:p w14:paraId="33B6844B" w14:textId="3B4D2C14" w:rsidR="00E772C3" w:rsidRPr="00FB516F" w:rsidRDefault="00E772C3" w:rsidP="00171742">
      <w:pPr>
        <w:jc w:val="both"/>
        <w:rPr>
          <w:rFonts w:ascii="Calibri" w:eastAsia="Calibri" w:hAnsi="Calibri" w:cs="Calibri"/>
          <w:b/>
          <w:bCs/>
        </w:rPr>
      </w:pPr>
      <w:r w:rsidRPr="00FB516F">
        <w:rPr>
          <w:rFonts w:ascii="Calibri" w:eastAsia="Calibri" w:hAnsi="Calibri" w:cs="Calibri"/>
          <w:b/>
          <w:bCs/>
        </w:rPr>
        <w:t>Key issues and que</w:t>
      </w:r>
      <w:r w:rsidR="006221F3" w:rsidRPr="00FB516F">
        <w:rPr>
          <w:rFonts w:ascii="Calibri" w:eastAsia="Calibri" w:hAnsi="Calibri" w:cs="Calibri"/>
          <w:b/>
          <w:bCs/>
        </w:rPr>
        <w:t>stions to consider during the workshop</w:t>
      </w:r>
      <w:r w:rsidRPr="00FB516F">
        <w:rPr>
          <w:rFonts w:ascii="Calibri" w:eastAsia="Calibri" w:hAnsi="Calibri" w:cs="Calibri"/>
          <w:b/>
          <w:bCs/>
        </w:rPr>
        <w:t>:</w:t>
      </w:r>
    </w:p>
    <w:p w14:paraId="57A52E7E" w14:textId="20F65FCD" w:rsidR="00E772C3" w:rsidRPr="00FB516F" w:rsidRDefault="00E772C3" w:rsidP="00171742">
      <w:pPr>
        <w:jc w:val="both"/>
        <w:rPr>
          <w:rFonts w:ascii="Calibri" w:eastAsia="Calibri" w:hAnsi="Calibri" w:cs="Calibri"/>
          <w:b/>
          <w:bCs/>
        </w:rPr>
      </w:pPr>
    </w:p>
    <w:p w14:paraId="132C7A00" w14:textId="3941208A" w:rsidR="00E772C3" w:rsidRPr="00FB516F" w:rsidRDefault="00FB516F" w:rsidP="006221F3">
      <w:pPr>
        <w:spacing w:after="240"/>
        <w:jc w:val="both"/>
        <w:rPr>
          <w:rFonts w:ascii="Calibri" w:eastAsia="Calibri" w:hAnsi="Calibri" w:cs="Calibri"/>
        </w:rPr>
      </w:pPr>
      <w:r>
        <w:rPr>
          <w:rFonts w:ascii="Calibri" w:eastAsia="Calibri" w:hAnsi="Calibri" w:cs="Calibri"/>
        </w:rPr>
        <w:t>There are two</w:t>
      </w:r>
      <w:r w:rsidR="00E772C3" w:rsidRPr="00FB516F">
        <w:rPr>
          <w:rFonts w:ascii="Calibri" w:eastAsia="Calibri" w:hAnsi="Calibri" w:cs="Calibri"/>
        </w:rPr>
        <w:t xml:space="preserve"> main </w:t>
      </w:r>
      <w:r w:rsidR="00D32E3F" w:rsidRPr="00FB516F">
        <w:rPr>
          <w:rFonts w:ascii="Calibri" w:eastAsia="Calibri" w:hAnsi="Calibri" w:cs="Calibri"/>
        </w:rPr>
        <w:t>areas to consider when reflecting on developing a shared spatial data platform</w:t>
      </w:r>
      <w:r w:rsidR="00E772C3" w:rsidRPr="00FB516F">
        <w:rPr>
          <w:rFonts w:ascii="Calibri" w:eastAsia="Calibri" w:hAnsi="Calibri" w:cs="Calibri"/>
        </w:rPr>
        <w:t xml:space="preserve">: </w:t>
      </w:r>
    </w:p>
    <w:p w14:paraId="2C510F5E" w14:textId="4CCBDFAF" w:rsidR="00E772C3" w:rsidRPr="00FB516F" w:rsidRDefault="00E772C3" w:rsidP="006221F3">
      <w:pPr>
        <w:spacing w:after="240"/>
        <w:jc w:val="both"/>
        <w:rPr>
          <w:rFonts w:ascii="Calibri" w:eastAsia="Calibri" w:hAnsi="Calibri" w:cs="Calibri"/>
        </w:rPr>
      </w:pPr>
      <w:r w:rsidRPr="00FB516F">
        <w:rPr>
          <w:rFonts w:ascii="Calibri" w:eastAsia="Calibri" w:hAnsi="Calibri" w:cs="Calibri"/>
        </w:rPr>
        <w:t>a) Efficient sharing of existing data sets</w:t>
      </w:r>
      <w:r w:rsidR="00D32E3F" w:rsidRPr="00FB516F">
        <w:rPr>
          <w:rFonts w:ascii="Calibri" w:eastAsia="Calibri" w:hAnsi="Calibri" w:cs="Calibri"/>
        </w:rPr>
        <w:t xml:space="preserve"> in the context of ‘regular production’</w:t>
      </w:r>
    </w:p>
    <w:p w14:paraId="3CC759EC" w14:textId="77777777" w:rsidR="00E772C3" w:rsidRPr="00E772C3" w:rsidRDefault="00E772C3" w:rsidP="006221F3">
      <w:pPr>
        <w:spacing w:after="240"/>
        <w:jc w:val="both"/>
        <w:rPr>
          <w:rFonts w:ascii="Calibri" w:eastAsia="Calibri" w:hAnsi="Calibri" w:cs="Calibri"/>
        </w:rPr>
      </w:pPr>
      <w:r w:rsidRPr="00FB516F">
        <w:rPr>
          <w:rFonts w:ascii="Calibri" w:eastAsia="Calibri" w:hAnsi="Calibri" w:cs="Calibri"/>
        </w:rPr>
        <w:t>b) Development of shared spatial reference data on natural capital</w:t>
      </w:r>
    </w:p>
    <w:p w14:paraId="40EEEC7C" w14:textId="77777777" w:rsidR="008E08B9" w:rsidRDefault="008E08B9" w:rsidP="00E772C3">
      <w:pPr>
        <w:jc w:val="both"/>
        <w:rPr>
          <w:rFonts w:ascii="Calibri" w:eastAsia="Calibri" w:hAnsi="Calibri" w:cs="Calibri"/>
        </w:rPr>
      </w:pPr>
    </w:p>
    <w:p w14:paraId="46D1853B" w14:textId="5B7C0C40" w:rsidR="00E772C3" w:rsidRPr="00E772C3" w:rsidRDefault="00E772C3" w:rsidP="00E772C3">
      <w:pPr>
        <w:jc w:val="both"/>
        <w:rPr>
          <w:rFonts w:ascii="Calibri" w:eastAsia="Calibri" w:hAnsi="Calibri" w:cs="Calibri"/>
        </w:rPr>
      </w:pPr>
      <w:r w:rsidRPr="00E772C3">
        <w:rPr>
          <w:rFonts w:ascii="Calibri" w:eastAsia="Calibri" w:hAnsi="Calibri" w:cs="Calibri"/>
        </w:rPr>
        <w:t xml:space="preserve">For a) we need to know: </w:t>
      </w:r>
    </w:p>
    <w:p w14:paraId="6EF101BF" w14:textId="77777777" w:rsidR="00375FBE" w:rsidRPr="00E772C3" w:rsidRDefault="008E08B9" w:rsidP="00E772C3">
      <w:pPr>
        <w:numPr>
          <w:ilvl w:val="0"/>
          <w:numId w:val="16"/>
        </w:numPr>
        <w:jc w:val="both"/>
        <w:rPr>
          <w:rFonts w:ascii="Calibri" w:eastAsia="Calibri" w:hAnsi="Calibri" w:cs="Calibri"/>
        </w:rPr>
      </w:pPr>
      <w:r w:rsidRPr="00E772C3">
        <w:rPr>
          <w:rFonts w:ascii="Calibri" w:eastAsia="Calibri" w:hAnsi="Calibri" w:cs="Calibri"/>
        </w:rPr>
        <w:t>Do we have a problem? If so, how can it be fixed? Within existing tools and set-up or do we need to create a new technical solution?</w:t>
      </w:r>
    </w:p>
    <w:p w14:paraId="2EDCEA02" w14:textId="77777777" w:rsidR="00375FBE" w:rsidRPr="00E772C3" w:rsidRDefault="008E08B9" w:rsidP="00E772C3">
      <w:pPr>
        <w:numPr>
          <w:ilvl w:val="0"/>
          <w:numId w:val="16"/>
        </w:numPr>
        <w:jc w:val="both"/>
        <w:rPr>
          <w:rFonts w:ascii="Calibri" w:eastAsia="Calibri" w:hAnsi="Calibri" w:cs="Calibri"/>
        </w:rPr>
      </w:pPr>
      <w:r w:rsidRPr="00E772C3">
        <w:rPr>
          <w:rFonts w:ascii="Calibri" w:eastAsia="Calibri" w:hAnsi="Calibri" w:cs="Calibri"/>
        </w:rPr>
        <w:t>Also need to consider context: experimentation or regular production?</w:t>
      </w:r>
    </w:p>
    <w:p w14:paraId="1752AD50" w14:textId="77777777" w:rsidR="008E08B9" w:rsidRDefault="008E08B9" w:rsidP="00E772C3">
      <w:pPr>
        <w:jc w:val="both"/>
        <w:rPr>
          <w:rFonts w:ascii="Calibri" w:eastAsia="Calibri" w:hAnsi="Calibri" w:cs="Calibri"/>
        </w:rPr>
      </w:pPr>
    </w:p>
    <w:p w14:paraId="6C0A1EAC" w14:textId="387FBBC1" w:rsidR="00E772C3" w:rsidRPr="00E772C3" w:rsidRDefault="00E772C3" w:rsidP="00E772C3">
      <w:pPr>
        <w:jc w:val="both"/>
        <w:rPr>
          <w:rFonts w:ascii="Calibri" w:eastAsia="Calibri" w:hAnsi="Calibri" w:cs="Calibri"/>
        </w:rPr>
      </w:pPr>
      <w:r w:rsidRPr="00E772C3">
        <w:rPr>
          <w:rFonts w:ascii="Calibri" w:eastAsia="Calibri" w:hAnsi="Calibri" w:cs="Calibri"/>
        </w:rPr>
        <w:t>For b) we need to agree:</w:t>
      </w:r>
    </w:p>
    <w:p w14:paraId="5B47A56B" w14:textId="77777777" w:rsidR="00375FBE" w:rsidRPr="00E772C3" w:rsidRDefault="008E08B9" w:rsidP="00E772C3">
      <w:pPr>
        <w:numPr>
          <w:ilvl w:val="0"/>
          <w:numId w:val="17"/>
        </w:numPr>
        <w:jc w:val="both"/>
        <w:rPr>
          <w:rFonts w:ascii="Calibri" w:eastAsia="Calibri" w:hAnsi="Calibri" w:cs="Calibri"/>
        </w:rPr>
      </w:pPr>
      <w:r w:rsidRPr="00E772C3">
        <w:rPr>
          <w:rFonts w:ascii="Calibri" w:eastAsia="Calibri" w:hAnsi="Calibri" w:cs="Calibri"/>
        </w:rPr>
        <w:t>Which are the priority reference data sets on natural capital</w:t>
      </w:r>
    </w:p>
    <w:p w14:paraId="66A1DA4D" w14:textId="7719FD25" w:rsidR="00375FBE" w:rsidRPr="00E772C3" w:rsidRDefault="008E08B9" w:rsidP="00E772C3">
      <w:pPr>
        <w:numPr>
          <w:ilvl w:val="0"/>
          <w:numId w:val="17"/>
        </w:numPr>
        <w:jc w:val="both"/>
        <w:rPr>
          <w:rFonts w:ascii="Calibri" w:eastAsia="Calibri" w:hAnsi="Calibri" w:cs="Calibri"/>
        </w:rPr>
      </w:pPr>
      <w:r w:rsidRPr="00E772C3">
        <w:rPr>
          <w:rFonts w:ascii="Calibri" w:eastAsia="Calibri" w:hAnsi="Calibri" w:cs="Calibri"/>
        </w:rPr>
        <w:t>Can we create them by joi</w:t>
      </w:r>
      <w:r w:rsidR="00D32E3F">
        <w:rPr>
          <w:rFonts w:ascii="Calibri" w:eastAsia="Calibri" w:hAnsi="Calibri" w:cs="Calibri"/>
        </w:rPr>
        <w:t>ning forces? How to set that up and make it a regular activity?</w:t>
      </w:r>
    </w:p>
    <w:p w14:paraId="6A40B368" w14:textId="77777777" w:rsidR="00375FBE" w:rsidRPr="00E772C3" w:rsidRDefault="008E08B9" w:rsidP="00E772C3">
      <w:pPr>
        <w:numPr>
          <w:ilvl w:val="0"/>
          <w:numId w:val="17"/>
        </w:numPr>
        <w:jc w:val="both"/>
        <w:rPr>
          <w:rFonts w:ascii="Calibri" w:eastAsia="Calibri" w:hAnsi="Calibri" w:cs="Calibri"/>
        </w:rPr>
      </w:pPr>
      <w:r w:rsidRPr="00E772C3">
        <w:rPr>
          <w:rFonts w:ascii="Calibri" w:eastAsia="Calibri" w:hAnsi="Calibri" w:cs="Calibri"/>
        </w:rPr>
        <w:t>Are new monitoring or data collection schemes necessary?</w:t>
      </w:r>
    </w:p>
    <w:p w14:paraId="26C5EEE0" w14:textId="3052CBA6" w:rsidR="00E772C3" w:rsidRDefault="00E772C3" w:rsidP="00171742">
      <w:pPr>
        <w:jc w:val="both"/>
        <w:rPr>
          <w:rFonts w:ascii="Calibri" w:eastAsia="Calibri" w:hAnsi="Calibri" w:cs="Calibri"/>
        </w:rPr>
      </w:pPr>
    </w:p>
    <w:p w14:paraId="735B6C2E" w14:textId="6244B252" w:rsidR="008E08B9" w:rsidRPr="00FB516F" w:rsidRDefault="008E08B9" w:rsidP="00171742">
      <w:pPr>
        <w:jc w:val="both"/>
        <w:rPr>
          <w:rFonts w:ascii="Calibri" w:eastAsia="Calibri" w:hAnsi="Calibri" w:cs="Calibri"/>
          <w:bCs/>
        </w:rPr>
      </w:pPr>
      <w:r>
        <w:rPr>
          <w:rFonts w:ascii="Calibri" w:eastAsia="Calibri" w:hAnsi="Calibri" w:cs="Calibri"/>
          <w:b/>
          <w:bCs/>
        </w:rPr>
        <w:t>Reflection on d</w:t>
      </w:r>
      <w:r w:rsidRPr="008E08B9">
        <w:rPr>
          <w:rFonts w:ascii="Calibri" w:eastAsia="Calibri" w:hAnsi="Calibri" w:cs="Calibri"/>
          <w:b/>
          <w:bCs/>
        </w:rPr>
        <w:t>ata foundation for experimentation and for regular production</w:t>
      </w:r>
      <w:r>
        <w:rPr>
          <w:rFonts w:ascii="Calibri" w:eastAsia="Calibri" w:hAnsi="Calibri" w:cs="Calibri"/>
          <w:b/>
          <w:bCs/>
        </w:rPr>
        <w:t xml:space="preserve"> </w:t>
      </w:r>
      <w:r w:rsidRPr="00FB516F">
        <w:rPr>
          <w:rFonts w:ascii="Calibri" w:eastAsia="Calibri" w:hAnsi="Calibri" w:cs="Calibri"/>
          <w:bCs/>
        </w:rPr>
        <w:t>– there are some key differences – see table below:</w:t>
      </w:r>
    </w:p>
    <w:p w14:paraId="0079CD7C" w14:textId="77569084" w:rsidR="008E08B9" w:rsidRDefault="008E08B9" w:rsidP="00171742">
      <w:pPr>
        <w:jc w:val="both"/>
        <w:rPr>
          <w:rFonts w:ascii="Calibri" w:eastAsia="Calibri" w:hAnsi="Calibri" w:cs="Calibri"/>
          <w:b/>
          <w:bCs/>
        </w:rPr>
      </w:pPr>
    </w:p>
    <w:tbl>
      <w:tblPr>
        <w:tblW w:w="9941" w:type="dxa"/>
        <w:tblCellMar>
          <w:left w:w="0" w:type="dxa"/>
          <w:right w:w="0" w:type="dxa"/>
        </w:tblCellMar>
        <w:tblLook w:val="0420" w:firstRow="1" w:lastRow="0" w:firstColumn="0" w:lastColumn="0" w:noHBand="0" w:noVBand="1"/>
      </w:tblPr>
      <w:tblGrid>
        <w:gridCol w:w="3109"/>
        <w:gridCol w:w="2693"/>
        <w:gridCol w:w="4139"/>
      </w:tblGrid>
      <w:tr w:rsidR="008E08B9" w:rsidRPr="008E08B9" w14:paraId="71CCA8E7" w14:textId="77777777" w:rsidTr="008E08B9">
        <w:trPr>
          <w:trHeight w:val="584"/>
        </w:trPr>
        <w:tc>
          <w:tcPr>
            <w:tcW w:w="310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063A930"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Issue</w:t>
            </w:r>
          </w:p>
        </w:tc>
        <w:tc>
          <w:tcPr>
            <w:tcW w:w="26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A5E779E"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Experimentation</w:t>
            </w:r>
          </w:p>
        </w:tc>
        <w:tc>
          <w:tcPr>
            <w:tcW w:w="413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51FD8CA"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Regular production</w:t>
            </w:r>
          </w:p>
        </w:tc>
      </w:tr>
      <w:tr w:rsidR="008E08B9" w:rsidRPr="008E08B9" w14:paraId="2DA71219" w14:textId="77777777" w:rsidTr="008E08B9">
        <w:trPr>
          <w:trHeight w:val="584"/>
        </w:trPr>
        <w:tc>
          <w:tcPr>
            <w:tcW w:w="310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37898DB"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Main objective</w:t>
            </w:r>
          </w:p>
        </w:tc>
        <w:tc>
          <w:tcPr>
            <w:tcW w:w="269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48CFBF9"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 xml:space="preserve">Demonstrate feasibility </w:t>
            </w:r>
          </w:p>
        </w:tc>
        <w:tc>
          <w:tcPr>
            <w:tcW w:w="413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FAB674F"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Efficient &amp; stable production according to agreed methodology</w:t>
            </w:r>
          </w:p>
        </w:tc>
      </w:tr>
      <w:tr w:rsidR="008E08B9" w:rsidRPr="008E08B9" w14:paraId="04EF2FBE" w14:textId="77777777" w:rsidTr="008E08B9">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D6E1F19"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Data source</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4ABF001"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Grab and use what is available</w:t>
            </w:r>
          </w:p>
        </w:tc>
        <w:tc>
          <w:tcPr>
            <w:tcW w:w="41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3231BD2"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Go for ‘official’ and regular data</w:t>
            </w:r>
          </w:p>
        </w:tc>
      </w:tr>
      <w:tr w:rsidR="008E08B9" w:rsidRPr="008E08B9" w14:paraId="3706AE98" w14:textId="77777777" w:rsidTr="008E08B9">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7074771"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Data integration / alignment (between ecosystem accounts)</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D4C9577"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Not so important as long as analytical tools can cope</w:t>
            </w:r>
          </w:p>
        </w:tc>
        <w:tc>
          <w:tcPr>
            <w:tcW w:w="41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E0EC0C9"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Full alignment supports efficient production, enhances credibility of ecosystem accounting system</w:t>
            </w:r>
          </w:p>
        </w:tc>
      </w:tr>
      <w:tr w:rsidR="008E08B9" w:rsidRPr="008E08B9" w14:paraId="5E9E7CC1" w14:textId="77777777" w:rsidTr="008E08B9">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664D350"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Production approach</w:t>
            </w:r>
          </w:p>
        </w:tc>
        <w:tc>
          <w:tcPr>
            <w:tcW w:w="2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50B7297"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Tailor to analytical purpose, can be flexible, can be one-off</w:t>
            </w:r>
          </w:p>
        </w:tc>
        <w:tc>
          <w:tcPr>
            <w:tcW w:w="41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337CC1F"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Requires automated production as much as possible, needs to establish a regular and fully comparable time series</w:t>
            </w:r>
          </w:p>
        </w:tc>
      </w:tr>
      <w:tr w:rsidR="008E08B9" w:rsidRPr="008E08B9" w14:paraId="1403B819" w14:textId="77777777" w:rsidTr="008E08B9">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124DA80"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Institutional set-up</w:t>
            </w:r>
          </w:p>
        </w:tc>
        <w:tc>
          <w:tcPr>
            <w:tcW w:w="26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DDF0091"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As necessary, voluntary arrangement suffices</w:t>
            </w:r>
          </w:p>
        </w:tc>
        <w:tc>
          <w:tcPr>
            <w:tcW w:w="41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F25B0FC" w14:textId="77777777" w:rsidR="008E08B9" w:rsidRPr="008E08B9" w:rsidRDefault="008E08B9" w:rsidP="008E08B9">
            <w:pPr>
              <w:jc w:val="both"/>
              <w:rPr>
                <w:rFonts w:ascii="Calibri" w:eastAsia="Calibri" w:hAnsi="Calibri" w:cs="Calibri"/>
                <w:b/>
                <w:bCs/>
              </w:rPr>
            </w:pPr>
            <w:r w:rsidRPr="008E08B9">
              <w:rPr>
                <w:rFonts w:ascii="Calibri" w:eastAsia="Calibri" w:hAnsi="Calibri" w:cs="Calibri"/>
                <w:b/>
                <w:bCs/>
              </w:rPr>
              <w:t>Formal cooperation required; full compatibility of systems and standards</w:t>
            </w:r>
          </w:p>
        </w:tc>
      </w:tr>
    </w:tbl>
    <w:p w14:paraId="4EF31C33" w14:textId="54371669" w:rsidR="008E08B9" w:rsidRDefault="008E08B9" w:rsidP="00171742">
      <w:pPr>
        <w:jc w:val="both"/>
        <w:rPr>
          <w:rFonts w:ascii="Calibri" w:eastAsia="Calibri" w:hAnsi="Calibri" w:cs="Calibri"/>
        </w:rPr>
      </w:pPr>
    </w:p>
    <w:p w14:paraId="3316E65F" w14:textId="2B1E9FEA" w:rsidR="00E772C3" w:rsidRDefault="00E772C3" w:rsidP="00171742">
      <w:pPr>
        <w:jc w:val="both"/>
        <w:rPr>
          <w:rFonts w:ascii="Calibri" w:eastAsia="Calibri" w:hAnsi="Calibri" w:cs="Calibri"/>
        </w:rPr>
      </w:pPr>
    </w:p>
    <w:p w14:paraId="50E996C5" w14:textId="425FCA46" w:rsidR="008E08B9" w:rsidRDefault="008E08B9" w:rsidP="008E08B9">
      <w:pPr>
        <w:jc w:val="both"/>
        <w:rPr>
          <w:rFonts w:ascii="Calibri" w:eastAsia="Calibri" w:hAnsi="Calibri" w:cs="Calibri"/>
          <w:b/>
          <w:bCs/>
        </w:rPr>
      </w:pPr>
      <w:r>
        <w:rPr>
          <w:rFonts w:ascii="Calibri" w:eastAsia="Calibri" w:hAnsi="Calibri" w:cs="Calibri"/>
          <w:b/>
          <w:bCs/>
        </w:rPr>
        <w:t>Key questions to review in relation to d</w:t>
      </w:r>
      <w:r w:rsidRPr="008E08B9">
        <w:rPr>
          <w:rFonts w:ascii="Calibri" w:eastAsia="Calibri" w:hAnsi="Calibri" w:cs="Calibri"/>
          <w:b/>
          <w:bCs/>
        </w:rPr>
        <w:t>ata platform functionalities</w:t>
      </w:r>
    </w:p>
    <w:p w14:paraId="6FDFB119" w14:textId="16E7E8F1" w:rsidR="008E08B9" w:rsidRDefault="008E08B9" w:rsidP="008E08B9">
      <w:pPr>
        <w:jc w:val="both"/>
        <w:rPr>
          <w:rFonts w:ascii="Calibri" w:eastAsia="Calibri" w:hAnsi="Calibri" w:cs="Calibri"/>
          <w:b/>
          <w:bCs/>
        </w:rPr>
      </w:pPr>
    </w:p>
    <w:p w14:paraId="7F9A8126" w14:textId="77777777" w:rsidR="00375FBE" w:rsidRPr="008E08B9" w:rsidRDefault="008E08B9" w:rsidP="003D3C71">
      <w:pPr>
        <w:numPr>
          <w:ilvl w:val="0"/>
          <w:numId w:val="21"/>
        </w:numPr>
        <w:jc w:val="both"/>
        <w:rPr>
          <w:rFonts w:ascii="Calibri" w:eastAsia="Calibri" w:hAnsi="Calibri" w:cs="Calibri"/>
        </w:rPr>
      </w:pPr>
      <w:r w:rsidRPr="008E08B9">
        <w:rPr>
          <w:rFonts w:ascii="Calibri" w:eastAsia="Calibri" w:hAnsi="Calibri" w:cs="Calibri"/>
        </w:rPr>
        <w:t>Who shares data with whom? Is current set-up efficient for data access?</w:t>
      </w:r>
    </w:p>
    <w:p w14:paraId="65597D06" w14:textId="77777777" w:rsidR="00375FBE" w:rsidRPr="008E08B9" w:rsidRDefault="008E08B9" w:rsidP="003D3C71">
      <w:pPr>
        <w:numPr>
          <w:ilvl w:val="0"/>
          <w:numId w:val="21"/>
        </w:numPr>
        <w:jc w:val="both"/>
        <w:rPr>
          <w:rFonts w:ascii="Calibri" w:eastAsia="Calibri" w:hAnsi="Calibri" w:cs="Calibri"/>
        </w:rPr>
      </w:pPr>
      <w:r w:rsidRPr="008E08B9">
        <w:rPr>
          <w:rFonts w:ascii="Calibri" w:eastAsia="Calibri" w:hAnsi="Calibri" w:cs="Calibri"/>
        </w:rPr>
        <w:t>If there are obstacles what are these? How to solve them?</w:t>
      </w:r>
    </w:p>
    <w:p w14:paraId="351E3083" w14:textId="77777777" w:rsidR="00375FBE" w:rsidRPr="008E08B9" w:rsidRDefault="008E08B9" w:rsidP="003D3C71">
      <w:pPr>
        <w:numPr>
          <w:ilvl w:val="0"/>
          <w:numId w:val="21"/>
        </w:numPr>
        <w:jc w:val="both"/>
        <w:rPr>
          <w:rFonts w:ascii="Calibri" w:eastAsia="Calibri" w:hAnsi="Calibri" w:cs="Calibri"/>
        </w:rPr>
      </w:pPr>
      <w:r w:rsidRPr="008E08B9">
        <w:rPr>
          <w:rFonts w:ascii="Calibri" w:eastAsia="Calibri" w:hAnsi="Calibri" w:cs="Calibri"/>
        </w:rPr>
        <w:t>How do we ensure common geometry and other key data standards for efficient data sharing and integration into different analytical tools.</w:t>
      </w:r>
    </w:p>
    <w:p w14:paraId="6237E98E" w14:textId="77777777" w:rsidR="00375FBE" w:rsidRPr="008E08B9" w:rsidRDefault="008E08B9" w:rsidP="003D3C71">
      <w:pPr>
        <w:numPr>
          <w:ilvl w:val="0"/>
          <w:numId w:val="21"/>
        </w:numPr>
        <w:jc w:val="both"/>
        <w:rPr>
          <w:rFonts w:ascii="Calibri" w:eastAsia="Calibri" w:hAnsi="Calibri" w:cs="Calibri"/>
        </w:rPr>
      </w:pPr>
      <w:r w:rsidRPr="008E08B9">
        <w:rPr>
          <w:rFonts w:ascii="Calibri" w:eastAsia="Calibri" w:hAnsi="Calibri" w:cs="Calibri"/>
        </w:rPr>
        <w:t>How to ensure there is one master version which everyone uses, how is that maintained/updated?</w:t>
      </w:r>
    </w:p>
    <w:p w14:paraId="6721F689" w14:textId="77777777" w:rsidR="008E08B9" w:rsidRDefault="008E08B9" w:rsidP="003D3C71">
      <w:pPr>
        <w:numPr>
          <w:ilvl w:val="0"/>
          <w:numId w:val="21"/>
        </w:numPr>
        <w:jc w:val="both"/>
        <w:rPr>
          <w:rFonts w:ascii="Calibri" w:eastAsia="Calibri" w:hAnsi="Calibri" w:cs="Calibri"/>
        </w:rPr>
      </w:pPr>
      <w:r w:rsidRPr="008E08B9">
        <w:rPr>
          <w:rFonts w:ascii="Calibri" w:eastAsia="Calibri" w:hAnsi="Calibri" w:cs="Calibri"/>
        </w:rPr>
        <w:t>Are there output data sets created by JRC/EEA others that are not officially published? How to deal with / efficiently share these?</w:t>
      </w:r>
    </w:p>
    <w:p w14:paraId="1A4A80B6" w14:textId="77777777" w:rsidR="008E08B9" w:rsidRDefault="008E08B9" w:rsidP="008E08B9">
      <w:pPr>
        <w:jc w:val="both"/>
        <w:rPr>
          <w:rFonts w:ascii="Calibri" w:eastAsia="Calibri" w:hAnsi="Calibri" w:cs="Calibri"/>
        </w:rPr>
      </w:pPr>
    </w:p>
    <w:p w14:paraId="44BE44F9" w14:textId="065EA6C5" w:rsidR="008E08B9" w:rsidRDefault="008E08B9" w:rsidP="008E08B9">
      <w:pPr>
        <w:jc w:val="both"/>
        <w:rPr>
          <w:rFonts w:ascii="Calibri" w:eastAsia="Calibri" w:hAnsi="Calibri" w:cs="Calibri"/>
        </w:rPr>
      </w:pPr>
      <w:r>
        <w:rPr>
          <w:rFonts w:ascii="Calibri" w:eastAsia="Calibri" w:hAnsi="Calibri" w:cs="Calibri"/>
        </w:rPr>
        <w:lastRenderedPageBreak/>
        <w:t xml:space="preserve">We should look into </w:t>
      </w:r>
      <w:r w:rsidR="00FB516F">
        <w:rPr>
          <w:rFonts w:ascii="Calibri" w:eastAsia="Calibri" w:hAnsi="Calibri" w:cs="Calibri"/>
        </w:rPr>
        <w:t xml:space="preserve">the </w:t>
      </w:r>
      <w:r>
        <w:rPr>
          <w:rFonts w:ascii="Calibri" w:eastAsia="Calibri" w:hAnsi="Calibri" w:cs="Calibri"/>
        </w:rPr>
        <w:t xml:space="preserve">set-up of EEA IDP </w:t>
      </w:r>
      <w:r w:rsidR="00FB516F">
        <w:rPr>
          <w:rFonts w:ascii="Calibri" w:eastAsia="Calibri" w:hAnsi="Calibri" w:cs="Calibri"/>
        </w:rPr>
        <w:t xml:space="preserve">project </w:t>
      </w:r>
      <w:r>
        <w:rPr>
          <w:rFonts w:ascii="Calibri" w:eastAsia="Calibri" w:hAnsi="Calibri" w:cs="Calibri"/>
        </w:rPr>
        <w:t>once more to identify</w:t>
      </w:r>
      <w:r w:rsidRPr="008E08B9">
        <w:rPr>
          <w:rFonts w:ascii="Calibri" w:eastAsia="Calibri" w:hAnsi="Calibri" w:cs="Calibri"/>
        </w:rPr>
        <w:t xml:space="preserve"> key issues for creating and maintaining a common pool of data to be used by various partners</w:t>
      </w:r>
      <w:r w:rsidR="00D32E3F">
        <w:rPr>
          <w:rFonts w:ascii="Calibri" w:eastAsia="Calibri" w:hAnsi="Calibri" w:cs="Calibri"/>
        </w:rPr>
        <w:t>. However, w</w:t>
      </w:r>
      <w:r>
        <w:rPr>
          <w:rFonts w:ascii="Calibri" w:eastAsia="Calibri" w:hAnsi="Calibri" w:cs="Calibri"/>
        </w:rPr>
        <w:t xml:space="preserve">e </w:t>
      </w:r>
      <w:r w:rsidR="00D32E3F">
        <w:rPr>
          <w:rFonts w:ascii="Calibri" w:eastAsia="Calibri" w:hAnsi="Calibri" w:cs="Calibri"/>
        </w:rPr>
        <w:t xml:space="preserve">need to be </w:t>
      </w:r>
      <w:r>
        <w:rPr>
          <w:rFonts w:ascii="Calibri" w:eastAsia="Calibri" w:hAnsi="Calibri" w:cs="Calibri"/>
        </w:rPr>
        <w:t xml:space="preserve">aware that </w:t>
      </w:r>
      <w:r w:rsidRPr="008E08B9">
        <w:rPr>
          <w:rFonts w:ascii="Calibri" w:eastAsia="Calibri" w:hAnsi="Calibri" w:cs="Calibri"/>
        </w:rPr>
        <w:t xml:space="preserve">the </w:t>
      </w:r>
      <w:r w:rsidR="00FB516F">
        <w:rPr>
          <w:rFonts w:ascii="Calibri" w:eastAsia="Calibri" w:hAnsi="Calibri" w:cs="Calibri"/>
        </w:rPr>
        <w:t xml:space="preserve">tools combined under the </w:t>
      </w:r>
      <w:r w:rsidRPr="008E08B9">
        <w:rPr>
          <w:rFonts w:ascii="Calibri" w:eastAsia="Calibri" w:hAnsi="Calibri" w:cs="Calibri"/>
        </w:rPr>
        <w:t>EEA IDP</w:t>
      </w:r>
      <w:r w:rsidR="00FB516F">
        <w:rPr>
          <w:rFonts w:ascii="Calibri" w:eastAsia="Calibri" w:hAnsi="Calibri" w:cs="Calibri"/>
        </w:rPr>
        <w:t xml:space="preserve"> project are</w:t>
      </w:r>
      <w:r w:rsidRPr="008E08B9">
        <w:rPr>
          <w:rFonts w:ascii="Calibri" w:eastAsia="Calibri" w:hAnsi="Calibri" w:cs="Calibri"/>
        </w:rPr>
        <w:t xml:space="preserve"> </w:t>
      </w:r>
      <w:r w:rsidR="00FB516F">
        <w:rPr>
          <w:rFonts w:ascii="Calibri" w:eastAsia="Calibri" w:hAnsi="Calibri" w:cs="Calibri"/>
        </w:rPr>
        <w:t>currently focused on use within</w:t>
      </w:r>
      <w:r w:rsidRPr="008E08B9">
        <w:rPr>
          <w:rFonts w:ascii="Calibri" w:eastAsia="Calibri" w:hAnsi="Calibri" w:cs="Calibri"/>
        </w:rPr>
        <w:t xml:space="preserve"> the ‘EEA family’ – hen</w:t>
      </w:r>
      <w:r w:rsidR="00FB516F">
        <w:rPr>
          <w:rFonts w:ascii="Calibri" w:eastAsia="Calibri" w:hAnsi="Calibri" w:cs="Calibri"/>
        </w:rPr>
        <w:t>ce opening them</w:t>
      </w:r>
      <w:r w:rsidRPr="008E08B9">
        <w:rPr>
          <w:rFonts w:ascii="Calibri" w:eastAsia="Calibri" w:hAnsi="Calibri" w:cs="Calibri"/>
        </w:rPr>
        <w:t xml:space="preserve"> up to INCA partners may be difficult; or at least require substantial investment</w:t>
      </w:r>
      <w:r>
        <w:rPr>
          <w:rFonts w:ascii="Calibri" w:eastAsia="Calibri" w:hAnsi="Calibri" w:cs="Calibri"/>
        </w:rPr>
        <w:t>!</w:t>
      </w:r>
    </w:p>
    <w:p w14:paraId="0F00D61F" w14:textId="248DAD3E" w:rsidR="008E08B9" w:rsidRDefault="008E08B9" w:rsidP="008E08B9">
      <w:pPr>
        <w:jc w:val="both"/>
        <w:rPr>
          <w:rFonts w:ascii="Calibri" w:eastAsia="Calibri" w:hAnsi="Calibri" w:cs="Calibri"/>
        </w:rPr>
      </w:pPr>
    </w:p>
    <w:p w14:paraId="6A3BEDA0" w14:textId="0C8F45A4" w:rsidR="008E08B9" w:rsidRDefault="008E08B9" w:rsidP="008E08B9">
      <w:pPr>
        <w:jc w:val="both"/>
        <w:rPr>
          <w:rFonts w:ascii="Calibri" w:eastAsia="Calibri" w:hAnsi="Calibri" w:cs="Calibri"/>
        </w:rPr>
      </w:pPr>
      <w:r>
        <w:rPr>
          <w:rFonts w:ascii="Calibri" w:eastAsia="Calibri" w:hAnsi="Calibri" w:cs="Calibri"/>
        </w:rPr>
        <w:t>Some final points to take account of:</w:t>
      </w:r>
    </w:p>
    <w:p w14:paraId="6F6F67B6" w14:textId="77777777" w:rsidR="00FB516F" w:rsidRDefault="00FB516F" w:rsidP="008E08B9">
      <w:pPr>
        <w:jc w:val="both"/>
        <w:rPr>
          <w:rFonts w:ascii="Calibri" w:eastAsia="Calibri" w:hAnsi="Calibri" w:cs="Calibri"/>
        </w:rPr>
      </w:pPr>
    </w:p>
    <w:p w14:paraId="5B470A3E" w14:textId="0361FB6D" w:rsidR="00375FBE" w:rsidRPr="008E08B9" w:rsidRDefault="008E08B9" w:rsidP="00FB516F">
      <w:pPr>
        <w:numPr>
          <w:ilvl w:val="0"/>
          <w:numId w:val="19"/>
        </w:numPr>
        <w:spacing w:after="240"/>
        <w:ind w:left="714" w:hanging="357"/>
        <w:jc w:val="both"/>
        <w:rPr>
          <w:rFonts w:ascii="Calibri" w:eastAsia="Calibri" w:hAnsi="Calibri" w:cs="Calibri"/>
        </w:rPr>
      </w:pPr>
      <w:r w:rsidRPr="008E08B9">
        <w:rPr>
          <w:rFonts w:ascii="Calibri" w:eastAsia="Calibri" w:hAnsi="Calibri" w:cs="Calibri"/>
        </w:rPr>
        <w:t xml:space="preserve">Consider link to review of EU Env. data centres </w:t>
      </w:r>
      <w:r w:rsidR="00FB516F">
        <w:rPr>
          <w:rFonts w:ascii="Calibri" w:eastAsia="Calibri" w:hAnsi="Calibri" w:cs="Calibri"/>
        </w:rPr>
        <w:t xml:space="preserve">(EDCs) </w:t>
      </w:r>
      <w:r w:rsidRPr="008E08B9">
        <w:rPr>
          <w:rFonts w:ascii="Calibri" w:eastAsia="Calibri" w:hAnsi="Calibri" w:cs="Calibri"/>
        </w:rPr>
        <w:t>– KIP INCA is a ‘use case’ and some of the INCA needs may be resolved via agreements achieved in the EDC review process</w:t>
      </w:r>
    </w:p>
    <w:p w14:paraId="4EC08E4B" w14:textId="60B75444" w:rsidR="00375FBE" w:rsidRDefault="008E08B9" w:rsidP="00FB516F">
      <w:pPr>
        <w:numPr>
          <w:ilvl w:val="0"/>
          <w:numId w:val="19"/>
        </w:numPr>
        <w:spacing w:after="240"/>
        <w:ind w:left="714" w:hanging="357"/>
        <w:jc w:val="both"/>
        <w:rPr>
          <w:rFonts w:ascii="Calibri" w:eastAsia="Calibri" w:hAnsi="Calibri" w:cs="Calibri"/>
        </w:rPr>
      </w:pPr>
      <w:r w:rsidRPr="008E08B9">
        <w:rPr>
          <w:rFonts w:ascii="Calibri" w:eastAsia="Calibri" w:hAnsi="Calibri" w:cs="Calibri"/>
        </w:rPr>
        <w:t xml:space="preserve">An ‘EEA IDP like’ system may not be </w:t>
      </w:r>
      <w:r w:rsidR="00FB516F">
        <w:rPr>
          <w:rFonts w:ascii="Calibri" w:eastAsia="Calibri" w:hAnsi="Calibri" w:cs="Calibri"/>
        </w:rPr>
        <w:t xml:space="preserve">absolutely </w:t>
      </w:r>
      <w:r w:rsidRPr="008E08B9">
        <w:rPr>
          <w:rFonts w:ascii="Calibri" w:eastAsia="Calibri" w:hAnsi="Calibri" w:cs="Calibri"/>
        </w:rPr>
        <w:t>required for access to, or sharing of, existing official data that all partners push out via EDCs</w:t>
      </w:r>
    </w:p>
    <w:p w14:paraId="74289ECC" w14:textId="339F13E5" w:rsidR="00FB516F" w:rsidRPr="008E08B9" w:rsidRDefault="00FB516F" w:rsidP="00FB516F">
      <w:pPr>
        <w:numPr>
          <w:ilvl w:val="0"/>
          <w:numId w:val="19"/>
        </w:numPr>
        <w:spacing w:after="240"/>
        <w:ind w:left="714" w:hanging="357"/>
        <w:jc w:val="both"/>
        <w:rPr>
          <w:rFonts w:ascii="Calibri" w:eastAsia="Calibri" w:hAnsi="Calibri" w:cs="Calibri"/>
        </w:rPr>
      </w:pPr>
      <w:r>
        <w:rPr>
          <w:rFonts w:ascii="Calibri" w:eastAsia="Calibri" w:hAnsi="Calibri" w:cs="Calibri"/>
        </w:rPr>
        <w:t>However, establishing a shared data platform based on the tools and principles developed in the EEA IDP project may still yield substantial efficiency gains and ensure that we use the same version of input data sets used across different INCA components</w:t>
      </w:r>
    </w:p>
    <w:p w14:paraId="4C1FADE9" w14:textId="734E66CE" w:rsidR="00375FBE" w:rsidRDefault="00FB516F" w:rsidP="00FB516F">
      <w:pPr>
        <w:numPr>
          <w:ilvl w:val="0"/>
          <w:numId w:val="19"/>
        </w:numPr>
        <w:spacing w:after="240"/>
        <w:ind w:left="714" w:hanging="357"/>
        <w:jc w:val="both"/>
        <w:rPr>
          <w:rFonts w:ascii="Calibri" w:eastAsia="Calibri" w:hAnsi="Calibri" w:cs="Calibri"/>
        </w:rPr>
      </w:pPr>
      <w:r>
        <w:rPr>
          <w:rFonts w:ascii="Calibri" w:eastAsia="Calibri" w:hAnsi="Calibri" w:cs="Calibri"/>
        </w:rPr>
        <w:t>We</w:t>
      </w:r>
      <w:r w:rsidR="008E08B9" w:rsidRPr="008E08B9">
        <w:rPr>
          <w:rFonts w:ascii="Calibri" w:eastAsia="Calibri" w:hAnsi="Calibri" w:cs="Calibri"/>
        </w:rPr>
        <w:t xml:space="preserve"> </w:t>
      </w:r>
      <w:r w:rsidR="00D02190">
        <w:rPr>
          <w:rFonts w:ascii="Calibri" w:eastAsia="Calibri" w:hAnsi="Calibri" w:cs="Calibri"/>
        </w:rPr>
        <w:t>need</w:t>
      </w:r>
      <w:r>
        <w:rPr>
          <w:rFonts w:ascii="Calibri" w:eastAsia="Calibri" w:hAnsi="Calibri" w:cs="Calibri"/>
        </w:rPr>
        <w:t xml:space="preserve"> to establish</w:t>
      </w:r>
      <w:r w:rsidR="008E08B9" w:rsidRPr="008E08B9">
        <w:rPr>
          <w:rFonts w:ascii="Calibri" w:eastAsia="Calibri" w:hAnsi="Calibri" w:cs="Calibri"/>
        </w:rPr>
        <w:t xml:space="preserve"> a system/approach that ensures that NCA reference data created via or for KIP INCA are properly maintained, version controlled, and accessible via a ‘one-stop’ system</w:t>
      </w:r>
    </w:p>
    <w:p w14:paraId="21CAE9BE" w14:textId="68B1722D" w:rsidR="00FB516F" w:rsidRDefault="00FB516F" w:rsidP="00FB516F">
      <w:pPr>
        <w:numPr>
          <w:ilvl w:val="0"/>
          <w:numId w:val="19"/>
        </w:numPr>
        <w:spacing w:after="240"/>
        <w:ind w:left="714" w:hanging="357"/>
        <w:jc w:val="both"/>
        <w:rPr>
          <w:rFonts w:ascii="Calibri" w:eastAsia="Calibri" w:hAnsi="Calibri" w:cs="Calibri"/>
        </w:rPr>
      </w:pPr>
      <w:r>
        <w:rPr>
          <w:rFonts w:ascii="Calibri" w:eastAsia="Calibri" w:hAnsi="Calibri" w:cs="Calibri"/>
        </w:rPr>
        <w:t>‘Governance ‘ ?</w:t>
      </w:r>
    </w:p>
    <w:p w14:paraId="7A7627A6" w14:textId="12FACC9E" w:rsidR="00FB516F" w:rsidRPr="008E08B9" w:rsidRDefault="00FB516F" w:rsidP="00FB516F">
      <w:pPr>
        <w:numPr>
          <w:ilvl w:val="0"/>
          <w:numId w:val="19"/>
        </w:numPr>
        <w:spacing w:after="240"/>
        <w:ind w:left="714" w:hanging="357"/>
        <w:jc w:val="both"/>
        <w:rPr>
          <w:rFonts w:ascii="Calibri" w:eastAsia="Calibri" w:hAnsi="Calibri" w:cs="Calibri"/>
        </w:rPr>
      </w:pPr>
      <w:r>
        <w:rPr>
          <w:rFonts w:ascii="Calibri" w:eastAsia="Calibri" w:hAnsi="Calibri" w:cs="Calibri"/>
        </w:rPr>
        <w:t>Resources ?</w:t>
      </w:r>
    </w:p>
    <w:p w14:paraId="75D9696C" w14:textId="77777777" w:rsidR="008E08B9" w:rsidRPr="008E08B9" w:rsidRDefault="008E08B9" w:rsidP="008E08B9">
      <w:pPr>
        <w:jc w:val="both"/>
        <w:rPr>
          <w:rFonts w:ascii="Calibri" w:eastAsia="Calibri" w:hAnsi="Calibri" w:cs="Calibri"/>
        </w:rPr>
      </w:pPr>
    </w:p>
    <w:p w14:paraId="59E01847" w14:textId="77777777" w:rsidR="008E08B9" w:rsidRPr="008E08B9" w:rsidRDefault="008E08B9" w:rsidP="008E08B9">
      <w:pPr>
        <w:jc w:val="both"/>
        <w:rPr>
          <w:rFonts w:ascii="Calibri" w:eastAsia="Calibri" w:hAnsi="Calibri" w:cs="Calibri"/>
        </w:rPr>
      </w:pPr>
    </w:p>
    <w:p w14:paraId="7809B5A3" w14:textId="22AC6B51" w:rsidR="008E08B9" w:rsidRDefault="008E08B9" w:rsidP="000F72AD">
      <w:pPr>
        <w:jc w:val="both"/>
        <w:rPr>
          <w:rFonts w:ascii="Calibri" w:eastAsia="Calibri" w:hAnsi="Calibri" w:cs="Calibri"/>
          <w:b/>
        </w:rPr>
      </w:pPr>
    </w:p>
    <w:p w14:paraId="70C75C35" w14:textId="77777777" w:rsidR="000F72AD" w:rsidRDefault="000F72AD" w:rsidP="00171742">
      <w:pPr>
        <w:jc w:val="both"/>
        <w:rPr>
          <w:rFonts w:ascii="Calibri" w:eastAsia="Calibri" w:hAnsi="Calibri" w:cs="Calibri"/>
        </w:rPr>
      </w:pPr>
    </w:p>
    <w:p w14:paraId="51EF546D" w14:textId="77777777" w:rsidR="008E08B9" w:rsidRDefault="008E08B9">
      <w:pPr>
        <w:rPr>
          <w:rFonts w:ascii="Calibri" w:eastAsia="Calibri" w:hAnsi="Calibri" w:cs="Calibri"/>
          <w:b/>
        </w:rPr>
      </w:pPr>
      <w:r>
        <w:rPr>
          <w:rFonts w:ascii="Calibri" w:eastAsia="Calibri" w:hAnsi="Calibri" w:cs="Calibri"/>
          <w:b/>
        </w:rPr>
        <w:br w:type="page"/>
      </w:r>
    </w:p>
    <w:p w14:paraId="612B4A43" w14:textId="7C6536AC" w:rsidR="00120477" w:rsidRPr="000F72AD" w:rsidRDefault="000F72AD" w:rsidP="00171742">
      <w:pPr>
        <w:jc w:val="both"/>
        <w:rPr>
          <w:rFonts w:ascii="Calibri" w:eastAsia="Calibri" w:hAnsi="Calibri" w:cs="Calibri"/>
          <w:b/>
        </w:rPr>
      </w:pPr>
      <w:r w:rsidRPr="000F72AD">
        <w:rPr>
          <w:rFonts w:ascii="Calibri" w:eastAsia="Calibri" w:hAnsi="Calibri" w:cs="Calibri"/>
          <w:b/>
        </w:rPr>
        <w:lastRenderedPageBreak/>
        <w:t>2. State of play at key KIP INCA partners</w:t>
      </w:r>
    </w:p>
    <w:p w14:paraId="55804141" w14:textId="3A04FBD4" w:rsidR="000F72AD" w:rsidRPr="000F72AD" w:rsidRDefault="000F72AD" w:rsidP="00171742">
      <w:pPr>
        <w:jc w:val="both"/>
        <w:rPr>
          <w:rFonts w:ascii="Calibri" w:eastAsia="Calibri" w:hAnsi="Calibri" w:cs="Calibri"/>
          <w:u w:val="single"/>
        </w:rPr>
      </w:pPr>
    </w:p>
    <w:p w14:paraId="6C3DBF51" w14:textId="13B6958A" w:rsidR="000F72AD" w:rsidRPr="000F72AD" w:rsidRDefault="000F72AD" w:rsidP="00171742">
      <w:pPr>
        <w:jc w:val="both"/>
        <w:rPr>
          <w:rFonts w:ascii="Calibri" w:eastAsia="Calibri" w:hAnsi="Calibri" w:cs="Calibri"/>
          <w:u w:val="single"/>
        </w:rPr>
      </w:pPr>
      <w:r w:rsidRPr="000F72AD">
        <w:rPr>
          <w:rFonts w:ascii="Calibri" w:eastAsia="Calibri" w:hAnsi="Calibri" w:cs="Calibri"/>
          <w:u w:val="single"/>
        </w:rPr>
        <w:t>EEA:</w:t>
      </w:r>
    </w:p>
    <w:p w14:paraId="1E87B47B" w14:textId="33F89600" w:rsidR="00F92A27" w:rsidRDefault="0096083B" w:rsidP="00171742">
      <w:pPr>
        <w:jc w:val="both"/>
        <w:rPr>
          <w:rFonts w:ascii="Calibri" w:eastAsia="Calibri" w:hAnsi="Calibri" w:cs="Calibri"/>
        </w:rPr>
      </w:pPr>
      <w:r w:rsidRPr="00171742">
        <w:rPr>
          <w:rFonts w:ascii="Calibri" w:eastAsia="Calibri" w:hAnsi="Calibri" w:cs="Calibri"/>
        </w:rPr>
        <w:t xml:space="preserve">EEA’s spatial data infrastructure (SDI) </w:t>
      </w:r>
      <w:r>
        <w:rPr>
          <w:rFonts w:ascii="Calibri" w:eastAsia="Calibri" w:hAnsi="Calibri" w:cs="Calibri"/>
        </w:rPr>
        <w:t xml:space="preserve">is </w:t>
      </w:r>
      <w:r w:rsidRPr="00171742">
        <w:rPr>
          <w:rFonts w:ascii="Calibri" w:eastAsia="Calibri" w:hAnsi="Calibri" w:cs="Calibri"/>
        </w:rPr>
        <w:t xml:space="preserve">already </w:t>
      </w:r>
      <w:r>
        <w:rPr>
          <w:rFonts w:ascii="Calibri" w:eastAsia="Calibri" w:hAnsi="Calibri" w:cs="Calibri"/>
        </w:rPr>
        <w:t>in place</w:t>
      </w:r>
      <w:r w:rsidR="00EE1F0F">
        <w:rPr>
          <w:rFonts w:ascii="Calibri" w:eastAsia="Calibri" w:hAnsi="Calibri" w:cs="Calibri"/>
        </w:rPr>
        <w:t>,</w:t>
      </w:r>
      <w:r>
        <w:rPr>
          <w:rFonts w:ascii="Calibri" w:eastAsia="Calibri" w:hAnsi="Calibri" w:cs="Calibri"/>
        </w:rPr>
        <w:t xml:space="preserve"> INSPIRE compliant and stor</w:t>
      </w:r>
      <w:r w:rsidR="00EE1F0F">
        <w:rPr>
          <w:rFonts w:ascii="Calibri" w:eastAsia="Calibri" w:hAnsi="Calibri" w:cs="Calibri"/>
        </w:rPr>
        <w:t>es</w:t>
      </w:r>
      <w:r>
        <w:rPr>
          <w:rFonts w:ascii="Calibri" w:eastAsia="Calibri" w:hAnsi="Calibri" w:cs="Calibri"/>
        </w:rPr>
        <w:t xml:space="preserve"> large amount of European datasets</w:t>
      </w:r>
      <w:r w:rsidR="00EE1F0F">
        <w:rPr>
          <w:rFonts w:ascii="Calibri" w:eastAsia="Calibri" w:hAnsi="Calibri" w:cs="Calibri"/>
        </w:rPr>
        <w:t xml:space="preserve"> and has been tested for spatial analysis of the EEA and its European Topic Centres.</w:t>
      </w:r>
      <w:r>
        <w:rPr>
          <w:rFonts w:ascii="Calibri" w:eastAsia="Calibri" w:hAnsi="Calibri" w:cs="Calibri"/>
        </w:rPr>
        <w:t xml:space="preserve"> </w:t>
      </w:r>
      <w:r w:rsidR="00EE1F0F">
        <w:rPr>
          <w:rFonts w:ascii="Calibri" w:eastAsia="Calibri" w:hAnsi="Calibri" w:cs="Calibri"/>
        </w:rPr>
        <w:t xml:space="preserve">Given that </w:t>
      </w:r>
      <w:r>
        <w:rPr>
          <w:rFonts w:ascii="Calibri" w:eastAsia="Calibri" w:hAnsi="Calibri" w:cs="Calibri"/>
        </w:rPr>
        <w:t xml:space="preserve">it is </w:t>
      </w:r>
      <w:r w:rsidR="00EE1F0F">
        <w:rPr>
          <w:rFonts w:ascii="Calibri" w:eastAsia="Calibri" w:hAnsi="Calibri" w:cs="Calibri"/>
        </w:rPr>
        <w:t xml:space="preserve">a very suitable platform for </w:t>
      </w:r>
      <w:r>
        <w:rPr>
          <w:rFonts w:ascii="Calibri" w:eastAsia="Calibri" w:hAnsi="Calibri" w:cs="Calibri"/>
        </w:rPr>
        <w:t>support</w:t>
      </w:r>
      <w:r w:rsidR="00EE1F0F">
        <w:rPr>
          <w:rFonts w:ascii="Calibri" w:eastAsia="Calibri" w:hAnsi="Calibri" w:cs="Calibri"/>
        </w:rPr>
        <w:t>ing</w:t>
      </w:r>
      <w:r>
        <w:rPr>
          <w:rFonts w:ascii="Calibri" w:eastAsia="Calibri" w:hAnsi="Calibri" w:cs="Calibri"/>
        </w:rPr>
        <w:t xml:space="preserve"> all KIP INCA partners in work</w:t>
      </w:r>
      <w:r w:rsidR="00EE1F0F">
        <w:rPr>
          <w:rFonts w:ascii="Calibri" w:eastAsia="Calibri" w:hAnsi="Calibri" w:cs="Calibri"/>
        </w:rPr>
        <w:t xml:space="preserve"> relating to spatial data integration and spatial analysis</w:t>
      </w:r>
      <w:r>
        <w:rPr>
          <w:rFonts w:ascii="Calibri" w:eastAsia="Calibri" w:hAnsi="Calibri" w:cs="Calibri"/>
        </w:rPr>
        <w:t xml:space="preserve">. </w:t>
      </w:r>
      <w:r w:rsidR="00820DEE">
        <w:rPr>
          <w:rFonts w:ascii="Calibri" w:eastAsia="Calibri" w:hAnsi="Calibri" w:cs="Calibri"/>
        </w:rPr>
        <w:t>The catalogue interface of EEA’s SDI (</w:t>
      </w:r>
      <w:hyperlink r:id="rId8">
        <w:r w:rsidR="00820DEE">
          <w:rPr>
            <w:rFonts w:ascii="Calibri" w:eastAsia="Calibri" w:hAnsi="Calibri" w:cs="Calibri"/>
            <w:color w:val="1155CC"/>
            <w:u w:val="single"/>
          </w:rPr>
          <w:t>http://sdi.eea.europa.eu/</w:t>
        </w:r>
      </w:hyperlink>
      <w:r w:rsidR="00820DEE">
        <w:rPr>
          <w:rFonts w:ascii="Calibri" w:eastAsia="Calibri" w:hAnsi="Calibri" w:cs="Calibri"/>
        </w:rPr>
        <w:t xml:space="preserve"> ) facilitates fast and effective data sharing. </w:t>
      </w:r>
      <w:r>
        <w:rPr>
          <w:rFonts w:ascii="Calibri" w:eastAsia="Calibri" w:hAnsi="Calibri" w:cs="Calibri"/>
        </w:rPr>
        <w:t xml:space="preserve">Other </w:t>
      </w:r>
      <w:r w:rsidR="00D62C20">
        <w:rPr>
          <w:rFonts w:ascii="Calibri" w:eastAsia="Calibri" w:hAnsi="Calibri" w:cs="Calibri"/>
        </w:rPr>
        <w:t xml:space="preserve">elements </w:t>
      </w:r>
      <w:r>
        <w:rPr>
          <w:rFonts w:ascii="Calibri" w:eastAsia="Calibri" w:hAnsi="Calibri" w:cs="Calibri"/>
        </w:rPr>
        <w:t xml:space="preserve">of a spatial data architecture </w:t>
      </w:r>
      <w:r w:rsidR="00D62C20">
        <w:rPr>
          <w:rFonts w:ascii="Calibri" w:eastAsia="Calibri" w:hAnsi="Calibri" w:cs="Calibri"/>
        </w:rPr>
        <w:t xml:space="preserve">are also in place </w:t>
      </w:r>
      <w:r w:rsidR="00EE1F0F">
        <w:rPr>
          <w:rFonts w:ascii="Calibri" w:eastAsia="Calibri" w:hAnsi="Calibri" w:cs="Calibri"/>
        </w:rPr>
        <w:t xml:space="preserve">in </w:t>
      </w:r>
      <w:r w:rsidR="00D62C20">
        <w:rPr>
          <w:rFonts w:ascii="Calibri" w:eastAsia="Calibri" w:hAnsi="Calibri" w:cs="Calibri"/>
        </w:rPr>
        <w:t xml:space="preserve">EEA’s </w:t>
      </w:r>
      <w:r w:rsidR="00B24C87">
        <w:rPr>
          <w:rFonts w:ascii="Calibri" w:eastAsia="Calibri" w:hAnsi="Calibri" w:cs="Calibri"/>
        </w:rPr>
        <w:t xml:space="preserve">system </w:t>
      </w:r>
      <w:r w:rsidR="00D62C20">
        <w:rPr>
          <w:rFonts w:ascii="Calibri" w:eastAsia="Calibri" w:hAnsi="Calibri" w:cs="Calibri"/>
        </w:rPr>
        <w:t>architecture</w:t>
      </w:r>
      <w:r w:rsidR="00EE1F0F">
        <w:rPr>
          <w:rFonts w:ascii="Calibri" w:eastAsia="Calibri" w:hAnsi="Calibri" w:cs="Calibri"/>
        </w:rPr>
        <w:t xml:space="preserve"> while additional tools for harvesting and processing data sets have also been developed at the JRC.</w:t>
      </w:r>
      <w:r w:rsidR="00DA0DE2">
        <w:rPr>
          <w:rFonts w:ascii="Calibri" w:eastAsia="Calibri" w:hAnsi="Calibri" w:cs="Calibri"/>
        </w:rPr>
        <w:t xml:space="preserve"> </w:t>
      </w:r>
      <w:r w:rsidR="00B24C87">
        <w:rPr>
          <w:rFonts w:ascii="Calibri" w:eastAsia="Calibri" w:hAnsi="Calibri" w:cs="Calibri"/>
        </w:rPr>
        <w:t>It is however</w:t>
      </w:r>
      <w:r w:rsidR="004779D1">
        <w:rPr>
          <w:rFonts w:ascii="Calibri" w:eastAsia="Calibri" w:hAnsi="Calibri" w:cs="Calibri"/>
        </w:rPr>
        <w:t xml:space="preserve"> expect</w:t>
      </w:r>
      <w:r w:rsidR="00EE1F0F">
        <w:rPr>
          <w:rFonts w:ascii="Calibri" w:eastAsia="Calibri" w:hAnsi="Calibri" w:cs="Calibri"/>
        </w:rPr>
        <w:t>ed</w:t>
      </w:r>
      <w:r w:rsidR="00B24C87">
        <w:rPr>
          <w:rFonts w:ascii="Calibri" w:eastAsia="Calibri" w:hAnsi="Calibri" w:cs="Calibri"/>
        </w:rPr>
        <w:t xml:space="preserve"> that certain </w:t>
      </w:r>
      <w:r w:rsidR="004779D1">
        <w:rPr>
          <w:rFonts w:ascii="Calibri" w:eastAsia="Calibri" w:hAnsi="Calibri" w:cs="Calibri"/>
        </w:rPr>
        <w:t xml:space="preserve">data </w:t>
      </w:r>
      <w:r w:rsidR="00B24C87">
        <w:rPr>
          <w:rFonts w:ascii="Calibri" w:eastAsia="Calibri" w:hAnsi="Calibri" w:cs="Calibri"/>
        </w:rPr>
        <w:t xml:space="preserve">analyses are best </w:t>
      </w:r>
      <w:r>
        <w:rPr>
          <w:rFonts w:ascii="Calibri" w:eastAsia="Calibri" w:hAnsi="Calibri" w:cs="Calibri"/>
        </w:rPr>
        <w:t>performed</w:t>
      </w:r>
      <w:r w:rsidR="00B24C87">
        <w:rPr>
          <w:rFonts w:ascii="Calibri" w:eastAsia="Calibri" w:hAnsi="Calibri" w:cs="Calibri"/>
        </w:rPr>
        <w:t xml:space="preserve"> using KIP INCA partners own systems reflecting best practices </w:t>
      </w:r>
      <w:r>
        <w:rPr>
          <w:rFonts w:ascii="Calibri" w:eastAsia="Calibri" w:hAnsi="Calibri" w:cs="Calibri"/>
        </w:rPr>
        <w:t xml:space="preserve">developed for </w:t>
      </w:r>
      <w:r w:rsidR="00B24C87">
        <w:rPr>
          <w:rFonts w:ascii="Calibri" w:eastAsia="Calibri" w:hAnsi="Calibri" w:cs="Calibri"/>
        </w:rPr>
        <w:t xml:space="preserve">their </w:t>
      </w:r>
      <w:r>
        <w:rPr>
          <w:rFonts w:ascii="Calibri" w:eastAsia="Calibri" w:hAnsi="Calibri" w:cs="Calibri"/>
        </w:rPr>
        <w:t xml:space="preserve">specific </w:t>
      </w:r>
      <w:r w:rsidR="00B24C87">
        <w:rPr>
          <w:rFonts w:ascii="Calibri" w:eastAsia="Calibri" w:hAnsi="Calibri" w:cs="Calibri"/>
        </w:rPr>
        <w:t xml:space="preserve">analytical environments. </w:t>
      </w:r>
      <w:r w:rsidR="004779D1">
        <w:rPr>
          <w:rFonts w:ascii="Calibri" w:eastAsia="Calibri" w:hAnsi="Calibri" w:cs="Calibri"/>
        </w:rPr>
        <w:t>T</w:t>
      </w:r>
      <w:r w:rsidR="00B24C87">
        <w:rPr>
          <w:rFonts w:ascii="Calibri" w:eastAsia="Calibri" w:hAnsi="Calibri" w:cs="Calibri"/>
        </w:rPr>
        <w:t>herefore</w:t>
      </w:r>
      <w:r>
        <w:rPr>
          <w:rFonts w:ascii="Calibri" w:eastAsia="Calibri" w:hAnsi="Calibri" w:cs="Calibri"/>
        </w:rPr>
        <w:t>,</w:t>
      </w:r>
      <w:r w:rsidR="00B24C87">
        <w:rPr>
          <w:rFonts w:ascii="Calibri" w:eastAsia="Calibri" w:hAnsi="Calibri" w:cs="Calibri"/>
        </w:rPr>
        <w:t xml:space="preserve"> </w:t>
      </w:r>
      <w:r w:rsidR="00120477">
        <w:rPr>
          <w:rFonts w:ascii="Calibri" w:eastAsia="Calibri" w:hAnsi="Calibri" w:cs="Calibri"/>
        </w:rPr>
        <w:t xml:space="preserve">many </w:t>
      </w:r>
      <w:r w:rsidR="004779D1">
        <w:rPr>
          <w:rFonts w:ascii="Calibri" w:eastAsia="Calibri" w:hAnsi="Calibri" w:cs="Calibri"/>
        </w:rPr>
        <w:t xml:space="preserve">spatial data </w:t>
      </w:r>
      <w:r w:rsidR="00120477">
        <w:rPr>
          <w:rFonts w:ascii="Calibri" w:eastAsia="Calibri" w:hAnsi="Calibri" w:cs="Calibri"/>
        </w:rPr>
        <w:t>analyse</w:t>
      </w:r>
      <w:r w:rsidR="00EE1F0F">
        <w:rPr>
          <w:rFonts w:ascii="Calibri" w:eastAsia="Calibri" w:hAnsi="Calibri" w:cs="Calibri"/>
        </w:rPr>
        <w:t>s</w:t>
      </w:r>
      <w:r w:rsidR="003622F7">
        <w:rPr>
          <w:rFonts w:ascii="Calibri" w:eastAsia="Calibri" w:hAnsi="Calibri" w:cs="Calibri"/>
        </w:rPr>
        <w:t xml:space="preserve"> </w:t>
      </w:r>
      <w:r w:rsidR="00120477">
        <w:rPr>
          <w:rFonts w:ascii="Calibri" w:eastAsia="Calibri" w:hAnsi="Calibri" w:cs="Calibri"/>
        </w:rPr>
        <w:t xml:space="preserve">are likely to be performed </w:t>
      </w:r>
      <w:r w:rsidR="003622F7">
        <w:rPr>
          <w:rFonts w:ascii="Calibri" w:eastAsia="Calibri" w:hAnsi="Calibri" w:cs="Calibri"/>
        </w:rPr>
        <w:t xml:space="preserve">at the KIP INCA partners’ </w:t>
      </w:r>
      <w:r w:rsidR="00120477">
        <w:rPr>
          <w:rFonts w:ascii="Calibri" w:eastAsia="Calibri" w:hAnsi="Calibri" w:cs="Calibri"/>
        </w:rPr>
        <w:t xml:space="preserve">local </w:t>
      </w:r>
      <w:r w:rsidR="003622F7">
        <w:rPr>
          <w:rFonts w:ascii="Calibri" w:eastAsia="Calibri" w:hAnsi="Calibri" w:cs="Calibri"/>
        </w:rPr>
        <w:t>premises</w:t>
      </w:r>
      <w:r w:rsidR="00120477">
        <w:rPr>
          <w:rFonts w:ascii="Calibri" w:eastAsia="Calibri" w:hAnsi="Calibri" w:cs="Calibri"/>
        </w:rPr>
        <w:t>, using already available tools</w:t>
      </w:r>
      <w:r w:rsidR="003622F7">
        <w:rPr>
          <w:rFonts w:ascii="Calibri" w:eastAsia="Calibri" w:hAnsi="Calibri" w:cs="Calibri"/>
        </w:rPr>
        <w:t xml:space="preserve"> while </w:t>
      </w:r>
      <w:r w:rsidR="00F51195">
        <w:rPr>
          <w:rFonts w:ascii="Calibri" w:eastAsia="Calibri" w:hAnsi="Calibri" w:cs="Calibri"/>
        </w:rPr>
        <w:t xml:space="preserve">staying </w:t>
      </w:r>
      <w:r>
        <w:rPr>
          <w:rFonts w:ascii="Calibri" w:eastAsia="Calibri" w:hAnsi="Calibri" w:cs="Calibri"/>
        </w:rPr>
        <w:t xml:space="preserve">connected </w:t>
      </w:r>
      <w:r w:rsidR="003622F7">
        <w:rPr>
          <w:rFonts w:ascii="Calibri" w:eastAsia="Calibri" w:hAnsi="Calibri" w:cs="Calibri"/>
        </w:rPr>
        <w:t>to</w:t>
      </w:r>
      <w:r w:rsidR="00120477">
        <w:rPr>
          <w:rFonts w:ascii="Calibri" w:eastAsia="Calibri" w:hAnsi="Calibri" w:cs="Calibri"/>
        </w:rPr>
        <w:t>, and benefitting from,</w:t>
      </w:r>
      <w:r w:rsidR="003622F7">
        <w:rPr>
          <w:rFonts w:ascii="Calibri" w:eastAsia="Calibri" w:hAnsi="Calibri" w:cs="Calibri"/>
        </w:rPr>
        <w:t xml:space="preserve"> a </w:t>
      </w:r>
      <w:r w:rsidR="00F51195">
        <w:rPr>
          <w:rFonts w:ascii="Calibri" w:eastAsia="Calibri" w:hAnsi="Calibri" w:cs="Calibri"/>
        </w:rPr>
        <w:t xml:space="preserve">common spatial </w:t>
      </w:r>
      <w:r w:rsidR="003622F7">
        <w:rPr>
          <w:rFonts w:ascii="Calibri" w:eastAsia="Calibri" w:hAnsi="Calibri" w:cs="Calibri"/>
        </w:rPr>
        <w:t xml:space="preserve">data infrastructure. </w:t>
      </w:r>
    </w:p>
    <w:p w14:paraId="015D1B42" w14:textId="77777777" w:rsidR="000F72AD" w:rsidRDefault="000F72AD" w:rsidP="000F72AD">
      <w:pPr>
        <w:contextualSpacing/>
        <w:jc w:val="both"/>
        <w:rPr>
          <w:rFonts w:ascii="Calibri" w:eastAsia="Calibri" w:hAnsi="Calibri" w:cs="Calibri"/>
        </w:rPr>
      </w:pPr>
    </w:p>
    <w:p w14:paraId="18F5819B" w14:textId="46212A35" w:rsidR="000F72AD" w:rsidRDefault="000F72AD" w:rsidP="000F72AD">
      <w:pPr>
        <w:contextualSpacing/>
        <w:jc w:val="both"/>
        <w:rPr>
          <w:rFonts w:ascii="Calibri" w:eastAsia="Calibri" w:hAnsi="Calibri" w:cs="Calibri"/>
        </w:rPr>
      </w:pPr>
      <w:r>
        <w:rPr>
          <w:rFonts w:ascii="Calibri" w:eastAsia="Calibri" w:hAnsi="Calibri" w:cs="Calibri"/>
        </w:rPr>
        <w:t xml:space="preserve">EEA runs a project called Integrated Data Platform (IDP) which can guide the development of the INCA shared data architecture. The project supports the integrated analysis and assessment of geospatial data. It ensures populating EEA’s SDI with harmonized, quality controlled and quality assured spatial data, and offers advanced options (semantic inventory and network analysis) for querying and understanding the datasets. The metadata of these datasets can be queried in the SDI metadata catalogue. See more info </w:t>
      </w:r>
      <w:hyperlink r:id="rId9">
        <w:r>
          <w:rPr>
            <w:rFonts w:ascii="Calibri" w:eastAsia="Calibri" w:hAnsi="Calibri" w:cs="Calibri"/>
            <w:color w:val="1155CC"/>
            <w:u w:val="single"/>
          </w:rPr>
          <w:t>here</w:t>
        </w:r>
      </w:hyperlink>
      <w:r>
        <w:rPr>
          <w:rFonts w:ascii="Calibri" w:eastAsia="Calibri" w:hAnsi="Calibri" w:cs="Calibri"/>
        </w:rPr>
        <w:t>. Additionally, the beta version of EEA’s so-called JEDI (Joint Environmental Data Infrastructure) toolset, a web-based system, is now available. This performs spatial data integration and conversion into a tabular format ready for computing statistics</w:t>
      </w:r>
      <w:r w:rsidRPr="00D76AE5">
        <w:rPr>
          <w:rFonts w:ascii="Calibri" w:eastAsia="Calibri" w:hAnsi="Calibri" w:cs="Calibri"/>
        </w:rPr>
        <w:t xml:space="preserve"> </w:t>
      </w:r>
      <w:r>
        <w:rPr>
          <w:rFonts w:ascii="Calibri" w:eastAsia="Calibri" w:hAnsi="Calibri" w:cs="Calibri"/>
        </w:rPr>
        <w:t xml:space="preserve">(using the Tableau software environment).  </w:t>
      </w:r>
    </w:p>
    <w:p w14:paraId="629F3C57" w14:textId="77777777" w:rsidR="000F72AD" w:rsidRDefault="000F72AD" w:rsidP="00171742">
      <w:pPr>
        <w:jc w:val="both"/>
        <w:rPr>
          <w:rFonts w:ascii="Calibri" w:eastAsia="Calibri" w:hAnsi="Calibri" w:cs="Calibri"/>
        </w:rPr>
      </w:pPr>
    </w:p>
    <w:p w14:paraId="572388B5" w14:textId="77777777" w:rsidR="00597DA7" w:rsidRDefault="00597DA7" w:rsidP="00171742">
      <w:pPr>
        <w:jc w:val="both"/>
        <w:rPr>
          <w:rFonts w:ascii="Calibri" w:eastAsia="Calibri" w:hAnsi="Calibri" w:cs="Calibri"/>
        </w:rPr>
      </w:pPr>
    </w:p>
    <w:p w14:paraId="761EFF10" w14:textId="62427129" w:rsidR="00390CA1" w:rsidRPr="00634E34" w:rsidRDefault="000F72AD" w:rsidP="00D024E7">
      <w:pPr>
        <w:jc w:val="both"/>
        <w:rPr>
          <w:u w:val="single"/>
        </w:rPr>
      </w:pPr>
      <w:r w:rsidRPr="00634E34">
        <w:rPr>
          <w:u w:val="single"/>
        </w:rPr>
        <w:t xml:space="preserve">JRC: </w:t>
      </w:r>
    </w:p>
    <w:p w14:paraId="1640DFCB" w14:textId="42543431" w:rsidR="00CD05F2" w:rsidRDefault="00F67522" w:rsidP="000F72AD">
      <w:pPr>
        <w:contextualSpacing/>
        <w:jc w:val="both"/>
        <w:rPr>
          <w:rFonts w:ascii="Calibri" w:eastAsia="Calibri" w:hAnsi="Calibri" w:cs="Calibri"/>
        </w:rPr>
      </w:pPr>
      <w:r>
        <w:rPr>
          <w:rFonts w:ascii="Calibri" w:eastAsia="Calibri" w:hAnsi="Calibri" w:cs="Calibri"/>
        </w:rPr>
        <w:t>JRC has a metadata catalogue (</w:t>
      </w:r>
      <w:hyperlink r:id="rId10">
        <w:r>
          <w:rPr>
            <w:rFonts w:ascii="Calibri" w:eastAsia="Calibri" w:hAnsi="Calibri" w:cs="Calibri"/>
            <w:color w:val="1155CC"/>
            <w:u w:val="single"/>
          </w:rPr>
          <w:t>http://data.jrc.ec.europa.eu/</w:t>
        </w:r>
      </w:hyperlink>
      <w:r>
        <w:rPr>
          <w:rFonts w:ascii="Calibri" w:eastAsia="Calibri" w:hAnsi="Calibri" w:cs="Calibri"/>
        </w:rPr>
        <w:t xml:space="preserve"> ) which describes the available data sets at JRC and provides a link to </w:t>
      </w:r>
      <w:r w:rsidR="00661180">
        <w:rPr>
          <w:rFonts w:ascii="Calibri" w:eastAsia="Calibri" w:hAnsi="Calibri" w:cs="Calibri"/>
        </w:rPr>
        <w:t xml:space="preserve">where access to </w:t>
      </w:r>
      <w:r>
        <w:rPr>
          <w:rFonts w:ascii="Calibri" w:eastAsia="Calibri" w:hAnsi="Calibri" w:cs="Calibri"/>
        </w:rPr>
        <w:t>the data</w:t>
      </w:r>
      <w:r w:rsidR="00661180">
        <w:rPr>
          <w:rFonts w:ascii="Calibri" w:eastAsia="Calibri" w:hAnsi="Calibri" w:cs="Calibri"/>
        </w:rPr>
        <w:t xml:space="preserve"> can be requested</w:t>
      </w:r>
      <w:r>
        <w:rPr>
          <w:rFonts w:ascii="Calibri" w:eastAsia="Calibri" w:hAnsi="Calibri" w:cs="Calibri"/>
        </w:rPr>
        <w:t xml:space="preserve">. See more info </w:t>
      </w:r>
      <w:hyperlink r:id="rId11">
        <w:r>
          <w:rPr>
            <w:rFonts w:ascii="Calibri" w:eastAsia="Calibri" w:hAnsi="Calibri" w:cs="Calibri"/>
            <w:color w:val="1155CC"/>
            <w:u w:val="single"/>
          </w:rPr>
          <w:t>here</w:t>
        </w:r>
      </w:hyperlink>
      <w:r>
        <w:rPr>
          <w:rFonts w:ascii="Calibri" w:eastAsia="Calibri" w:hAnsi="Calibri" w:cs="Calibri"/>
        </w:rPr>
        <w:t>.</w:t>
      </w:r>
      <w:r w:rsidR="00CD05F2">
        <w:rPr>
          <w:rFonts w:ascii="Calibri" w:eastAsia="Calibri" w:hAnsi="Calibri" w:cs="Calibri"/>
        </w:rPr>
        <w:t xml:space="preserve"> The catalogue is </w:t>
      </w:r>
      <w:r w:rsidR="008B21BC">
        <w:rPr>
          <w:rFonts w:ascii="Calibri" w:eastAsia="Calibri" w:hAnsi="Calibri" w:cs="Calibri"/>
        </w:rPr>
        <w:t xml:space="preserve">considered </w:t>
      </w:r>
      <w:r w:rsidR="00CD05F2">
        <w:rPr>
          <w:rFonts w:ascii="Calibri" w:eastAsia="Calibri" w:hAnsi="Calibri" w:cs="Calibri"/>
        </w:rPr>
        <w:t>compatible with the EEA’s as both are compliant with European standards</w:t>
      </w:r>
      <w:r w:rsidR="008B21BC">
        <w:rPr>
          <w:rFonts w:ascii="Calibri" w:eastAsia="Calibri" w:hAnsi="Calibri" w:cs="Calibri"/>
        </w:rPr>
        <w:t xml:space="preserve"> (INSPIRE)</w:t>
      </w:r>
      <w:r w:rsidR="00CD05F2">
        <w:rPr>
          <w:rFonts w:ascii="Calibri" w:eastAsia="Calibri" w:hAnsi="Calibri" w:cs="Calibri"/>
        </w:rPr>
        <w:t>.</w:t>
      </w:r>
      <w:r w:rsidR="0027274A">
        <w:rPr>
          <w:rFonts w:ascii="Calibri" w:eastAsia="Calibri" w:hAnsi="Calibri" w:cs="Calibri"/>
        </w:rPr>
        <w:t xml:space="preserve"> However</w:t>
      </w:r>
      <w:r w:rsidR="008B21BC">
        <w:rPr>
          <w:rFonts w:ascii="Calibri" w:eastAsia="Calibri" w:hAnsi="Calibri" w:cs="Calibri"/>
        </w:rPr>
        <w:t>,</w:t>
      </w:r>
      <w:r w:rsidR="0027274A">
        <w:rPr>
          <w:rFonts w:ascii="Calibri" w:eastAsia="Calibri" w:hAnsi="Calibri" w:cs="Calibri"/>
        </w:rPr>
        <w:t xml:space="preserve"> </w:t>
      </w:r>
      <w:r w:rsidR="008B21BC">
        <w:rPr>
          <w:rFonts w:ascii="Calibri" w:eastAsia="Calibri" w:hAnsi="Calibri" w:cs="Calibri"/>
        </w:rPr>
        <w:t xml:space="preserve">further review and likely investment in </w:t>
      </w:r>
      <w:r w:rsidR="0027274A">
        <w:rPr>
          <w:rFonts w:ascii="Calibri" w:eastAsia="Calibri" w:hAnsi="Calibri" w:cs="Calibri"/>
        </w:rPr>
        <w:t xml:space="preserve">IT developments are still necessary in order to ensure that the two catalogues can </w:t>
      </w:r>
      <w:r w:rsidR="008B21BC">
        <w:rPr>
          <w:rFonts w:ascii="Calibri" w:eastAsia="Calibri" w:hAnsi="Calibri" w:cs="Calibri"/>
        </w:rPr>
        <w:t xml:space="preserve">fully </w:t>
      </w:r>
      <w:r w:rsidR="0027274A">
        <w:rPr>
          <w:rFonts w:ascii="Calibri" w:eastAsia="Calibri" w:hAnsi="Calibri" w:cs="Calibri"/>
        </w:rPr>
        <w:t>communicate. It is to be noted that while JRC’s catalogue stores only the information where to find spatial datasets</w:t>
      </w:r>
      <w:r w:rsidR="008B21BC">
        <w:rPr>
          <w:rFonts w:ascii="Calibri" w:eastAsia="Calibri" w:hAnsi="Calibri" w:cs="Calibri"/>
        </w:rPr>
        <w:t>, the</w:t>
      </w:r>
      <w:r w:rsidR="0027274A">
        <w:rPr>
          <w:rFonts w:ascii="Calibri" w:eastAsia="Calibri" w:hAnsi="Calibri" w:cs="Calibri"/>
        </w:rPr>
        <w:t xml:space="preserve"> EEA’s catalogue is </w:t>
      </w:r>
      <w:r w:rsidR="009E7371">
        <w:rPr>
          <w:rFonts w:ascii="Calibri" w:eastAsia="Calibri" w:hAnsi="Calibri" w:cs="Calibri"/>
        </w:rPr>
        <w:t>built upon</w:t>
      </w:r>
      <w:r w:rsidR="0027274A">
        <w:rPr>
          <w:rFonts w:ascii="Calibri" w:eastAsia="Calibri" w:hAnsi="Calibri" w:cs="Calibri"/>
        </w:rPr>
        <w:t xml:space="preserve"> </w:t>
      </w:r>
      <w:r w:rsidR="003B4EA5">
        <w:rPr>
          <w:rFonts w:ascii="Calibri" w:eastAsia="Calibri" w:hAnsi="Calibri" w:cs="Calibri"/>
        </w:rPr>
        <w:t xml:space="preserve">and references </w:t>
      </w:r>
      <w:r w:rsidR="0027274A">
        <w:rPr>
          <w:rFonts w:ascii="Calibri" w:eastAsia="Calibri" w:hAnsi="Calibri" w:cs="Calibri"/>
        </w:rPr>
        <w:t>a Spatial Data Infrastructure which physically stores harmonized and INSPIRES compliant spatial datasets.</w:t>
      </w:r>
      <w:r w:rsidR="009E7371">
        <w:rPr>
          <w:rFonts w:ascii="Calibri" w:eastAsia="Calibri" w:hAnsi="Calibri" w:cs="Calibri"/>
        </w:rPr>
        <w:t xml:space="preserve"> On one hand this ensures that all EEA’s systems communicate and hence the harvesting of semantic information of the spatial datasets can be automatized and inventoried including updates and versioning. On the other hand the SDI ensures a harmonized spatial data pool with only a minimum need for further data processing (e.g. scale adjustments). </w:t>
      </w:r>
      <w:r w:rsidR="008B21BC">
        <w:rPr>
          <w:rFonts w:ascii="Calibri" w:eastAsia="Calibri" w:hAnsi="Calibri" w:cs="Calibri"/>
        </w:rPr>
        <w:t>This makes the cooperation of different parties in shared spatial analysis (so far the EEA and its European Topic Centres) much more efficient and reliable.</w:t>
      </w:r>
    </w:p>
    <w:p w14:paraId="33631797" w14:textId="77777777" w:rsidR="000F72AD" w:rsidRPr="00CD05F2" w:rsidRDefault="000F72AD" w:rsidP="000F72AD">
      <w:pPr>
        <w:contextualSpacing/>
        <w:jc w:val="both"/>
        <w:rPr>
          <w:rFonts w:ascii="Calibri" w:eastAsia="Calibri" w:hAnsi="Calibri" w:cs="Calibri"/>
        </w:rPr>
      </w:pPr>
    </w:p>
    <w:p w14:paraId="3913AFB3" w14:textId="77777777" w:rsidR="00634E34" w:rsidRDefault="008B21BC" w:rsidP="000F72AD">
      <w:pPr>
        <w:contextualSpacing/>
        <w:jc w:val="both"/>
        <w:rPr>
          <w:rFonts w:ascii="Calibri" w:eastAsia="Calibri" w:hAnsi="Calibri" w:cs="Calibri"/>
        </w:rPr>
      </w:pPr>
      <w:r>
        <w:rPr>
          <w:rFonts w:ascii="Calibri" w:eastAsia="Calibri" w:hAnsi="Calibri" w:cs="Calibri"/>
        </w:rPr>
        <w:t xml:space="preserve">The JRC tools </w:t>
      </w:r>
      <w:r w:rsidR="00F67522">
        <w:rPr>
          <w:rFonts w:ascii="Calibri" w:eastAsia="Calibri" w:hAnsi="Calibri" w:cs="Calibri"/>
        </w:rPr>
        <w:t>DOPA and EASIN are two online platforms which connect to global and European data providers (outside the Commission), process these data and publish this processed information for specific purposes</w:t>
      </w:r>
      <w:r>
        <w:rPr>
          <w:rFonts w:ascii="Calibri" w:eastAsia="Calibri" w:hAnsi="Calibri" w:cs="Calibri"/>
        </w:rPr>
        <w:t xml:space="preserve"> (see l</w:t>
      </w:r>
      <w:r w:rsidR="00F67522">
        <w:rPr>
          <w:rFonts w:ascii="Calibri" w:eastAsia="Calibri" w:hAnsi="Calibri" w:cs="Calibri"/>
        </w:rPr>
        <w:t xml:space="preserve">inks to the </w:t>
      </w:r>
      <w:hyperlink r:id="rId12">
        <w:r w:rsidR="00F67522">
          <w:rPr>
            <w:rFonts w:ascii="Calibri" w:eastAsia="Calibri" w:hAnsi="Calibri" w:cs="Calibri"/>
            <w:color w:val="1155CC"/>
            <w:u w:val="single"/>
          </w:rPr>
          <w:t xml:space="preserve">DOPA </w:t>
        </w:r>
      </w:hyperlink>
      <w:r w:rsidR="00F67522">
        <w:rPr>
          <w:rFonts w:ascii="Calibri" w:eastAsia="Calibri" w:hAnsi="Calibri" w:cs="Calibri"/>
        </w:rPr>
        <w:t xml:space="preserve">and </w:t>
      </w:r>
      <w:hyperlink r:id="rId13">
        <w:r w:rsidR="00F67522">
          <w:rPr>
            <w:rFonts w:ascii="Calibri" w:eastAsia="Calibri" w:hAnsi="Calibri" w:cs="Calibri"/>
            <w:color w:val="1155CC"/>
            <w:u w:val="single"/>
          </w:rPr>
          <w:t xml:space="preserve">EASIN </w:t>
        </w:r>
      </w:hyperlink>
      <w:r w:rsidR="00F67522">
        <w:rPr>
          <w:rFonts w:ascii="Calibri" w:eastAsia="Calibri" w:hAnsi="Calibri" w:cs="Calibri"/>
        </w:rPr>
        <w:t>presentations</w:t>
      </w:r>
      <w:r>
        <w:rPr>
          <w:rFonts w:ascii="Calibri" w:eastAsia="Calibri" w:hAnsi="Calibri" w:cs="Calibri"/>
        </w:rPr>
        <w:t>)</w:t>
      </w:r>
      <w:r w:rsidR="00F67522">
        <w:rPr>
          <w:rFonts w:ascii="Calibri" w:eastAsia="Calibri" w:hAnsi="Calibri" w:cs="Calibri"/>
        </w:rPr>
        <w:t xml:space="preserve">. </w:t>
      </w:r>
      <w:r w:rsidR="00583C9E">
        <w:rPr>
          <w:rFonts w:ascii="Calibri" w:eastAsia="Calibri" w:hAnsi="Calibri" w:cs="Calibri"/>
        </w:rPr>
        <w:t xml:space="preserve">The difference to EEA’s JEDI system </w:t>
      </w:r>
      <w:r w:rsidR="00583C9E">
        <w:rPr>
          <w:rFonts w:ascii="Calibri" w:eastAsia="Calibri" w:hAnsi="Calibri" w:cs="Calibri"/>
        </w:rPr>
        <w:lastRenderedPageBreak/>
        <w:t xml:space="preserve">is that JEDI ensures the automatic integration </w:t>
      </w:r>
      <w:r w:rsidR="00F20711">
        <w:rPr>
          <w:rFonts w:ascii="Calibri" w:eastAsia="Calibri" w:hAnsi="Calibri" w:cs="Calibri"/>
        </w:rPr>
        <w:t>of geospatial data and conversion of these data into a tabular</w:t>
      </w:r>
      <w:r w:rsidR="00583C9E">
        <w:rPr>
          <w:rFonts w:ascii="Calibri" w:eastAsia="Calibri" w:hAnsi="Calibri" w:cs="Calibri"/>
        </w:rPr>
        <w:t xml:space="preserve"> </w:t>
      </w:r>
      <w:r w:rsidR="00F20711">
        <w:rPr>
          <w:rFonts w:ascii="Calibri" w:eastAsia="Calibri" w:hAnsi="Calibri" w:cs="Calibri"/>
        </w:rPr>
        <w:t xml:space="preserve">environment. </w:t>
      </w:r>
      <w:r w:rsidR="00634E34">
        <w:rPr>
          <w:rFonts w:ascii="Calibri" w:eastAsia="Calibri" w:hAnsi="Calibri" w:cs="Calibri"/>
        </w:rPr>
        <w:t xml:space="preserve">       </w:t>
      </w:r>
    </w:p>
    <w:p w14:paraId="5AA98E79" w14:textId="7A16003A" w:rsidR="00B1341B" w:rsidRDefault="00634E34" w:rsidP="000F72AD">
      <w:pPr>
        <w:contextualSpacing/>
        <w:jc w:val="both"/>
        <w:rPr>
          <w:rFonts w:ascii="Calibri" w:eastAsia="Calibri" w:hAnsi="Calibri" w:cs="Calibri"/>
        </w:rPr>
      </w:pPr>
      <w:r>
        <w:rPr>
          <w:rFonts w:ascii="Calibri" w:eastAsia="Calibri" w:hAnsi="Calibri" w:cs="Calibri"/>
        </w:rPr>
        <w:t>[</w:t>
      </w:r>
      <w:r w:rsidRPr="00634E34">
        <w:rPr>
          <w:rFonts w:ascii="Calibri" w:eastAsia="Calibri" w:hAnsi="Calibri" w:cs="Calibri"/>
          <w:i/>
        </w:rPr>
        <w:t>2017 reflection, possibly outdated now</w:t>
      </w:r>
      <w:r>
        <w:rPr>
          <w:rFonts w:ascii="Calibri" w:eastAsia="Calibri" w:hAnsi="Calibri" w:cs="Calibri"/>
        </w:rPr>
        <w:t xml:space="preserve">:] </w:t>
      </w:r>
      <w:r w:rsidR="00F20711">
        <w:rPr>
          <w:rFonts w:ascii="Calibri" w:eastAsia="Calibri" w:hAnsi="Calibri" w:cs="Calibri"/>
        </w:rPr>
        <w:t>On the other hand</w:t>
      </w:r>
      <w:r w:rsidR="008B21BC">
        <w:rPr>
          <w:rFonts w:ascii="Calibri" w:eastAsia="Calibri" w:hAnsi="Calibri" w:cs="Calibri"/>
        </w:rPr>
        <w:t>,</w:t>
      </w:r>
      <w:r w:rsidR="00F20711">
        <w:rPr>
          <w:rFonts w:ascii="Calibri" w:eastAsia="Calibri" w:hAnsi="Calibri" w:cs="Calibri"/>
        </w:rPr>
        <w:t xml:space="preserve"> DOPA and EASIN offer spatial data processing </w:t>
      </w:r>
      <w:r w:rsidR="008B21BC">
        <w:rPr>
          <w:rFonts w:ascii="Calibri" w:eastAsia="Calibri" w:hAnsi="Calibri" w:cs="Calibri"/>
        </w:rPr>
        <w:t xml:space="preserve">and presentation </w:t>
      </w:r>
      <w:r w:rsidR="00F20711">
        <w:rPr>
          <w:rFonts w:ascii="Calibri" w:eastAsia="Calibri" w:hAnsi="Calibri" w:cs="Calibri"/>
        </w:rPr>
        <w:t xml:space="preserve">capabilities. Hence </w:t>
      </w:r>
      <w:r w:rsidR="00B1341B">
        <w:rPr>
          <w:rFonts w:ascii="Calibri" w:eastAsia="Calibri" w:hAnsi="Calibri" w:cs="Calibri"/>
        </w:rPr>
        <w:t xml:space="preserve">the development of the KIP INCA data architecture </w:t>
      </w:r>
      <w:r>
        <w:rPr>
          <w:rFonts w:ascii="Calibri" w:eastAsia="Calibri" w:hAnsi="Calibri" w:cs="Calibri"/>
        </w:rPr>
        <w:t>could</w:t>
      </w:r>
      <w:r w:rsidR="00B1341B">
        <w:rPr>
          <w:rFonts w:ascii="Calibri" w:eastAsia="Calibri" w:hAnsi="Calibri" w:cs="Calibri"/>
        </w:rPr>
        <w:t xml:space="preserve"> consider which role </w:t>
      </w:r>
      <w:r w:rsidR="00F20711">
        <w:rPr>
          <w:rFonts w:ascii="Calibri" w:eastAsia="Calibri" w:hAnsi="Calibri" w:cs="Calibri"/>
        </w:rPr>
        <w:t xml:space="preserve">DOPA/EASIN can </w:t>
      </w:r>
      <w:r w:rsidR="00B1341B">
        <w:rPr>
          <w:rFonts w:ascii="Calibri" w:eastAsia="Calibri" w:hAnsi="Calibri" w:cs="Calibri"/>
        </w:rPr>
        <w:t xml:space="preserve">play in combination with </w:t>
      </w:r>
      <w:r w:rsidR="00F20711">
        <w:rPr>
          <w:rFonts w:ascii="Calibri" w:eastAsia="Calibri" w:hAnsi="Calibri" w:cs="Calibri"/>
        </w:rPr>
        <w:t xml:space="preserve">EEA’s SDI </w:t>
      </w:r>
      <w:r w:rsidR="00B1341B">
        <w:rPr>
          <w:rFonts w:ascii="Calibri" w:eastAsia="Calibri" w:hAnsi="Calibri" w:cs="Calibri"/>
        </w:rPr>
        <w:t xml:space="preserve">and </w:t>
      </w:r>
      <w:r w:rsidR="00F20711">
        <w:rPr>
          <w:rFonts w:ascii="Calibri" w:eastAsia="Calibri" w:hAnsi="Calibri" w:cs="Calibri"/>
        </w:rPr>
        <w:t>JEDI system</w:t>
      </w:r>
      <w:r w:rsidR="00B1341B">
        <w:rPr>
          <w:rFonts w:ascii="Calibri" w:eastAsia="Calibri" w:hAnsi="Calibri" w:cs="Calibri"/>
        </w:rPr>
        <w:t xml:space="preserve">. This may focus on capturing data that do not correspond to EU INSPIRE standards (as these tools have been designed to deal with a wide variety of data) or on the presentation of data and analytical results. </w:t>
      </w:r>
      <w:r w:rsidR="000F72AD">
        <w:rPr>
          <w:rFonts w:ascii="Calibri" w:eastAsia="Calibri" w:hAnsi="Calibri" w:cs="Calibri"/>
        </w:rPr>
        <w:t xml:space="preserve"> </w:t>
      </w:r>
    </w:p>
    <w:p w14:paraId="79D675E5" w14:textId="4DA3DF43" w:rsidR="000F72AD" w:rsidRDefault="000F72AD" w:rsidP="00D024E7">
      <w:pPr>
        <w:jc w:val="both"/>
        <w:rPr>
          <w:rFonts w:ascii="Calibri" w:eastAsia="Calibri" w:hAnsi="Calibri" w:cs="Calibri"/>
        </w:rPr>
      </w:pPr>
    </w:p>
    <w:p w14:paraId="22B8FD5C" w14:textId="5BB9D279" w:rsidR="000F72AD" w:rsidRPr="000F72AD" w:rsidRDefault="000F72AD" w:rsidP="00D024E7">
      <w:pPr>
        <w:jc w:val="both"/>
        <w:rPr>
          <w:rFonts w:ascii="Calibri" w:eastAsia="Calibri" w:hAnsi="Calibri" w:cs="Calibri"/>
          <w:u w:val="single"/>
        </w:rPr>
      </w:pPr>
      <w:r w:rsidRPr="000F72AD">
        <w:rPr>
          <w:rFonts w:ascii="Calibri" w:eastAsia="Calibri" w:hAnsi="Calibri" w:cs="Calibri"/>
          <w:u w:val="single"/>
        </w:rPr>
        <w:t>Eurostat:</w:t>
      </w:r>
    </w:p>
    <w:p w14:paraId="5E5F3AAE" w14:textId="13AA6971" w:rsidR="000F72AD" w:rsidRDefault="000F72AD" w:rsidP="00D024E7">
      <w:pPr>
        <w:jc w:val="both"/>
        <w:rPr>
          <w:rFonts w:ascii="Calibri" w:eastAsia="Calibri" w:hAnsi="Calibri" w:cs="Calibri"/>
        </w:rPr>
      </w:pPr>
    </w:p>
    <w:p w14:paraId="0B9BDA43" w14:textId="17CB909B" w:rsidR="006221F3" w:rsidRDefault="006221F3" w:rsidP="00D024E7">
      <w:pPr>
        <w:jc w:val="both"/>
        <w:rPr>
          <w:rFonts w:ascii="Calibri" w:eastAsia="Calibri" w:hAnsi="Calibri" w:cs="Calibri"/>
        </w:rPr>
      </w:pPr>
      <w:r>
        <w:rPr>
          <w:rFonts w:ascii="Calibri" w:eastAsia="Calibri" w:hAnsi="Calibri" w:cs="Calibri"/>
        </w:rPr>
        <w:t>To be completed..</w:t>
      </w:r>
    </w:p>
    <w:p w14:paraId="77775A41" w14:textId="77777777" w:rsidR="006221F3" w:rsidRDefault="006221F3" w:rsidP="00D024E7">
      <w:pPr>
        <w:jc w:val="both"/>
        <w:rPr>
          <w:rFonts w:ascii="Calibri" w:eastAsia="Calibri" w:hAnsi="Calibri" w:cs="Calibri"/>
        </w:rPr>
      </w:pPr>
    </w:p>
    <w:p w14:paraId="4D0D974E" w14:textId="77777777" w:rsidR="000F72AD" w:rsidRDefault="000F72AD" w:rsidP="00D024E7">
      <w:pPr>
        <w:jc w:val="both"/>
        <w:rPr>
          <w:rFonts w:ascii="Calibri" w:eastAsia="Calibri" w:hAnsi="Calibri" w:cs="Calibri"/>
        </w:rPr>
      </w:pPr>
    </w:p>
    <w:p w14:paraId="787EFF5F" w14:textId="03635F22" w:rsidR="00382C3A" w:rsidRDefault="00D024E7" w:rsidP="00D024E7">
      <w:pPr>
        <w:jc w:val="both"/>
      </w:pPr>
      <w:r>
        <w:rPr>
          <w:rFonts w:ascii="Calibri" w:eastAsia="Calibri" w:hAnsi="Calibri" w:cs="Calibri"/>
          <w:b/>
        </w:rPr>
        <w:t xml:space="preserve">3. </w:t>
      </w:r>
      <w:r w:rsidR="00F67522">
        <w:rPr>
          <w:rFonts w:ascii="Calibri" w:eastAsia="Calibri" w:hAnsi="Calibri" w:cs="Calibri"/>
          <w:b/>
        </w:rPr>
        <w:t>Lessons learned for KIP INCA</w:t>
      </w:r>
      <w:r w:rsidR="000F72AD">
        <w:rPr>
          <w:rFonts w:ascii="Calibri" w:eastAsia="Calibri" w:hAnsi="Calibri" w:cs="Calibri"/>
          <w:b/>
        </w:rPr>
        <w:t xml:space="preserve"> from discussions in late 2016 and early 2017</w:t>
      </w:r>
    </w:p>
    <w:p w14:paraId="3B17E782" w14:textId="32675F1E" w:rsidR="00382C3A" w:rsidRDefault="00382C3A" w:rsidP="00D024E7">
      <w:pPr>
        <w:jc w:val="both"/>
      </w:pPr>
    </w:p>
    <w:p w14:paraId="42B8C40F" w14:textId="29AE918A" w:rsidR="00E772C3" w:rsidRDefault="00E772C3" w:rsidP="00D024E7">
      <w:pPr>
        <w:jc w:val="both"/>
      </w:pPr>
      <w:r>
        <w:t>Eurostat summary of meeting on 1 February 2017:</w:t>
      </w:r>
    </w:p>
    <w:p w14:paraId="6E76887F" w14:textId="10776E5D" w:rsidR="00E772C3" w:rsidRPr="00913154" w:rsidRDefault="00E772C3" w:rsidP="00E772C3">
      <w:pPr>
        <w:rPr>
          <w:b/>
        </w:rPr>
      </w:pPr>
      <w:r>
        <w:rPr>
          <w:b/>
        </w:rPr>
        <w:t>M</w:t>
      </w:r>
      <w:r w:rsidRPr="00913154">
        <w:rPr>
          <w:b/>
        </w:rPr>
        <w:t>inutes provided by Eurostat on KIP INCA data architecture discussion:</w:t>
      </w:r>
    </w:p>
    <w:p w14:paraId="545F59DC" w14:textId="77777777" w:rsidR="00E772C3" w:rsidRPr="001B4C25" w:rsidRDefault="00E772C3" w:rsidP="00E772C3">
      <w:pPr>
        <w:numPr>
          <w:ilvl w:val="0"/>
          <w:numId w:val="14"/>
        </w:numPr>
        <w:spacing w:before="100" w:beforeAutospacing="1" w:after="100" w:afterAutospacing="1" w:line="240" w:lineRule="auto"/>
        <w:ind w:left="0"/>
        <w:rPr>
          <w:rFonts w:eastAsia="Times New Roman"/>
          <w:color w:val="333333"/>
          <w:sz w:val="21"/>
          <w:szCs w:val="21"/>
        </w:rPr>
      </w:pPr>
      <w:r w:rsidRPr="001B4C25">
        <w:rPr>
          <w:rFonts w:eastAsia="Times New Roman"/>
          <w:color w:val="333333"/>
          <w:sz w:val="21"/>
          <w:szCs w:val="21"/>
        </w:rPr>
        <w:t xml:space="preserve">Solid </w:t>
      </w:r>
      <w:hyperlink r:id="rId14" w:history="1">
        <w:r w:rsidRPr="001B4C25">
          <w:rPr>
            <w:rFonts w:eastAsia="Times New Roman"/>
            <w:color w:val="3572B0"/>
            <w:sz w:val="21"/>
            <w:szCs w:val="21"/>
          </w:rPr>
          <w:t>proposal</w:t>
        </w:r>
      </w:hyperlink>
      <w:r w:rsidRPr="001B4C25">
        <w:rPr>
          <w:rFonts w:eastAsia="Times New Roman"/>
          <w:color w:val="333333"/>
          <w:sz w:val="21"/>
          <w:szCs w:val="21"/>
        </w:rPr>
        <w:t xml:space="preserve"> for architecture,largely based on existing EEA data infrastructure (EEA SDI and EEA integrated data platform);</w:t>
      </w:r>
    </w:p>
    <w:p w14:paraId="69073226" w14:textId="77777777" w:rsidR="00E772C3" w:rsidRPr="001B4C25" w:rsidRDefault="00E772C3" w:rsidP="00E772C3">
      <w:pPr>
        <w:numPr>
          <w:ilvl w:val="0"/>
          <w:numId w:val="14"/>
        </w:numPr>
        <w:spacing w:before="100" w:beforeAutospacing="1" w:after="100" w:afterAutospacing="1" w:line="240" w:lineRule="auto"/>
        <w:ind w:left="0"/>
        <w:rPr>
          <w:rFonts w:eastAsia="Times New Roman"/>
          <w:color w:val="333333"/>
          <w:sz w:val="21"/>
          <w:szCs w:val="21"/>
        </w:rPr>
      </w:pPr>
      <w:r w:rsidRPr="001B4C25">
        <w:rPr>
          <w:rFonts w:eastAsia="Times New Roman"/>
          <w:color w:val="333333"/>
          <w:sz w:val="21"/>
          <w:szCs w:val="21"/>
        </w:rPr>
        <w:t>JRC will continue to manage data and models for their purposes but the central data management capacity will be with the EEA, supported by ETC;</w:t>
      </w:r>
    </w:p>
    <w:p w14:paraId="541BC4DA" w14:textId="77777777" w:rsidR="00E772C3" w:rsidRPr="001B4C25" w:rsidRDefault="00E772C3" w:rsidP="00E772C3">
      <w:pPr>
        <w:numPr>
          <w:ilvl w:val="0"/>
          <w:numId w:val="14"/>
        </w:numPr>
        <w:spacing w:before="100" w:beforeAutospacing="1" w:after="100" w:afterAutospacing="1" w:line="240" w:lineRule="auto"/>
        <w:ind w:left="0"/>
        <w:rPr>
          <w:rFonts w:eastAsia="Times New Roman"/>
          <w:color w:val="333333"/>
          <w:sz w:val="21"/>
          <w:szCs w:val="21"/>
        </w:rPr>
      </w:pPr>
      <w:r w:rsidRPr="001B4C25">
        <w:rPr>
          <w:rFonts w:eastAsia="Times New Roman"/>
          <w:color w:val="333333"/>
          <w:sz w:val="21"/>
          <w:szCs w:val="21"/>
        </w:rPr>
        <w:t>No accounting specific data and metadata standards seem to exist, as a result, the proposed data and metadata standards are EEA extensions of INSPIRE, and are harmonised by EEA/topic centres before integration into INCA by EEA, this makes the architecture dependant of ETC resources;</w:t>
      </w:r>
    </w:p>
    <w:p w14:paraId="485BD25C" w14:textId="77777777" w:rsidR="00E772C3" w:rsidRPr="001B4C25" w:rsidRDefault="00E772C3" w:rsidP="00E772C3">
      <w:pPr>
        <w:numPr>
          <w:ilvl w:val="0"/>
          <w:numId w:val="14"/>
        </w:numPr>
        <w:spacing w:before="100" w:beforeAutospacing="1" w:after="100" w:afterAutospacing="1" w:line="240" w:lineRule="auto"/>
        <w:ind w:left="0"/>
        <w:rPr>
          <w:rFonts w:eastAsia="Times New Roman"/>
          <w:color w:val="333333"/>
          <w:sz w:val="21"/>
          <w:szCs w:val="21"/>
        </w:rPr>
      </w:pPr>
      <w:r w:rsidRPr="001B4C25">
        <w:rPr>
          <w:rFonts w:eastAsia="Times New Roman"/>
          <w:color w:val="333333"/>
          <w:sz w:val="21"/>
          <w:szCs w:val="21"/>
        </w:rPr>
        <w:t>Strict guidelines on semantics, documentation practices, reference versions and versioning will need to be developed (case for  linked data);</w:t>
      </w:r>
    </w:p>
    <w:p w14:paraId="05A1F43C" w14:textId="77777777" w:rsidR="00E772C3" w:rsidRPr="001B4C25" w:rsidRDefault="00E772C3" w:rsidP="00E772C3">
      <w:pPr>
        <w:numPr>
          <w:ilvl w:val="0"/>
          <w:numId w:val="14"/>
        </w:numPr>
        <w:spacing w:before="100" w:beforeAutospacing="1" w:after="100" w:afterAutospacing="1" w:line="240" w:lineRule="auto"/>
        <w:ind w:left="0"/>
        <w:rPr>
          <w:rFonts w:eastAsia="Times New Roman"/>
          <w:color w:val="333333"/>
          <w:sz w:val="21"/>
          <w:szCs w:val="21"/>
        </w:rPr>
      </w:pPr>
      <w:r w:rsidRPr="001B4C25">
        <w:rPr>
          <w:rFonts w:eastAsia="Times New Roman"/>
          <w:color w:val="333333"/>
          <w:sz w:val="21"/>
          <w:szCs w:val="21"/>
        </w:rPr>
        <w:t>Interoperability of JRC and Eurostat data and geospatial data catalogues needs to be ensured by adhering to standards (mainly INSPIRE for data and metadata and DCAT for metadata in the JRC);</w:t>
      </w:r>
    </w:p>
    <w:p w14:paraId="312348FC" w14:textId="77777777" w:rsidR="00E772C3" w:rsidRPr="001B4C25" w:rsidRDefault="00E772C3" w:rsidP="00E772C3">
      <w:pPr>
        <w:numPr>
          <w:ilvl w:val="0"/>
          <w:numId w:val="14"/>
        </w:numPr>
        <w:spacing w:before="100" w:beforeAutospacing="1" w:after="100" w:afterAutospacing="1" w:line="240" w:lineRule="auto"/>
        <w:ind w:left="0"/>
        <w:rPr>
          <w:rFonts w:eastAsia="Times New Roman"/>
          <w:color w:val="333333"/>
          <w:sz w:val="21"/>
          <w:szCs w:val="21"/>
        </w:rPr>
      </w:pPr>
      <w:r w:rsidRPr="001B4C25">
        <w:rPr>
          <w:rFonts w:eastAsia="Times New Roman"/>
          <w:color w:val="333333"/>
          <w:sz w:val="21"/>
          <w:szCs w:val="21"/>
        </w:rPr>
        <w:t>Data architecture is mainly a process description and description of where to find data, a common and formal process description standard needs to be adopted, e.g. based on ETC practices;</w:t>
      </w:r>
    </w:p>
    <w:p w14:paraId="31B3C550" w14:textId="77777777" w:rsidR="00E772C3" w:rsidRPr="001B4C25" w:rsidRDefault="00E772C3" w:rsidP="00E772C3">
      <w:pPr>
        <w:numPr>
          <w:ilvl w:val="0"/>
          <w:numId w:val="14"/>
        </w:numPr>
        <w:spacing w:before="100" w:beforeAutospacing="1" w:after="100" w:afterAutospacing="1" w:line="240" w:lineRule="auto"/>
        <w:ind w:left="0"/>
        <w:rPr>
          <w:rFonts w:eastAsia="Times New Roman"/>
          <w:color w:val="333333"/>
          <w:sz w:val="21"/>
          <w:szCs w:val="21"/>
        </w:rPr>
      </w:pPr>
      <w:r w:rsidRPr="001B4C25">
        <w:rPr>
          <w:rFonts w:eastAsia="Times New Roman"/>
          <w:color w:val="333333"/>
          <w:sz w:val="21"/>
          <w:szCs w:val="21"/>
        </w:rPr>
        <w:t>The architecture should be presented to Member States to have their buy in as they would have to use similar  approaches for their national data to ensure interoperability; We need to find an occasion for this presentation.</w:t>
      </w:r>
    </w:p>
    <w:p w14:paraId="58A558C4" w14:textId="77777777" w:rsidR="00E772C3" w:rsidRPr="001B4C25" w:rsidRDefault="00E772C3" w:rsidP="00E772C3">
      <w:pPr>
        <w:spacing w:before="150" w:line="240" w:lineRule="auto"/>
        <w:rPr>
          <w:rFonts w:eastAsia="Times New Roman"/>
          <w:color w:val="333333"/>
          <w:sz w:val="21"/>
          <w:szCs w:val="21"/>
        </w:rPr>
      </w:pPr>
      <w:r w:rsidRPr="001B4C25">
        <w:rPr>
          <w:rFonts w:eastAsia="Times New Roman"/>
          <w:b/>
          <w:bCs/>
          <w:color w:val="333333"/>
          <w:sz w:val="21"/>
          <w:szCs w:val="21"/>
        </w:rPr>
        <w:t>Decision</w:t>
      </w:r>
    </w:p>
    <w:p w14:paraId="5A4B34B6" w14:textId="77777777" w:rsidR="00E772C3" w:rsidRDefault="00E772C3" w:rsidP="00E772C3">
      <w:r w:rsidRPr="001B4C25">
        <w:rPr>
          <w:rFonts w:eastAsia="Times New Roman"/>
          <w:b/>
          <w:bCs/>
          <w:color w:val="333333"/>
          <w:sz w:val="21"/>
          <w:szCs w:val="21"/>
        </w:rPr>
        <w:t>The EEA proposal (architecture building on EEA SDI, EEA integrated data platform - data processes building on established ETC work flows) represents a good compromise between distributed architecture and control on data structure, semantics and metadata). The proposal will therefore be the candidate for building the INCA data data infrastructure. Demonstrating the feasibility will be one of the priorities for 2017 and hence one of the main goals for the showcase task in 2017, to be completed by Quarter 3 2017.</w:t>
      </w:r>
    </w:p>
    <w:p w14:paraId="7CB84A5F" w14:textId="0E54396C" w:rsidR="00E772C3" w:rsidRDefault="00E772C3" w:rsidP="00D024E7">
      <w:pPr>
        <w:jc w:val="both"/>
        <w:rPr>
          <w:u w:val="single"/>
        </w:rPr>
      </w:pPr>
    </w:p>
    <w:p w14:paraId="502B8ECB" w14:textId="77777777" w:rsidR="00E772C3" w:rsidRPr="00E772C3" w:rsidRDefault="00E772C3" w:rsidP="00D024E7">
      <w:pPr>
        <w:jc w:val="both"/>
        <w:rPr>
          <w:u w:val="single"/>
        </w:rPr>
      </w:pPr>
    </w:p>
    <w:p w14:paraId="529810F0" w14:textId="77777777" w:rsidR="00634E34" w:rsidRDefault="00634E34" w:rsidP="00D024E7">
      <w:pPr>
        <w:jc w:val="both"/>
        <w:rPr>
          <w:u w:val="single"/>
        </w:rPr>
      </w:pPr>
    </w:p>
    <w:p w14:paraId="30F329DC" w14:textId="77777777" w:rsidR="00634E34" w:rsidRDefault="00634E34" w:rsidP="00D024E7">
      <w:pPr>
        <w:jc w:val="both"/>
        <w:rPr>
          <w:u w:val="single"/>
        </w:rPr>
      </w:pPr>
    </w:p>
    <w:p w14:paraId="29556BE5" w14:textId="77777777" w:rsidR="00634E34" w:rsidRDefault="00634E34" w:rsidP="00D024E7">
      <w:pPr>
        <w:jc w:val="both"/>
        <w:rPr>
          <w:u w:val="single"/>
        </w:rPr>
      </w:pPr>
    </w:p>
    <w:p w14:paraId="3C00B32D" w14:textId="62DD9105" w:rsidR="00E772C3" w:rsidRPr="00E772C3" w:rsidRDefault="00E772C3" w:rsidP="00D024E7">
      <w:pPr>
        <w:jc w:val="both"/>
        <w:rPr>
          <w:u w:val="single"/>
        </w:rPr>
      </w:pPr>
      <w:r w:rsidRPr="00E772C3">
        <w:rPr>
          <w:u w:val="single"/>
        </w:rPr>
        <w:lastRenderedPageBreak/>
        <w:t xml:space="preserve">Points summarised in background paper for that </w:t>
      </w:r>
      <w:r w:rsidR="00634E34">
        <w:rPr>
          <w:u w:val="single"/>
        </w:rPr>
        <w:t xml:space="preserve">2017 </w:t>
      </w:r>
      <w:r w:rsidRPr="00E772C3">
        <w:rPr>
          <w:u w:val="single"/>
        </w:rPr>
        <w:t>meeting (partly outdated</w:t>
      </w:r>
      <w:r w:rsidR="00634E34">
        <w:rPr>
          <w:u w:val="single"/>
        </w:rPr>
        <w:t xml:space="preserve"> now</w:t>
      </w:r>
      <w:r w:rsidRPr="00E772C3">
        <w:rPr>
          <w:u w:val="single"/>
        </w:rPr>
        <w:t>):</w:t>
      </w:r>
    </w:p>
    <w:p w14:paraId="2782800A" w14:textId="77777777" w:rsidR="00E772C3" w:rsidRDefault="00E772C3" w:rsidP="00D024E7">
      <w:pPr>
        <w:jc w:val="both"/>
      </w:pPr>
    </w:p>
    <w:p w14:paraId="1F1933C8" w14:textId="7D7A39E2" w:rsidR="00382C3A" w:rsidRDefault="00550C98" w:rsidP="00D024E7">
      <w:pPr>
        <w:numPr>
          <w:ilvl w:val="0"/>
          <w:numId w:val="9"/>
        </w:numPr>
        <w:ind w:hanging="360"/>
        <w:contextualSpacing/>
        <w:jc w:val="both"/>
        <w:rPr>
          <w:rFonts w:ascii="Calibri" w:eastAsia="Calibri" w:hAnsi="Calibri" w:cs="Calibri"/>
        </w:rPr>
      </w:pPr>
      <w:r>
        <w:rPr>
          <w:rFonts w:ascii="Calibri" w:eastAsia="Calibri" w:hAnsi="Calibri" w:cs="Calibri"/>
        </w:rPr>
        <w:t xml:space="preserve">The development of KIP </w:t>
      </w:r>
      <w:r w:rsidR="00F67522">
        <w:rPr>
          <w:rFonts w:ascii="Calibri" w:eastAsia="Calibri" w:hAnsi="Calibri" w:cs="Calibri"/>
        </w:rPr>
        <w:t xml:space="preserve">INCA </w:t>
      </w:r>
      <w:r>
        <w:rPr>
          <w:rFonts w:ascii="Calibri" w:eastAsia="Calibri" w:hAnsi="Calibri" w:cs="Calibri"/>
        </w:rPr>
        <w:t xml:space="preserve">data architecture </w:t>
      </w:r>
      <w:r w:rsidR="00F67522">
        <w:rPr>
          <w:rFonts w:ascii="Calibri" w:eastAsia="Calibri" w:hAnsi="Calibri" w:cs="Calibri"/>
        </w:rPr>
        <w:t>should</w:t>
      </w:r>
      <w:r>
        <w:rPr>
          <w:rFonts w:ascii="Calibri" w:eastAsia="Calibri" w:hAnsi="Calibri" w:cs="Calibri"/>
        </w:rPr>
        <w:t xml:space="preserve"> build on </w:t>
      </w:r>
      <w:r w:rsidR="00F67522">
        <w:rPr>
          <w:rFonts w:ascii="Calibri" w:eastAsia="Calibri" w:hAnsi="Calibri" w:cs="Calibri"/>
        </w:rPr>
        <w:t>the current tools, technologies, and resources to the maximum extent</w:t>
      </w:r>
      <w:r>
        <w:rPr>
          <w:rFonts w:ascii="Calibri" w:eastAsia="Calibri" w:hAnsi="Calibri" w:cs="Calibri"/>
        </w:rPr>
        <w:t xml:space="preserve"> possible</w:t>
      </w:r>
      <w:r w:rsidR="00F67522">
        <w:rPr>
          <w:rFonts w:ascii="Calibri" w:eastAsia="Calibri" w:hAnsi="Calibri" w:cs="Calibri"/>
        </w:rPr>
        <w:t>.</w:t>
      </w:r>
      <w:r w:rsidR="00CC5640">
        <w:rPr>
          <w:rFonts w:ascii="Calibri" w:eastAsia="Calibri" w:hAnsi="Calibri" w:cs="Calibri"/>
        </w:rPr>
        <w:t xml:space="preserve"> However, for efficiency the different systems need to communicate</w:t>
      </w:r>
      <w:r>
        <w:rPr>
          <w:rFonts w:ascii="Calibri" w:eastAsia="Calibri" w:hAnsi="Calibri" w:cs="Calibri"/>
        </w:rPr>
        <w:t>,</w:t>
      </w:r>
      <w:r w:rsidR="00CC5640">
        <w:rPr>
          <w:rFonts w:ascii="Calibri" w:eastAsia="Calibri" w:hAnsi="Calibri" w:cs="Calibri"/>
        </w:rPr>
        <w:t xml:space="preserve"> which implies that some non-substantial but necessary IT development </w:t>
      </w:r>
      <w:r>
        <w:rPr>
          <w:rFonts w:ascii="Calibri" w:eastAsia="Calibri" w:hAnsi="Calibri" w:cs="Calibri"/>
        </w:rPr>
        <w:t>may</w:t>
      </w:r>
      <w:r w:rsidR="00CC5640">
        <w:rPr>
          <w:rFonts w:ascii="Calibri" w:eastAsia="Calibri" w:hAnsi="Calibri" w:cs="Calibri"/>
        </w:rPr>
        <w:t xml:space="preserve"> be needed. </w:t>
      </w:r>
    </w:p>
    <w:p w14:paraId="24E4330F" w14:textId="1B320AC3" w:rsidR="00382C3A" w:rsidRDefault="00F67522" w:rsidP="00D024E7">
      <w:pPr>
        <w:numPr>
          <w:ilvl w:val="0"/>
          <w:numId w:val="9"/>
        </w:numPr>
        <w:ind w:hanging="360"/>
        <w:contextualSpacing/>
        <w:jc w:val="both"/>
        <w:rPr>
          <w:rFonts w:ascii="Calibri" w:eastAsia="Calibri" w:hAnsi="Calibri" w:cs="Calibri"/>
        </w:rPr>
      </w:pPr>
      <w:r>
        <w:rPr>
          <w:rFonts w:ascii="Calibri" w:eastAsia="Calibri" w:hAnsi="Calibri" w:cs="Calibri"/>
        </w:rPr>
        <w:t xml:space="preserve">Processing of data should </w:t>
      </w:r>
      <w:r w:rsidR="00550C98">
        <w:rPr>
          <w:rFonts w:ascii="Calibri" w:eastAsia="Calibri" w:hAnsi="Calibri" w:cs="Calibri"/>
        </w:rPr>
        <w:t xml:space="preserve">in most cases </w:t>
      </w:r>
      <w:r>
        <w:rPr>
          <w:rFonts w:ascii="Calibri" w:eastAsia="Calibri" w:hAnsi="Calibri" w:cs="Calibri"/>
        </w:rPr>
        <w:t>be done locally</w:t>
      </w:r>
      <w:r w:rsidR="00787E53">
        <w:rPr>
          <w:rFonts w:ascii="Calibri" w:eastAsia="Calibri" w:hAnsi="Calibri" w:cs="Calibri"/>
        </w:rPr>
        <w:t>,</w:t>
      </w:r>
      <w:r>
        <w:rPr>
          <w:rFonts w:ascii="Calibri" w:eastAsia="Calibri" w:hAnsi="Calibri" w:cs="Calibri"/>
        </w:rPr>
        <w:t xml:space="preserve"> </w:t>
      </w:r>
      <w:r w:rsidR="00787E53">
        <w:rPr>
          <w:rFonts w:ascii="Calibri" w:eastAsia="Calibri" w:hAnsi="Calibri" w:cs="Calibri"/>
        </w:rPr>
        <w:t>at each partner’s premises using best practice processing environment</w:t>
      </w:r>
      <w:r w:rsidR="003E7131">
        <w:rPr>
          <w:rFonts w:ascii="Calibri" w:eastAsia="Calibri" w:hAnsi="Calibri" w:cs="Calibri"/>
        </w:rPr>
        <w:t>s</w:t>
      </w:r>
      <w:r w:rsidR="00787E53">
        <w:rPr>
          <w:rFonts w:ascii="Calibri" w:eastAsia="Calibri" w:hAnsi="Calibri" w:cs="Calibri"/>
        </w:rPr>
        <w:t xml:space="preserve"> </w:t>
      </w:r>
      <w:r>
        <w:rPr>
          <w:rFonts w:ascii="Calibri" w:eastAsia="Calibri" w:hAnsi="Calibri" w:cs="Calibri"/>
        </w:rPr>
        <w:t xml:space="preserve">but </w:t>
      </w:r>
      <w:r w:rsidR="00787E53">
        <w:rPr>
          <w:rFonts w:ascii="Calibri" w:eastAsia="Calibri" w:hAnsi="Calibri" w:cs="Calibri"/>
        </w:rPr>
        <w:t xml:space="preserve">should use </w:t>
      </w:r>
      <w:r>
        <w:rPr>
          <w:rFonts w:ascii="Calibri" w:eastAsia="Calibri" w:hAnsi="Calibri" w:cs="Calibri"/>
        </w:rPr>
        <w:t xml:space="preserve">harmonised and standardised spatial data sets. This means that efforts should mainly go to harmonisation and standardisation of data models and their meta-data so that </w:t>
      </w:r>
      <w:r w:rsidR="003E7131">
        <w:rPr>
          <w:rFonts w:ascii="Calibri" w:eastAsia="Calibri" w:hAnsi="Calibri" w:cs="Calibri"/>
        </w:rPr>
        <w:t xml:space="preserve">KIP INCA partners working on </w:t>
      </w:r>
      <w:r>
        <w:rPr>
          <w:rFonts w:ascii="Calibri" w:eastAsia="Calibri" w:hAnsi="Calibri" w:cs="Calibri"/>
        </w:rPr>
        <w:t>calculat</w:t>
      </w:r>
      <w:r w:rsidR="003E7131">
        <w:rPr>
          <w:rFonts w:ascii="Calibri" w:eastAsia="Calibri" w:hAnsi="Calibri" w:cs="Calibri"/>
        </w:rPr>
        <w:t>ing</w:t>
      </w:r>
      <w:r>
        <w:rPr>
          <w:rFonts w:ascii="Calibri" w:eastAsia="Calibri" w:hAnsi="Calibri" w:cs="Calibri"/>
        </w:rPr>
        <w:t xml:space="preserve"> natural capital accounts </w:t>
      </w:r>
      <w:r w:rsidR="003E7131">
        <w:rPr>
          <w:rFonts w:ascii="Calibri" w:eastAsia="Calibri" w:hAnsi="Calibri" w:cs="Calibri"/>
        </w:rPr>
        <w:t xml:space="preserve">can find and </w:t>
      </w:r>
      <w:r>
        <w:rPr>
          <w:rFonts w:ascii="Calibri" w:eastAsia="Calibri" w:hAnsi="Calibri" w:cs="Calibri"/>
        </w:rPr>
        <w:t>download the datasets on a local drive</w:t>
      </w:r>
      <w:r w:rsidR="003E7131">
        <w:rPr>
          <w:rFonts w:ascii="Calibri" w:eastAsia="Calibri" w:hAnsi="Calibri" w:cs="Calibri"/>
        </w:rPr>
        <w:t>.</w:t>
      </w:r>
      <w:r>
        <w:rPr>
          <w:rFonts w:ascii="Calibri" w:eastAsia="Calibri" w:hAnsi="Calibri" w:cs="Calibri"/>
        </w:rPr>
        <w:t xml:space="preserve"> </w:t>
      </w:r>
      <w:r w:rsidR="00550C98">
        <w:rPr>
          <w:rFonts w:ascii="Calibri" w:eastAsia="Calibri" w:hAnsi="Calibri" w:cs="Calibri"/>
        </w:rPr>
        <w:t>The results of d</w:t>
      </w:r>
      <w:r w:rsidR="003E7131">
        <w:rPr>
          <w:rFonts w:ascii="Calibri" w:eastAsia="Calibri" w:hAnsi="Calibri" w:cs="Calibri"/>
        </w:rPr>
        <w:t xml:space="preserve">ata </w:t>
      </w:r>
      <w:r>
        <w:rPr>
          <w:rFonts w:ascii="Calibri" w:eastAsia="Calibri" w:hAnsi="Calibri" w:cs="Calibri"/>
        </w:rPr>
        <w:t>analyses</w:t>
      </w:r>
      <w:r w:rsidR="00550C98">
        <w:rPr>
          <w:rFonts w:ascii="Calibri" w:eastAsia="Calibri" w:hAnsi="Calibri" w:cs="Calibri"/>
        </w:rPr>
        <w:t xml:space="preserve">, development of </w:t>
      </w:r>
      <w:r>
        <w:rPr>
          <w:rFonts w:ascii="Calibri" w:eastAsia="Calibri" w:hAnsi="Calibri" w:cs="Calibri"/>
        </w:rPr>
        <w:t xml:space="preserve">accounts, maps and indicators </w:t>
      </w:r>
      <w:r w:rsidR="00550C98">
        <w:rPr>
          <w:rFonts w:ascii="Calibri" w:eastAsia="Calibri" w:hAnsi="Calibri" w:cs="Calibri"/>
        </w:rPr>
        <w:t xml:space="preserve">should be made available </w:t>
      </w:r>
      <w:r>
        <w:rPr>
          <w:rFonts w:ascii="Calibri" w:eastAsia="Calibri" w:hAnsi="Calibri" w:cs="Calibri"/>
        </w:rPr>
        <w:t xml:space="preserve">on a </w:t>
      </w:r>
      <w:r w:rsidR="00550C98">
        <w:rPr>
          <w:rFonts w:ascii="Calibri" w:eastAsia="Calibri" w:hAnsi="Calibri" w:cs="Calibri"/>
        </w:rPr>
        <w:t xml:space="preserve">joint </w:t>
      </w:r>
      <w:r>
        <w:rPr>
          <w:rFonts w:ascii="Calibri" w:eastAsia="Calibri" w:hAnsi="Calibri" w:cs="Calibri"/>
        </w:rPr>
        <w:t>landing page</w:t>
      </w:r>
      <w:r w:rsidR="003E7131">
        <w:rPr>
          <w:rFonts w:ascii="Calibri" w:eastAsia="Calibri" w:hAnsi="Calibri" w:cs="Calibri"/>
        </w:rPr>
        <w:t xml:space="preserve"> </w:t>
      </w:r>
      <w:r w:rsidR="00550C98">
        <w:rPr>
          <w:rFonts w:ascii="Calibri" w:eastAsia="Calibri" w:hAnsi="Calibri" w:cs="Calibri"/>
        </w:rPr>
        <w:t>for the</w:t>
      </w:r>
      <w:r w:rsidR="003E7131">
        <w:rPr>
          <w:rFonts w:ascii="Calibri" w:eastAsia="Calibri" w:hAnsi="Calibri" w:cs="Calibri"/>
        </w:rPr>
        <w:t xml:space="preserve"> KIP INCA p</w:t>
      </w:r>
      <w:r w:rsidR="00550C98">
        <w:rPr>
          <w:rFonts w:ascii="Calibri" w:eastAsia="Calibri" w:hAnsi="Calibri" w:cs="Calibri"/>
        </w:rPr>
        <w:t>roject</w:t>
      </w:r>
      <w:r>
        <w:rPr>
          <w:rFonts w:ascii="Calibri" w:eastAsia="Calibri" w:hAnsi="Calibri" w:cs="Calibri"/>
        </w:rPr>
        <w:t xml:space="preserve">. </w:t>
      </w:r>
    </w:p>
    <w:p w14:paraId="10320B13" w14:textId="63593BDD" w:rsidR="003221C8" w:rsidRDefault="00F67522" w:rsidP="00D024E7">
      <w:pPr>
        <w:numPr>
          <w:ilvl w:val="0"/>
          <w:numId w:val="9"/>
        </w:numPr>
        <w:ind w:hanging="360"/>
        <w:contextualSpacing/>
        <w:jc w:val="both"/>
        <w:rPr>
          <w:rFonts w:ascii="Calibri" w:eastAsia="Calibri" w:hAnsi="Calibri" w:cs="Calibri"/>
        </w:rPr>
      </w:pPr>
      <w:r>
        <w:rPr>
          <w:rFonts w:ascii="Calibri" w:eastAsia="Calibri" w:hAnsi="Calibri" w:cs="Calibri"/>
        </w:rPr>
        <w:t xml:space="preserve">The development of a shared catalogue is recommended for distributed systems such as INCA. The experience of EASIN </w:t>
      </w:r>
      <w:r w:rsidR="003221C8">
        <w:rPr>
          <w:rFonts w:ascii="Calibri" w:eastAsia="Calibri" w:hAnsi="Calibri" w:cs="Calibri"/>
        </w:rPr>
        <w:t>teaches us</w:t>
      </w:r>
      <w:r>
        <w:rPr>
          <w:rFonts w:ascii="Calibri" w:eastAsia="Calibri" w:hAnsi="Calibri" w:cs="Calibri"/>
        </w:rPr>
        <w:t xml:space="preserve"> that developing a shared catalogue which describes meta-data drives standardisation and harmonisation</w:t>
      </w:r>
      <w:r w:rsidR="00EB4480">
        <w:rPr>
          <w:rFonts w:ascii="Calibri" w:eastAsia="Calibri" w:hAnsi="Calibri" w:cs="Calibri"/>
        </w:rPr>
        <w:t xml:space="preserve">. </w:t>
      </w:r>
      <w:r w:rsidR="00CD05F2">
        <w:rPr>
          <w:rFonts w:ascii="Calibri" w:eastAsia="Calibri" w:hAnsi="Calibri" w:cs="Calibri"/>
        </w:rPr>
        <w:t>The compatibility of current catalogues at EEA</w:t>
      </w:r>
      <w:r w:rsidR="003221C8">
        <w:rPr>
          <w:rFonts w:ascii="Calibri" w:eastAsia="Calibri" w:hAnsi="Calibri" w:cs="Calibri"/>
        </w:rPr>
        <w:t>, Eurostat</w:t>
      </w:r>
      <w:r w:rsidR="00CD05F2">
        <w:rPr>
          <w:rFonts w:ascii="Calibri" w:eastAsia="Calibri" w:hAnsi="Calibri" w:cs="Calibri"/>
        </w:rPr>
        <w:t xml:space="preserve"> and JRC </w:t>
      </w:r>
      <w:r w:rsidR="003221C8">
        <w:rPr>
          <w:rFonts w:ascii="Calibri" w:eastAsia="Calibri" w:hAnsi="Calibri" w:cs="Calibri"/>
        </w:rPr>
        <w:t xml:space="preserve">for </w:t>
      </w:r>
      <w:r w:rsidR="00CD05F2">
        <w:rPr>
          <w:rFonts w:ascii="Calibri" w:eastAsia="Calibri" w:hAnsi="Calibri" w:cs="Calibri"/>
        </w:rPr>
        <w:t xml:space="preserve">this </w:t>
      </w:r>
      <w:r w:rsidR="003221C8">
        <w:rPr>
          <w:rFonts w:ascii="Calibri" w:eastAsia="Calibri" w:hAnsi="Calibri" w:cs="Calibri"/>
        </w:rPr>
        <w:t xml:space="preserve">purpose needs to be further reviewed. To begin work on this </w:t>
      </w:r>
      <w:r w:rsidR="00CD05F2">
        <w:rPr>
          <w:rFonts w:ascii="Calibri" w:eastAsia="Calibri" w:hAnsi="Calibri" w:cs="Calibri"/>
        </w:rPr>
        <w:t>task</w:t>
      </w:r>
      <w:r w:rsidR="00EB4480">
        <w:rPr>
          <w:rFonts w:ascii="Calibri" w:eastAsia="Calibri" w:hAnsi="Calibri" w:cs="Calibri"/>
        </w:rPr>
        <w:t xml:space="preserve"> </w:t>
      </w:r>
      <w:r w:rsidR="003221C8">
        <w:rPr>
          <w:rFonts w:ascii="Calibri" w:eastAsia="Calibri" w:hAnsi="Calibri" w:cs="Calibri"/>
        </w:rPr>
        <w:t xml:space="preserve">it is proposed that EEA’s SDI is populated with key KIP INCA reference data sets, using available ETC ULS resources in 2017. </w:t>
      </w:r>
    </w:p>
    <w:p w14:paraId="61879127" w14:textId="0F5D60C4" w:rsidR="00382C3A" w:rsidRDefault="003221C8" w:rsidP="00D024E7">
      <w:pPr>
        <w:numPr>
          <w:ilvl w:val="0"/>
          <w:numId w:val="9"/>
        </w:numPr>
        <w:ind w:hanging="360"/>
        <w:contextualSpacing/>
        <w:jc w:val="both"/>
        <w:rPr>
          <w:rFonts w:ascii="Calibri" w:eastAsia="Calibri" w:hAnsi="Calibri" w:cs="Calibri"/>
        </w:rPr>
      </w:pPr>
      <w:r>
        <w:rPr>
          <w:rFonts w:ascii="Calibri" w:eastAsia="Calibri" w:hAnsi="Calibri" w:cs="Calibri"/>
        </w:rPr>
        <w:t>S</w:t>
      </w:r>
      <w:r w:rsidR="00EB4480">
        <w:rPr>
          <w:rFonts w:ascii="Calibri" w:eastAsia="Calibri" w:hAnsi="Calibri" w:cs="Calibri"/>
        </w:rPr>
        <w:t>patial data</w:t>
      </w:r>
      <w:r w:rsidR="000A1EA7">
        <w:rPr>
          <w:rFonts w:ascii="Calibri" w:eastAsia="Calibri" w:hAnsi="Calibri" w:cs="Calibri"/>
        </w:rPr>
        <w:t xml:space="preserve"> </w:t>
      </w:r>
      <w:r w:rsidR="00EB4480">
        <w:rPr>
          <w:rFonts w:ascii="Calibri" w:eastAsia="Calibri" w:hAnsi="Calibri" w:cs="Calibri"/>
        </w:rPr>
        <w:t xml:space="preserve">harmonization is still </w:t>
      </w:r>
      <w:r>
        <w:rPr>
          <w:rFonts w:ascii="Calibri" w:eastAsia="Calibri" w:hAnsi="Calibri" w:cs="Calibri"/>
        </w:rPr>
        <w:t>extra further</w:t>
      </w:r>
      <w:r w:rsidR="00EB4480">
        <w:rPr>
          <w:rFonts w:ascii="Calibri" w:eastAsia="Calibri" w:hAnsi="Calibri" w:cs="Calibri"/>
        </w:rPr>
        <w:t xml:space="preserve"> step which requires extra resources</w:t>
      </w:r>
      <w:r w:rsidR="00525113">
        <w:rPr>
          <w:rFonts w:ascii="Calibri" w:eastAsia="Calibri" w:hAnsi="Calibri" w:cs="Calibri"/>
        </w:rPr>
        <w:t>, as explained under the previous point</w:t>
      </w:r>
      <w:r w:rsidR="00EB4480">
        <w:rPr>
          <w:rFonts w:ascii="Calibri" w:eastAsia="Calibri" w:hAnsi="Calibri" w:cs="Calibri"/>
        </w:rPr>
        <w:t>. In order to support this task EEA’s IDP project has developed a QA/QC protocol listing criteria and setting up processes for spatial data delivery</w:t>
      </w:r>
      <w:r w:rsidR="00EE0234">
        <w:rPr>
          <w:rFonts w:ascii="Calibri" w:eastAsia="Calibri" w:hAnsi="Calibri" w:cs="Calibri"/>
        </w:rPr>
        <w:t>.</w:t>
      </w:r>
      <w:r w:rsidR="00D73B9E">
        <w:rPr>
          <w:rFonts w:ascii="Calibri" w:eastAsia="Calibri" w:hAnsi="Calibri" w:cs="Calibri"/>
        </w:rPr>
        <w:t xml:space="preserve"> </w:t>
      </w:r>
    </w:p>
    <w:p w14:paraId="28D862AE" w14:textId="77777777" w:rsidR="00632A35" w:rsidRDefault="00632A35" w:rsidP="00D024E7">
      <w:pPr>
        <w:numPr>
          <w:ilvl w:val="0"/>
          <w:numId w:val="9"/>
        </w:numPr>
        <w:ind w:hanging="360"/>
        <w:contextualSpacing/>
        <w:jc w:val="both"/>
        <w:rPr>
          <w:rFonts w:ascii="Calibri" w:eastAsia="Calibri" w:hAnsi="Calibri" w:cs="Calibri"/>
        </w:rPr>
      </w:pPr>
      <w:r>
        <w:rPr>
          <w:rFonts w:ascii="Calibri" w:eastAsia="Calibri" w:hAnsi="Calibri" w:cs="Calibri"/>
        </w:rPr>
        <w:t>EEA’s Integrated Data Platform develops a semantic inventory of spatial data which enables the fast identification of those datasets that have the appropriate technical and contextual detail for analyses. A subset of this inventory system could be developed for spatial datasets used in the various KIP INCA modules.</w:t>
      </w:r>
    </w:p>
    <w:p w14:paraId="104E7B11" w14:textId="77777777" w:rsidR="00382C3A" w:rsidRDefault="00F67522" w:rsidP="00D024E7">
      <w:pPr>
        <w:numPr>
          <w:ilvl w:val="0"/>
          <w:numId w:val="9"/>
        </w:numPr>
        <w:ind w:hanging="360"/>
        <w:contextualSpacing/>
        <w:jc w:val="both"/>
        <w:rPr>
          <w:rFonts w:ascii="Calibri" w:eastAsia="Calibri" w:hAnsi="Calibri" w:cs="Calibri"/>
        </w:rPr>
      </w:pPr>
      <w:r>
        <w:rPr>
          <w:rFonts w:ascii="Calibri" w:eastAsia="Calibri" w:hAnsi="Calibri" w:cs="Calibri"/>
        </w:rPr>
        <w:t xml:space="preserve">EASIN allows users to trace back the data that have been used to obtain a certain outcome. </w:t>
      </w:r>
    </w:p>
    <w:p w14:paraId="2E153C15" w14:textId="77777777" w:rsidR="003609F3" w:rsidRDefault="003609F3" w:rsidP="00D024E7">
      <w:pPr>
        <w:jc w:val="both"/>
      </w:pPr>
    </w:p>
    <w:p w14:paraId="7FAEB1EA" w14:textId="584CB2D7" w:rsidR="003609F3" w:rsidRDefault="003609F3" w:rsidP="00D024E7">
      <w:pPr>
        <w:jc w:val="both"/>
      </w:pPr>
    </w:p>
    <w:p w14:paraId="1175C1DE" w14:textId="77777777" w:rsidR="00634E34" w:rsidRDefault="00634E34" w:rsidP="00D024E7">
      <w:pPr>
        <w:jc w:val="both"/>
      </w:pPr>
    </w:p>
    <w:p w14:paraId="37637FA9" w14:textId="22B5C58E" w:rsidR="00382C3A" w:rsidRDefault="000F72AD" w:rsidP="00D024E7">
      <w:pPr>
        <w:jc w:val="both"/>
      </w:pPr>
      <w:r>
        <w:rPr>
          <w:rFonts w:ascii="Calibri" w:eastAsia="Calibri" w:hAnsi="Calibri" w:cs="Calibri"/>
          <w:b/>
        </w:rPr>
        <w:t>4</w:t>
      </w:r>
      <w:r w:rsidR="00D024E7">
        <w:rPr>
          <w:rFonts w:ascii="Calibri" w:eastAsia="Calibri" w:hAnsi="Calibri" w:cs="Calibri"/>
          <w:b/>
        </w:rPr>
        <w:t xml:space="preserve">. </w:t>
      </w:r>
      <w:r w:rsidR="00634E34">
        <w:rPr>
          <w:rFonts w:ascii="Calibri" w:eastAsia="Calibri" w:hAnsi="Calibri" w:cs="Calibri"/>
          <w:b/>
        </w:rPr>
        <w:t>2017</w:t>
      </w:r>
      <w:r w:rsidR="00F67522">
        <w:rPr>
          <w:rFonts w:ascii="Calibri" w:eastAsia="Calibri" w:hAnsi="Calibri" w:cs="Calibri"/>
          <w:b/>
        </w:rPr>
        <w:t xml:space="preserve"> proposal for the KIP-INCA shared data architecture version 0 (KIP-ISDA-v0)</w:t>
      </w:r>
    </w:p>
    <w:p w14:paraId="7F2544D7" w14:textId="77777777" w:rsidR="00382C3A" w:rsidRDefault="00382C3A" w:rsidP="00D024E7">
      <w:pPr>
        <w:jc w:val="both"/>
      </w:pPr>
    </w:p>
    <w:p w14:paraId="53CEF320" w14:textId="189DAD93" w:rsidR="00382C3A" w:rsidRDefault="00F67522" w:rsidP="00D024E7">
      <w:pPr>
        <w:jc w:val="both"/>
      </w:pPr>
      <w:r>
        <w:rPr>
          <w:rFonts w:ascii="Calibri" w:eastAsia="Calibri" w:hAnsi="Calibri" w:cs="Calibri"/>
        </w:rPr>
        <w:t>The following proposal describes a possible workflow for developing natural capital accounts (extent, condition, services</w:t>
      </w:r>
      <w:r w:rsidRPr="00D32E3F">
        <w:rPr>
          <w:rFonts w:ascii="Calibri" w:eastAsia="Calibri" w:hAnsi="Calibri" w:cs="Calibri"/>
          <w:highlight w:val="green"/>
        </w:rPr>
        <w:t xml:space="preserve">). </w:t>
      </w:r>
      <w:r w:rsidR="00E772C3" w:rsidRPr="00D32E3F">
        <w:rPr>
          <w:rFonts w:ascii="Calibri" w:eastAsia="Calibri" w:hAnsi="Calibri" w:cs="Calibri"/>
          <w:highlight w:val="green"/>
        </w:rPr>
        <w:t xml:space="preserve">This reflects the state of art in February 2017 and some ideas are no longer being pursued, e.g. </w:t>
      </w:r>
      <w:r w:rsidR="006221F3" w:rsidRPr="00D32E3F">
        <w:rPr>
          <w:rFonts w:ascii="Calibri" w:eastAsia="Calibri" w:hAnsi="Calibri" w:cs="Calibri"/>
          <w:highlight w:val="green"/>
        </w:rPr>
        <w:t xml:space="preserve">the use of the DOPA explorer </w:t>
      </w:r>
      <w:r w:rsidR="00E772C3" w:rsidRPr="00D32E3F">
        <w:rPr>
          <w:rFonts w:ascii="Calibri" w:eastAsia="Calibri" w:hAnsi="Calibri" w:cs="Calibri"/>
          <w:highlight w:val="green"/>
        </w:rPr>
        <w:t>for the presentation of results on a KIP INCA landing page.</w:t>
      </w:r>
    </w:p>
    <w:p w14:paraId="4551F8C1" w14:textId="77777777" w:rsidR="00382C3A" w:rsidRDefault="00382C3A" w:rsidP="00D024E7">
      <w:pPr>
        <w:jc w:val="both"/>
      </w:pPr>
    </w:p>
    <w:p w14:paraId="74C0CDB1" w14:textId="404244A7" w:rsidR="00382C3A" w:rsidRDefault="00F67522" w:rsidP="00D024E7">
      <w:pPr>
        <w:jc w:val="both"/>
        <w:rPr>
          <w:rFonts w:ascii="Calibri" w:eastAsia="Calibri" w:hAnsi="Calibri" w:cs="Calibri"/>
        </w:rPr>
      </w:pPr>
      <w:r>
        <w:rPr>
          <w:rFonts w:ascii="Calibri" w:eastAsia="Calibri" w:hAnsi="Calibri" w:cs="Calibri"/>
          <w:b/>
        </w:rPr>
        <w:t>The core of KIP-ISDA-v0 are two catalogues</w:t>
      </w:r>
      <w:r>
        <w:rPr>
          <w:rFonts w:ascii="Calibri" w:eastAsia="Calibri" w:hAnsi="Calibri" w:cs="Calibri"/>
        </w:rPr>
        <w:t>: one for geo-referenced, harmonised data</w:t>
      </w:r>
      <w:r w:rsidR="009E7C49">
        <w:rPr>
          <w:rFonts w:ascii="Calibri" w:eastAsia="Calibri" w:hAnsi="Calibri" w:cs="Calibri"/>
        </w:rPr>
        <w:t>sets</w:t>
      </w:r>
      <w:r>
        <w:rPr>
          <w:rFonts w:ascii="Calibri" w:eastAsia="Calibri" w:hAnsi="Calibri" w:cs="Calibri"/>
        </w:rPr>
        <w:t xml:space="preserve"> and one for models. We suggest to develop such a catalogue based on experiences of JRC and EEA but with a joint KIP-INCA visual identity. The KIP-INCA metadata and meta</w:t>
      </w:r>
      <w:r w:rsidR="00D4271E">
        <w:rPr>
          <w:rFonts w:ascii="Calibri" w:eastAsia="Calibri" w:hAnsi="Calibri" w:cs="Calibri"/>
        </w:rPr>
        <w:t xml:space="preserve"> </w:t>
      </w:r>
      <w:r>
        <w:rPr>
          <w:rFonts w:ascii="Calibri" w:eastAsia="Calibri" w:hAnsi="Calibri" w:cs="Calibri"/>
        </w:rPr>
        <w:t xml:space="preserve">model catalogues can be simple copies of the relevant metadata present in the EEA </w:t>
      </w:r>
      <w:r w:rsidR="00D4271E">
        <w:rPr>
          <w:rFonts w:ascii="Calibri" w:eastAsia="Calibri" w:hAnsi="Calibri" w:cs="Calibri"/>
        </w:rPr>
        <w:t xml:space="preserve">SDI </w:t>
      </w:r>
      <w:r>
        <w:rPr>
          <w:rFonts w:ascii="Calibri" w:eastAsia="Calibri" w:hAnsi="Calibri" w:cs="Calibri"/>
        </w:rPr>
        <w:t xml:space="preserve">and JRC </w:t>
      </w:r>
      <w:r w:rsidR="00D4271E">
        <w:rPr>
          <w:rFonts w:ascii="Calibri" w:eastAsia="Calibri" w:hAnsi="Calibri" w:cs="Calibri"/>
        </w:rPr>
        <w:t xml:space="preserve">meta model </w:t>
      </w:r>
      <w:r>
        <w:rPr>
          <w:rFonts w:ascii="Calibri" w:eastAsia="Calibri" w:hAnsi="Calibri" w:cs="Calibri"/>
        </w:rPr>
        <w:t>catalogues. The two INCA catalogues contain the descriptions of data and models which are necessary to calculate accounts</w:t>
      </w:r>
      <w:r w:rsidR="00C34F17">
        <w:rPr>
          <w:rFonts w:ascii="Calibri" w:eastAsia="Calibri" w:hAnsi="Calibri" w:cs="Calibri"/>
        </w:rPr>
        <w:t xml:space="preserve"> whereas EEA’s SDI physically stores the </w:t>
      </w:r>
      <w:r w:rsidR="009A007C">
        <w:rPr>
          <w:rFonts w:ascii="Calibri" w:eastAsia="Calibri" w:hAnsi="Calibri" w:cs="Calibri"/>
        </w:rPr>
        <w:t>harmonized spatial data</w:t>
      </w:r>
      <w:r w:rsidR="00C34F17">
        <w:rPr>
          <w:rFonts w:ascii="Calibri" w:eastAsia="Calibri" w:hAnsi="Calibri" w:cs="Calibri"/>
        </w:rPr>
        <w:t>sets.</w:t>
      </w:r>
      <w:r>
        <w:rPr>
          <w:rFonts w:ascii="Calibri" w:eastAsia="Calibri" w:hAnsi="Calibri" w:cs="Calibri"/>
        </w:rPr>
        <w:t xml:space="preserve"> </w:t>
      </w:r>
      <w:r w:rsidR="009E7C49">
        <w:rPr>
          <w:rFonts w:ascii="Calibri" w:eastAsia="Calibri" w:hAnsi="Calibri" w:cs="Calibri"/>
        </w:rPr>
        <w:t>EEA’s semantic inventory harvests its SD</w:t>
      </w:r>
      <w:r w:rsidR="00D4271E">
        <w:rPr>
          <w:rFonts w:ascii="Calibri" w:eastAsia="Calibri" w:hAnsi="Calibri" w:cs="Calibri"/>
        </w:rPr>
        <w:t>I</w:t>
      </w:r>
      <w:r w:rsidR="009E7C49">
        <w:rPr>
          <w:rFonts w:ascii="Calibri" w:eastAsia="Calibri" w:hAnsi="Calibri" w:cs="Calibri"/>
        </w:rPr>
        <w:t xml:space="preserve"> catalogues and enables the fast identification of those datasets which may be used in the same accounting calculations. </w:t>
      </w:r>
      <w:r>
        <w:rPr>
          <w:rFonts w:ascii="Calibri" w:eastAsia="Calibri" w:hAnsi="Calibri" w:cs="Calibri"/>
        </w:rPr>
        <w:t>Accounts are calculated by an operator on a local drive</w:t>
      </w:r>
      <w:r w:rsidR="00C34F17">
        <w:rPr>
          <w:rFonts w:ascii="Calibri" w:eastAsia="Calibri" w:hAnsi="Calibri" w:cs="Calibri"/>
        </w:rPr>
        <w:t xml:space="preserve"> accessing a spatial data infrastructure</w:t>
      </w:r>
      <w:r w:rsidR="009E16CA">
        <w:rPr>
          <w:rFonts w:ascii="Calibri" w:eastAsia="Calibri" w:hAnsi="Calibri" w:cs="Calibri"/>
        </w:rPr>
        <w:t xml:space="preserve"> (for example EEA’s SDI)</w:t>
      </w:r>
      <w:r w:rsidR="009E7C49">
        <w:rPr>
          <w:rFonts w:ascii="Calibri" w:eastAsia="Calibri" w:hAnsi="Calibri" w:cs="Calibri"/>
        </w:rPr>
        <w:t xml:space="preserve"> through the semantic inventory</w:t>
      </w:r>
      <w:r w:rsidR="009E16CA">
        <w:rPr>
          <w:rFonts w:ascii="Calibri" w:eastAsia="Calibri" w:hAnsi="Calibri" w:cs="Calibri"/>
        </w:rPr>
        <w:t xml:space="preserve"> (such as that of the </w:t>
      </w:r>
      <w:r w:rsidR="009E16CA">
        <w:rPr>
          <w:rFonts w:ascii="Calibri" w:eastAsia="Calibri" w:hAnsi="Calibri" w:cs="Calibri"/>
        </w:rPr>
        <w:lastRenderedPageBreak/>
        <w:t>EEA IDP)</w:t>
      </w:r>
      <w:r w:rsidR="00C34F17">
        <w:rPr>
          <w:rFonts w:ascii="Calibri" w:eastAsia="Calibri" w:hAnsi="Calibri" w:cs="Calibri"/>
        </w:rPr>
        <w:t xml:space="preserve">, </w:t>
      </w:r>
      <w:r>
        <w:rPr>
          <w:rFonts w:ascii="Calibri" w:eastAsia="Calibri" w:hAnsi="Calibri" w:cs="Calibri"/>
        </w:rPr>
        <w:t xml:space="preserve">and </w:t>
      </w:r>
      <w:r w:rsidR="00D4271E">
        <w:rPr>
          <w:rFonts w:ascii="Calibri" w:eastAsia="Calibri" w:hAnsi="Calibri" w:cs="Calibri"/>
        </w:rPr>
        <w:t xml:space="preserve">final </w:t>
      </w:r>
      <w:r>
        <w:rPr>
          <w:rFonts w:ascii="Calibri" w:eastAsia="Calibri" w:hAnsi="Calibri" w:cs="Calibri"/>
        </w:rPr>
        <w:t xml:space="preserve">results are uploaded on an INCA landing page. </w:t>
      </w:r>
      <w:r w:rsidR="00FC1BA4">
        <w:rPr>
          <w:rFonts w:ascii="Calibri" w:eastAsia="Calibri" w:hAnsi="Calibri" w:cs="Calibri"/>
        </w:rPr>
        <w:t xml:space="preserve">Some IT development is expected </w:t>
      </w:r>
      <w:r w:rsidR="00D4271E">
        <w:rPr>
          <w:rFonts w:ascii="Calibri" w:eastAsia="Calibri" w:hAnsi="Calibri" w:cs="Calibri"/>
        </w:rPr>
        <w:t xml:space="preserve">necessary </w:t>
      </w:r>
      <w:r w:rsidR="00FC1BA4">
        <w:rPr>
          <w:rFonts w:ascii="Calibri" w:eastAsia="Calibri" w:hAnsi="Calibri" w:cs="Calibri"/>
        </w:rPr>
        <w:t xml:space="preserve">for </w:t>
      </w:r>
      <w:r w:rsidR="00D4271E">
        <w:rPr>
          <w:rFonts w:ascii="Calibri" w:eastAsia="Calibri" w:hAnsi="Calibri" w:cs="Calibri"/>
        </w:rPr>
        <w:t xml:space="preserve">the presentation of results on </w:t>
      </w:r>
      <w:r w:rsidR="00FC1BA4">
        <w:rPr>
          <w:rFonts w:ascii="Calibri" w:eastAsia="Calibri" w:hAnsi="Calibri" w:cs="Calibri"/>
        </w:rPr>
        <w:t>a KIP INCA landing page</w:t>
      </w:r>
      <w:r w:rsidR="00D4271E">
        <w:rPr>
          <w:rFonts w:ascii="Calibri" w:eastAsia="Calibri" w:hAnsi="Calibri" w:cs="Calibri"/>
        </w:rPr>
        <w:t>,</w:t>
      </w:r>
      <w:r w:rsidR="00FC1BA4">
        <w:rPr>
          <w:rFonts w:ascii="Calibri" w:eastAsia="Calibri" w:hAnsi="Calibri" w:cs="Calibri"/>
        </w:rPr>
        <w:t xml:space="preserve"> </w:t>
      </w:r>
      <w:r w:rsidR="00D4271E">
        <w:rPr>
          <w:rFonts w:ascii="Calibri" w:eastAsia="Calibri" w:hAnsi="Calibri" w:cs="Calibri"/>
        </w:rPr>
        <w:t xml:space="preserve">a </w:t>
      </w:r>
      <w:r w:rsidR="00634E34">
        <w:rPr>
          <w:rFonts w:ascii="Calibri" w:eastAsia="Calibri" w:hAnsi="Calibri" w:cs="Calibri"/>
        </w:rPr>
        <w:t>possible</w:t>
      </w:r>
      <w:r w:rsidR="00FC1BA4">
        <w:rPr>
          <w:rFonts w:ascii="Calibri" w:eastAsia="Calibri" w:hAnsi="Calibri" w:cs="Calibri"/>
        </w:rPr>
        <w:t xml:space="preserve"> candidate </w:t>
      </w:r>
      <w:r w:rsidR="00D4271E">
        <w:rPr>
          <w:rFonts w:ascii="Calibri" w:eastAsia="Calibri" w:hAnsi="Calibri" w:cs="Calibri"/>
        </w:rPr>
        <w:t xml:space="preserve">tool for that purpose </w:t>
      </w:r>
      <w:r w:rsidR="00FC1BA4">
        <w:rPr>
          <w:rFonts w:ascii="Calibri" w:eastAsia="Calibri" w:hAnsi="Calibri" w:cs="Calibri"/>
        </w:rPr>
        <w:t xml:space="preserve">being JRC’s DOPA explorer. </w:t>
      </w:r>
    </w:p>
    <w:p w14:paraId="49508D17" w14:textId="2B076014" w:rsidR="00634E34" w:rsidRDefault="00634E34" w:rsidP="00D024E7">
      <w:pPr>
        <w:jc w:val="both"/>
        <w:rPr>
          <w:rFonts w:ascii="Calibri" w:eastAsia="Calibri" w:hAnsi="Calibri" w:cs="Calibri"/>
        </w:rPr>
      </w:pPr>
    </w:p>
    <w:p w14:paraId="54FDA639" w14:textId="41F190AB" w:rsidR="00634E34" w:rsidRDefault="00634E34" w:rsidP="00D024E7">
      <w:pPr>
        <w:jc w:val="both"/>
        <w:rPr>
          <w:rFonts w:ascii="Calibri" w:eastAsia="Calibri" w:hAnsi="Calibri" w:cs="Calibri"/>
        </w:rPr>
      </w:pPr>
      <w:r>
        <w:rPr>
          <w:rFonts w:ascii="Calibri" w:eastAsia="Calibri" w:hAnsi="Calibri" w:cs="Calibri"/>
        </w:rPr>
        <w:t xml:space="preserve">The figure below shows the diagram developed in early 2017 for reflecting on developing </w:t>
      </w:r>
      <w:r w:rsidR="003D3C71">
        <w:rPr>
          <w:rFonts w:ascii="Calibri" w:eastAsia="Calibri" w:hAnsi="Calibri" w:cs="Calibri"/>
        </w:rPr>
        <w:t>a shared ‘KIP INCA data architecture’.</w:t>
      </w:r>
    </w:p>
    <w:p w14:paraId="734A6021" w14:textId="66EB7D0C" w:rsidR="00634E34" w:rsidRDefault="00634E34" w:rsidP="00D024E7">
      <w:pPr>
        <w:jc w:val="both"/>
        <w:rPr>
          <w:rFonts w:ascii="Calibri" w:eastAsia="Calibri" w:hAnsi="Calibri" w:cs="Calibri"/>
        </w:rPr>
      </w:pPr>
    </w:p>
    <w:p w14:paraId="73291231" w14:textId="7A9164ED" w:rsidR="00634E34" w:rsidRDefault="00634E34" w:rsidP="00D024E7">
      <w:pPr>
        <w:jc w:val="both"/>
      </w:pPr>
      <w:r w:rsidRPr="00913154">
        <w:rPr>
          <w:noProof/>
        </w:rPr>
        <w:drawing>
          <wp:inline distT="0" distB="0" distL="0" distR="0" wp14:anchorId="36D9DEF8" wp14:editId="5F4BA82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7142590B" w14:textId="77777777" w:rsidR="00634E34" w:rsidRPr="003609F3" w:rsidRDefault="00634E34" w:rsidP="00634E34">
      <w:pPr>
        <w:jc w:val="both"/>
        <w:rPr>
          <w:i/>
          <w:sz w:val="20"/>
          <w:szCs w:val="20"/>
        </w:rPr>
      </w:pPr>
      <w:r w:rsidRPr="003609F3">
        <w:rPr>
          <w:i/>
          <w:sz w:val="20"/>
          <w:szCs w:val="20"/>
          <w:u w:val="single"/>
        </w:rPr>
        <w:t>Note:</w:t>
      </w:r>
      <w:r w:rsidRPr="003609F3">
        <w:rPr>
          <w:i/>
          <w:sz w:val="20"/>
          <w:szCs w:val="20"/>
        </w:rPr>
        <w:t xml:space="preserve"> The figure above shows </w:t>
      </w:r>
      <w:r>
        <w:rPr>
          <w:i/>
          <w:sz w:val="20"/>
          <w:szCs w:val="20"/>
        </w:rPr>
        <w:t xml:space="preserve">February 2017 </w:t>
      </w:r>
      <w:r w:rsidRPr="003609F3">
        <w:rPr>
          <w:i/>
          <w:sz w:val="20"/>
          <w:szCs w:val="20"/>
        </w:rPr>
        <w:t xml:space="preserve">proposal for the KIP INCA data architecture. The beige shading indicates the components that we consider the ‘data architecture’ proper. The components outside it can be considered part of a wider system architecture. </w:t>
      </w:r>
      <w:r>
        <w:rPr>
          <w:i/>
          <w:sz w:val="20"/>
          <w:szCs w:val="20"/>
        </w:rPr>
        <w:t>EEA outputs under MAES ecosystem assessment and accounting related products are already being integrated in the EEA-SDI.</w:t>
      </w:r>
    </w:p>
    <w:p w14:paraId="195EE579" w14:textId="77777777" w:rsidR="00634E34" w:rsidRPr="003609F3" w:rsidRDefault="00634E34" w:rsidP="00634E34">
      <w:pPr>
        <w:jc w:val="both"/>
        <w:rPr>
          <w:i/>
          <w:sz w:val="20"/>
          <w:szCs w:val="20"/>
        </w:rPr>
      </w:pPr>
      <w:r>
        <w:rPr>
          <w:i/>
          <w:sz w:val="20"/>
          <w:szCs w:val="20"/>
        </w:rPr>
        <w:t>Several</w:t>
      </w:r>
      <w:r w:rsidRPr="003609F3">
        <w:rPr>
          <w:i/>
          <w:sz w:val="20"/>
          <w:szCs w:val="20"/>
        </w:rPr>
        <w:t xml:space="preserve"> issues still need to be discussed, e.g. how the metadata catalogues for JRC and Eurostat fit into the KIP INCA data architecture. </w:t>
      </w:r>
    </w:p>
    <w:p w14:paraId="239FE761" w14:textId="77777777" w:rsidR="00D024E7" w:rsidRDefault="00D024E7" w:rsidP="00D024E7">
      <w:pPr>
        <w:jc w:val="both"/>
        <w:rPr>
          <w:rFonts w:ascii="Calibri" w:eastAsia="Calibri" w:hAnsi="Calibri" w:cs="Calibri"/>
        </w:rPr>
      </w:pPr>
    </w:p>
    <w:p w14:paraId="487C3341" w14:textId="23179CD1" w:rsidR="00382C3A" w:rsidRDefault="00F67522" w:rsidP="00D024E7">
      <w:pPr>
        <w:jc w:val="both"/>
      </w:pPr>
      <w:r>
        <w:rPr>
          <w:rFonts w:ascii="Calibri" w:eastAsia="Calibri" w:hAnsi="Calibri" w:cs="Calibri"/>
        </w:rPr>
        <w:t>The following work streams are recognised (see the numbers in circles):</w:t>
      </w:r>
    </w:p>
    <w:p w14:paraId="5FC7153C" w14:textId="77777777" w:rsidR="00D024E7" w:rsidRDefault="00D024E7" w:rsidP="00D024E7">
      <w:pPr>
        <w:jc w:val="both"/>
        <w:rPr>
          <w:rFonts w:ascii="Calibri" w:eastAsia="Calibri" w:hAnsi="Calibri" w:cs="Calibri"/>
        </w:rPr>
      </w:pPr>
    </w:p>
    <w:p w14:paraId="0B5E3967" w14:textId="366212FE" w:rsidR="00382C3A" w:rsidRDefault="002125CA" w:rsidP="00D024E7">
      <w:pPr>
        <w:jc w:val="both"/>
      </w:pPr>
      <w:r>
        <w:rPr>
          <w:rFonts w:ascii="Calibri" w:eastAsia="Calibri" w:hAnsi="Calibri" w:cs="Calibri"/>
        </w:rPr>
        <w:t xml:space="preserve">(0) - </w:t>
      </w:r>
      <w:r w:rsidR="00F67522">
        <w:rPr>
          <w:rFonts w:ascii="Calibri" w:eastAsia="Calibri" w:hAnsi="Calibri" w:cs="Calibri"/>
        </w:rPr>
        <w:t xml:space="preserve">(1): </w:t>
      </w:r>
      <w:r w:rsidR="00857E89" w:rsidRPr="003609F3">
        <w:rPr>
          <w:rFonts w:ascii="Calibri" w:eastAsia="Calibri" w:hAnsi="Calibri" w:cs="Calibri"/>
          <w:b/>
          <w:i/>
        </w:rPr>
        <w:t>Geo-referencing and harmonisation of spatial data sets:</w:t>
      </w:r>
      <w:r w:rsidR="00857E89">
        <w:rPr>
          <w:rFonts w:ascii="Calibri" w:eastAsia="Calibri" w:hAnsi="Calibri" w:cs="Calibri"/>
        </w:rPr>
        <w:t xml:space="preserve"> </w:t>
      </w:r>
      <w:r w:rsidR="00813108">
        <w:rPr>
          <w:rFonts w:ascii="Calibri" w:eastAsia="Calibri" w:hAnsi="Calibri" w:cs="Calibri"/>
        </w:rPr>
        <w:t xml:space="preserve">In order to integrate geospatial data </w:t>
      </w:r>
      <w:r w:rsidR="00643646">
        <w:rPr>
          <w:rFonts w:ascii="Calibri" w:eastAsia="Calibri" w:hAnsi="Calibri" w:cs="Calibri"/>
        </w:rPr>
        <w:t xml:space="preserve">for accounting </w:t>
      </w:r>
      <w:r w:rsidR="00813108">
        <w:rPr>
          <w:rFonts w:ascii="Calibri" w:eastAsia="Calibri" w:hAnsi="Calibri" w:cs="Calibri"/>
        </w:rPr>
        <w:t xml:space="preserve">spatial harmonization work is necessary. This is already ensured in the spatial dataset registered in EEA’s SDI with a common geographic reference system as well as a harmonized and controlled spatial geometry and spatial extent. </w:t>
      </w:r>
      <w:r w:rsidR="00643646">
        <w:rPr>
          <w:rFonts w:ascii="Calibri" w:eastAsia="Calibri" w:hAnsi="Calibri" w:cs="Calibri"/>
        </w:rPr>
        <w:t xml:space="preserve">If the goal is a shared KIP INCA data pool where all partners can use all datasets then </w:t>
      </w:r>
      <w:r>
        <w:rPr>
          <w:rFonts w:ascii="Calibri" w:eastAsia="Calibri" w:hAnsi="Calibri" w:cs="Calibri"/>
        </w:rPr>
        <w:t>ideal</w:t>
      </w:r>
      <w:r w:rsidR="00643646">
        <w:rPr>
          <w:rFonts w:ascii="Calibri" w:eastAsia="Calibri" w:hAnsi="Calibri" w:cs="Calibri"/>
        </w:rPr>
        <w:t>ly JRC</w:t>
      </w:r>
      <w:r w:rsidR="00D43370">
        <w:rPr>
          <w:rFonts w:ascii="Calibri" w:eastAsia="Calibri" w:hAnsi="Calibri" w:cs="Calibri"/>
        </w:rPr>
        <w:t>’</w:t>
      </w:r>
      <w:r w:rsidR="00643646">
        <w:rPr>
          <w:rFonts w:ascii="Calibri" w:eastAsia="Calibri" w:hAnsi="Calibri" w:cs="Calibri"/>
        </w:rPr>
        <w:t>s</w:t>
      </w:r>
      <w:r w:rsidR="00F41320">
        <w:rPr>
          <w:rFonts w:ascii="Calibri" w:eastAsia="Calibri" w:hAnsi="Calibri" w:cs="Calibri"/>
        </w:rPr>
        <w:t>, ESTAT</w:t>
      </w:r>
      <w:r w:rsidR="00D43370">
        <w:rPr>
          <w:rFonts w:ascii="Calibri" w:eastAsia="Calibri" w:hAnsi="Calibri" w:cs="Calibri"/>
        </w:rPr>
        <w:t>’</w:t>
      </w:r>
      <w:r w:rsidR="00F41320">
        <w:rPr>
          <w:rFonts w:ascii="Calibri" w:eastAsia="Calibri" w:hAnsi="Calibri" w:cs="Calibri"/>
        </w:rPr>
        <w:t xml:space="preserve">s </w:t>
      </w:r>
      <w:r w:rsidR="00643646">
        <w:rPr>
          <w:rFonts w:ascii="Calibri" w:eastAsia="Calibri" w:hAnsi="Calibri" w:cs="Calibri"/>
        </w:rPr>
        <w:t xml:space="preserve"> and EEA’s datasets for KIP INCA should be harmonized and stored in the same spatial data infrastructure, optimally in EEA’s SDI.</w:t>
      </w:r>
      <w:r w:rsidR="00C606BE">
        <w:rPr>
          <w:rFonts w:ascii="Calibri" w:eastAsia="Calibri" w:hAnsi="Calibri" w:cs="Calibri"/>
        </w:rPr>
        <w:t xml:space="preserve"> Only if all KIP INCA datasets are stored in the same spatial data infrastructure can </w:t>
      </w:r>
      <w:r w:rsidR="00F41320">
        <w:rPr>
          <w:rFonts w:ascii="Calibri" w:eastAsia="Calibri" w:hAnsi="Calibri" w:cs="Calibri"/>
        </w:rPr>
        <w:t xml:space="preserve">harmonization, </w:t>
      </w:r>
      <w:r w:rsidR="00C606BE">
        <w:rPr>
          <w:rFonts w:ascii="Calibri" w:eastAsia="Calibri" w:hAnsi="Calibri" w:cs="Calibri"/>
        </w:rPr>
        <w:t xml:space="preserve">maintenance and update of the datasets be ensured. </w:t>
      </w:r>
      <w:r w:rsidR="00813108">
        <w:rPr>
          <w:rFonts w:ascii="Calibri" w:eastAsia="Calibri" w:hAnsi="Calibri" w:cs="Calibri"/>
        </w:rPr>
        <w:t xml:space="preserve">The metadata referring to the spatial datasets which are relevant for INCA are flagged in the semantic inventory module of the IDP, which harvests EEA’s SDI. </w:t>
      </w:r>
      <w:r w:rsidR="005B5D61">
        <w:rPr>
          <w:rFonts w:ascii="Calibri" w:eastAsia="Calibri" w:hAnsi="Calibri" w:cs="Calibri"/>
        </w:rPr>
        <w:t xml:space="preserve">Overall the Integrated Data Platform coordinates the smooth population of the catalogue and of the semantic inventory. </w:t>
      </w:r>
      <w:r w:rsidR="00F41320">
        <w:rPr>
          <w:rFonts w:ascii="Calibri" w:eastAsia="Calibri" w:hAnsi="Calibri" w:cs="Calibri"/>
        </w:rPr>
        <w:t xml:space="preserve">The harmonization, quality assurance, SDI registration and inventory of spatial datasets will not require IT development but will require additional human resources. </w:t>
      </w:r>
    </w:p>
    <w:p w14:paraId="38CCEB13" w14:textId="77777777" w:rsidR="00B15233" w:rsidRDefault="00B15233" w:rsidP="00D024E7">
      <w:pPr>
        <w:jc w:val="both"/>
        <w:rPr>
          <w:rFonts w:ascii="Calibri" w:eastAsia="Calibri" w:hAnsi="Calibri" w:cs="Calibri"/>
        </w:rPr>
      </w:pPr>
    </w:p>
    <w:p w14:paraId="28631CC2" w14:textId="584B7AD1" w:rsidR="00382C3A" w:rsidRDefault="00F67522" w:rsidP="00D024E7">
      <w:pPr>
        <w:jc w:val="both"/>
        <w:rPr>
          <w:rFonts w:ascii="Calibri" w:eastAsia="Calibri" w:hAnsi="Calibri" w:cs="Calibri"/>
        </w:rPr>
      </w:pPr>
      <w:r>
        <w:rPr>
          <w:rFonts w:ascii="Calibri" w:eastAsia="Calibri" w:hAnsi="Calibri" w:cs="Calibri"/>
        </w:rPr>
        <w:lastRenderedPageBreak/>
        <w:t xml:space="preserve">(2): </w:t>
      </w:r>
      <w:r w:rsidR="00857E89" w:rsidRPr="003609F3">
        <w:rPr>
          <w:rFonts w:ascii="Calibri" w:eastAsia="Calibri" w:hAnsi="Calibri" w:cs="Calibri"/>
          <w:b/>
          <w:i/>
        </w:rPr>
        <w:t>Data sharing or integration:</w:t>
      </w:r>
      <w:r w:rsidR="00857E89">
        <w:rPr>
          <w:rFonts w:ascii="Calibri" w:eastAsia="Calibri" w:hAnsi="Calibri" w:cs="Calibri"/>
        </w:rPr>
        <w:t xml:space="preserve"> </w:t>
      </w:r>
      <w:r>
        <w:rPr>
          <w:rFonts w:ascii="Calibri" w:eastAsia="Calibri" w:hAnsi="Calibri" w:cs="Calibri"/>
        </w:rPr>
        <w:t>JRC data sets for INCA are stored on a JRC data server and can be consulted via the JRC data catalogue. The metadata referring to the datasets which are relevant for INCA are flagged and these metadata are collected on the shared INCA metadata catalogue.</w:t>
      </w:r>
      <w:r w:rsidR="00857E89">
        <w:rPr>
          <w:rFonts w:ascii="Calibri" w:eastAsia="Calibri" w:hAnsi="Calibri" w:cs="Calibri"/>
        </w:rPr>
        <w:t xml:space="preserve"> </w:t>
      </w:r>
      <w:r w:rsidR="00857E89" w:rsidRPr="003609F3">
        <w:rPr>
          <w:rFonts w:ascii="Calibri" w:eastAsia="Calibri" w:hAnsi="Calibri" w:cs="Calibri"/>
          <w:i/>
        </w:rPr>
        <w:t xml:space="preserve">Please note that this </w:t>
      </w:r>
      <w:r w:rsidR="00D43370">
        <w:rPr>
          <w:rFonts w:ascii="Calibri" w:eastAsia="Calibri" w:hAnsi="Calibri" w:cs="Calibri"/>
          <w:i/>
        </w:rPr>
        <w:t>description</w:t>
      </w:r>
      <w:r w:rsidR="00857E89" w:rsidRPr="003609F3">
        <w:rPr>
          <w:rFonts w:ascii="Calibri" w:eastAsia="Calibri" w:hAnsi="Calibri" w:cs="Calibri"/>
          <w:i/>
        </w:rPr>
        <w:t xml:space="preserve"> refers to a situation where data are retained in local systems and thus do not become freely or easily accessible to all partners.</w:t>
      </w:r>
      <w:r>
        <w:rPr>
          <w:rFonts w:ascii="Calibri" w:eastAsia="Calibri" w:hAnsi="Calibri" w:cs="Calibri"/>
        </w:rPr>
        <w:t xml:space="preserve"> </w:t>
      </w:r>
    </w:p>
    <w:p w14:paraId="7D5304AE" w14:textId="77777777" w:rsidR="00201A5B" w:rsidRDefault="00201A5B" w:rsidP="00D024E7">
      <w:pPr>
        <w:jc w:val="both"/>
      </w:pPr>
    </w:p>
    <w:p w14:paraId="7265121D" w14:textId="6C575971" w:rsidR="00D024E7" w:rsidRDefault="00F67522" w:rsidP="00D024E7">
      <w:pPr>
        <w:jc w:val="both"/>
        <w:rPr>
          <w:rFonts w:ascii="Calibri" w:eastAsia="Calibri" w:hAnsi="Calibri" w:cs="Calibri"/>
          <w:i/>
        </w:rPr>
      </w:pPr>
      <w:r>
        <w:rPr>
          <w:rFonts w:ascii="Calibri" w:eastAsia="Calibri" w:hAnsi="Calibri" w:cs="Calibri"/>
        </w:rPr>
        <w:t xml:space="preserve">(3): </w:t>
      </w:r>
      <w:r w:rsidR="00857E89" w:rsidRPr="00A3143B">
        <w:rPr>
          <w:rFonts w:ascii="Calibri" w:eastAsia="Calibri" w:hAnsi="Calibri" w:cs="Calibri"/>
          <w:b/>
          <w:i/>
        </w:rPr>
        <w:t>Data sharing or integration:</w:t>
      </w:r>
      <w:r w:rsidR="00857E89">
        <w:rPr>
          <w:rFonts w:ascii="Calibri" w:eastAsia="Calibri" w:hAnsi="Calibri" w:cs="Calibri"/>
        </w:rPr>
        <w:t xml:space="preserve"> </w:t>
      </w:r>
      <w:r>
        <w:rPr>
          <w:rFonts w:ascii="Calibri" w:eastAsia="Calibri" w:hAnsi="Calibri" w:cs="Calibri"/>
        </w:rPr>
        <w:t>ESTAT data sets for INCA are stored on an ESTAT data server and can be consulted via the ESTAT data catalogue. The metadata referring to the datasets which are relevant for INCA are flagged and these metadata are collected on the shared INCA metadata catalogue</w:t>
      </w:r>
      <w:r w:rsidR="00857E89">
        <w:rPr>
          <w:rFonts w:ascii="Calibri" w:eastAsia="Calibri" w:hAnsi="Calibri" w:cs="Calibri"/>
        </w:rPr>
        <w:t xml:space="preserve">. </w:t>
      </w:r>
      <w:r w:rsidR="00857E89" w:rsidRPr="00A3143B">
        <w:rPr>
          <w:rFonts w:ascii="Calibri" w:eastAsia="Calibri" w:hAnsi="Calibri" w:cs="Calibri"/>
          <w:i/>
        </w:rPr>
        <w:t>Please note that this</w:t>
      </w:r>
      <w:r w:rsidR="00D43370">
        <w:rPr>
          <w:rFonts w:ascii="Calibri" w:eastAsia="Calibri" w:hAnsi="Calibri" w:cs="Calibri"/>
          <w:i/>
        </w:rPr>
        <w:t xml:space="preserve"> description</w:t>
      </w:r>
      <w:r w:rsidR="00857E89" w:rsidRPr="00A3143B">
        <w:rPr>
          <w:rFonts w:ascii="Calibri" w:eastAsia="Calibri" w:hAnsi="Calibri" w:cs="Calibri"/>
          <w:i/>
        </w:rPr>
        <w:t xml:space="preserve"> refers to a situation where data are retained in local systems and thus do not become freely or easily accessible to all partners.</w:t>
      </w:r>
    </w:p>
    <w:p w14:paraId="6E0F3C02" w14:textId="77777777" w:rsidR="003D3C71" w:rsidRDefault="003D3C71" w:rsidP="00D024E7">
      <w:pPr>
        <w:jc w:val="both"/>
        <w:rPr>
          <w:rFonts w:ascii="Calibri" w:eastAsia="Calibri" w:hAnsi="Calibri" w:cs="Calibri"/>
        </w:rPr>
      </w:pPr>
    </w:p>
    <w:p w14:paraId="2A74E822" w14:textId="4E30B068" w:rsidR="00382C3A" w:rsidRDefault="00F67522" w:rsidP="00D024E7">
      <w:pPr>
        <w:jc w:val="both"/>
      </w:pPr>
      <w:r>
        <w:rPr>
          <w:rFonts w:ascii="Calibri" w:eastAsia="Calibri" w:hAnsi="Calibri" w:cs="Calibri"/>
        </w:rPr>
        <w:t>(</w:t>
      </w:r>
      <w:r w:rsidR="002125CA">
        <w:rPr>
          <w:rFonts w:ascii="Calibri" w:eastAsia="Calibri" w:hAnsi="Calibri" w:cs="Calibri"/>
        </w:rPr>
        <w:t>4</w:t>
      </w:r>
      <w:r>
        <w:rPr>
          <w:rFonts w:ascii="Calibri" w:eastAsia="Calibri" w:hAnsi="Calibri" w:cs="Calibri"/>
        </w:rPr>
        <w:t xml:space="preserve">): </w:t>
      </w:r>
      <w:r w:rsidR="00857E89" w:rsidRPr="003609F3">
        <w:rPr>
          <w:rFonts w:ascii="Calibri" w:eastAsia="Calibri" w:hAnsi="Calibri" w:cs="Calibri"/>
          <w:b/>
          <w:i/>
        </w:rPr>
        <w:t>Harvesting and integration of data sets from non-EU an</w:t>
      </w:r>
      <w:r w:rsidR="00857E89">
        <w:rPr>
          <w:rFonts w:ascii="Calibri" w:eastAsia="Calibri" w:hAnsi="Calibri" w:cs="Calibri"/>
          <w:b/>
          <w:i/>
        </w:rPr>
        <w:t>d</w:t>
      </w:r>
      <w:r w:rsidR="00857E89" w:rsidRPr="003609F3">
        <w:rPr>
          <w:rFonts w:ascii="Calibri" w:eastAsia="Calibri" w:hAnsi="Calibri" w:cs="Calibri"/>
          <w:b/>
          <w:i/>
        </w:rPr>
        <w:t>/or not standardised sources:</w:t>
      </w:r>
      <w:r w:rsidR="00857E89">
        <w:rPr>
          <w:rFonts w:ascii="Calibri" w:eastAsia="Calibri" w:hAnsi="Calibri" w:cs="Calibri"/>
        </w:rPr>
        <w:t xml:space="preserve">  </w:t>
      </w:r>
      <w:r>
        <w:rPr>
          <w:rFonts w:ascii="Calibri" w:eastAsia="Calibri" w:hAnsi="Calibri" w:cs="Calibri"/>
        </w:rPr>
        <w:t>INCA will rely on other datasets as well (e.g., species distribution data from IUCN, data from UNEP or FAO,</w:t>
      </w:r>
      <w:r w:rsidR="00B15233">
        <w:rPr>
          <w:rFonts w:ascii="Calibri" w:eastAsia="Calibri" w:hAnsi="Calibri" w:cs="Calibri"/>
        </w:rPr>
        <w:t xml:space="preserve"> </w:t>
      </w:r>
      <w:r>
        <w:rPr>
          <w:rFonts w:ascii="Calibri" w:eastAsia="Calibri" w:hAnsi="Calibri" w:cs="Calibri"/>
        </w:rPr>
        <w:t>alternative land cover land use data sets; earth observation data managed by global or European data providers, ...). DOPA</w:t>
      </w:r>
      <w:r w:rsidR="00F518AD">
        <w:rPr>
          <w:rFonts w:ascii="Calibri" w:eastAsia="Calibri" w:hAnsi="Calibri" w:cs="Calibri"/>
        </w:rPr>
        <w:t xml:space="preserve">’s </w:t>
      </w:r>
      <w:r>
        <w:rPr>
          <w:rFonts w:ascii="Calibri" w:eastAsia="Calibri" w:hAnsi="Calibri" w:cs="Calibri"/>
        </w:rPr>
        <w:t xml:space="preserve">technology could be used for </w:t>
      </w:r>
      <w:r w:rsidR="00F518AD">
        <w:rPr>
          <w:rFonts w:ascii="Calibri" w:eastAsia="Calibri" w:hAnsi="Calibri" w:cs="Calibri"/>
        </w:rPr>
        <w:t xml:space="preserve">processing </w:t>
      </w:r>
      <w:r>
        <w:rPr>
          <w:rFonts w:ascii="Calibri" w:eastAsia="Calibri" w:hAnsi="Calibri" w:cs="Calibri"/>
        </w:rPr>
        <w:t>the data</w:t>
      </w:r>
      <w:r w:rsidR="00F518AD">
        <w:rPr>
          <w:rFonts w:ascii="Calibri" w:eastAsia="Calibri" w:hAnsi="Calibri" w:cs="Calibri"/>
        </w:rPr>
        <w:t>sets</w:t>
      </w:r>
      <w:r>
        <w:rPr>
          <w:rFonts w:ascii="Calibri" w:eastAsia="Calibri" w:hAnsi="Calibri" w:cs="Calibri"/>
        </w:rPr>
        <w:t xml:space="preserve"> but </w:t>
      </w:r>
      <w:r w:rsidR="006769BD">
        <w:rPr>
          <w:rFonts w:ascii="Calibri" w:eastAsia="Calibri" w:hAnsi="Calibri" w:cs="Calibri"/>
        </w:rPr>
        <w:t xml:space="preserve">their harmonization, </w:t>
      </w:r>
      <w:r w:rsidR="00F518AD">
        <w:rPr>
          <w:rFonts w:ascii="Calibri" w:eastAsia="Calibri" w:hAnsi="Calibri" w:cs="Calibri"/>
        </w:rPr>
        <w:t>quality control</w:t>
      </w:r>
      <w:r w:rsidR="006769BD">
        <w:rPr>
          <w:rFonts w:ascii="Calibri" w:eastAsia="Calibri" w:hAnsi="Calibri" w:cs="Calibri"/>
        </w:rPr>
        <w:t>, maintenance and updates</w:t>
      </w:r>
      <w:r w:rsidR="00F518AD">
        <w:rPr>
          <w:rFonts w:ascii="Calibri" w:eastAsia="Calibri" w:hAnsi="Calibri" w:cs="Calibri"/>
        </w:rPr>
        <w:t xml:space="preserve"> </w:t>
      </w:r>
      <w:r w:rsidR="006769BD">
        <w:rPr>
          <w:rFonts w:ascii="Calibri" w:eastAsia="Calibri" w:hAnsi="Calibri" w:cs="Calibri"/>
        </w:rPr>
        <w:t xml:space="preserve">are </w:t>
      </w:r>
      <w:r w:rsidR="00F518AD">
        <w:rPr>
          <w:rFonts w:ascii="Calibri" w:eastAsia="Calibri" w:hAnsi="Calibri" w:cs="Calibri"/>
        </w:rPr>
        <w:t>not ensured</w:t>
      </w:r>
      <w:r w:rsidR="00857E89">
        <w:rPr>
          <w:rFonts w:ascii="Calibri" w:eastAsia="Calibri" w:hAnsi="Calibri" w:cs="Calibri"/>
        </w:rPr>
        <w:t>.</w:t>
      </w:r>
      <w:r w:rsidR="00F518AD">
        <w:rPr>
          <w:rFonts w:ascii="Calibri" w:eastAsia="Calibri" w:hAnsi="Calibri" w:cs="Calibri"/>
        </w:rPr>
        <w:t xml:space="preserve"> </w:t>
      </w:r>
      <w:r w:rsidR="001B5898">
        <w:rPr>
          <w:rFonts w:ascii="Calibri" w:eastAsia="Calibri" w:hAnsi="Calibri" w:cs="Calibri"/>
        </w:rPr>
        <w:t xml:space="preserve">Therefore for those spatial datasets which are expected to be used in processes on a regular basis the SDI registration, and thereby harmonization ensuring comparability, may be the optimal way forward. EEA has approx. 100 man days in 2017 for developing the KIP-INCA data foundation including identification, collection, harmonization, SDI registration and semantic inventory of those spatial datasets </w:t>
      </w:r>
      <w:r w:rsidR="009D4BC9">
        <w:rPr>
          <w:rFonts w:ascii="Calibri" w:eastAsia="Calibri" w:hAnsi="Calibri" w:cs="Calibri"/>
        </w:rPr>
        <w:t xml:space="preserve">which will be used on a regular basis. </w:t>
      </w:r>
    </w:p>
    <w:p w14:paraId="61FA3518" w14:textId="77777777" w:rsidR="00D024E7" w:rsidRDefault="00D024E7" w:rsidP="00D024E7">
      <w:pPr>
        <w:jc w:val="both"/>
        <w:rPr>
          <w:rFonts w:ascii="Calibri" w:eastAsia="Calibri" w:hAnsi="Calibri" w:cs="Calibri"/>
        </w:rPr>
      </w:pPr>
    </w:p>
    <w:p w14:paraId="56D3C444" w14:textId="5352B2F6" w:rsidR="00382C3A" w:rsidRDefault="00F67522" w:rsidP="00D024E7">
      <w:pPr>
        <w:jc w:val="both"/>
      </w:pPr>
      <w:r>
        <w:rPr>
          <w:rFonts w:ascii="Calibri" w:eastAsia="Calibri" w:hAnsi="Calibri" w:cs="Calibri"/>
        </w:rPr>
        <w:t>(</w:t>
      </w:r>
      <w:r w:rsidR="002125CA">
        <w:rPr>
          <w:rFonts w:ascii="Calibri" w:eastAsia="Calibri" w:hAnsi="Calibri" w:cs="Calibri"/>
        </w:rPr>
        <w:t>5</w:t>
      </w:r>
      <w:r>
        <w:rPr>
          <w:rFonts w:ascii="Calibri" w:eastAsia="Calibri" w:hAnsi="Calibri" w:cs="Calibri"/>
        </w:rPr>
        <w:t xml:space="preserve">): </w:t>
      </w:r>
      <w:r w:rsidR="00857E89" w:rsidRPr="003609F3">
        <w:rPr>
          <w:rFonts w:ascii="Calibri" w:eastAsia="Calibri" w:hAnsi="Calibri" w:cs="Calibri"/>
          <w:b/>
          <w:i/>
        </w:rPr>
        <w:t>Selection and documentation of models employed:</w:t>
      </w:r>
      <w:r w:rsidR="00857E89">
        <w:rPr>
          <w:rFonts w:ascii="Calibri" w:eastAsia="Calibri" w:hAnsi="Calibri" w:cs="Calibri"/>
        </w:rPr>
        <w:t xml:space="preserve"> </w:t>
      </w:r>
      <w:r>
        <w:rPr>
          <w:rFonts w:ascii="Calibri" w:eastAsia="Calibri" w:hAnsi="Calibri" w:cs="Calibri"/>
        </w:rPr>
        <w:t xml:space="preserve">Most ecosystem services accounts will probably require some degree of modelling. Direct measurements of ecosystem service flows are rare, certainly on regional to global scales. The JRC operates several models which are useful for INCA (see Annex 4 of the INCA report). These models are in principle documented in </w:t>
      </w:r>
      <w:hyperlink r:id="rId16">
        <w:r>
          <w:rPr>
            <w:rFonts w:ascii="Calibri" w:eastAsia="Calibri" w:hAnsi="Calibri" w:cs="Calibri"/>
            <w:color w:val="1155CC"/>
            <w:u w:val="single"/>
          </w:rPr>
          <w:t>MIDAS</w:t>
        </w:r>
      </w:hyperlink>
      <w:r>
        <w:rPr>
          <w:rFonts w:ascii="Calibri" w:eastAsia="Calibri" w:hAnsi="Calibri" w:cs="Calibri"/>
        </w:rPr>
        <w:t>. However, it seems that MIDAS is only accessible from inside the European Commission. This would mean that we have to manually copy model documentation (e.g</w:t>
      </w:r>
      <w:r w:rsidR="00857E89">
        <w:rPr>
          <w:rFonts w:ascii="Calibri" w:eastAsia="Calibri" w:hAnsi="Calibri" w:cs="Calibri"/>
        </w:rPr>
        <w:t>.</w:t>
      </w:r>
      <w:r>
        <w:rPr>
          <w:rFonts w:ascii="Calibri" w:eastAsia="Calibri" w:hAnsi="Calibri" w:cs="Calibri"/>
        </w:rPr>
        <w:t>, via a pdf print) to the INCA meta</w:t>
      </w:r>
      <w:r w:rsidR="00634E34">
        <w:rPr>
          <w:rFonts w:ascii="Calibri" w:eastAsia="Calibri" w:hAnsi="Calibri" w:cs="Calibri"/>
        </w:rPr>
        <w:t xml:space="preserve"> </w:t>
      </w:r>
      <w:r>
        <w:rPr>
          <w:rFonts w:ascii="Calibri" w:eastAsia="Calibri" w:hAnsi="Calibri" w:cs="Calibri"/>
        </w:rPr>
        <w:t>model library. MIDAS is a model documentation system but the JRC has no model library where users can download all models for personal use. JRC will have to create such a model library for INCA but at this stage it is absolutely not certain if all models can be published under an open access or open data license. The first version of the model library could contain the pollination and recreation models that will be used for the 2017 working program as well as other model codes that are used (for instance algorithms to downscale national statistics).</w:t>
      </w:r>
    </w:p>
    <w:p w14:paraId="151D49C9" w14:textId="77777777" w:rsidR="00D024E7" w:rsidRDefault="00D024E7" w:rsidP="00D024E7">
      <w:pPr>
        <w:jc w:val="both"/>
        <w:rPr>
          <w:rFonts w:ascii="Calibri" w:eastAsia="Calibri" w:hAnsi="Calibri" w:cs="Calibri"/>
        </w:rPr>
      </w:pPr>
    </w:p>
    <w:p w14:paraId="1FA458C5" w14:textId="4F7D381A" w:rsidR="00382C3A" w:rsidRDefault="00F67522" w:rsidP="00D024E7">
      <w:pPr>
        <w:jc w:val="both"/>
      </w:pPr>
      <w:r>
        <w:rPr>
          <w:rFonts w:ascii="Calibri" w:eastAsia="Calibri" w:hAnsi="Calibri" w:cs="Calibri"/>
        </w:rPr>
        <w:t>(</w:t>
      </w:r>
      <w:r w:rsidR="002125CA">
        <w:rPr>
          <w:rFonts w:ascii="Calibri" w:eastAsia="Calibri" w:hAnsi="Calibri" w:cs="Calibri"/>
        </w:rPr>
        <w:t>6</w:t>
      </w:r>
      <w:r>
        <w:rPr>
          <w:rFonts w:ascii="Calibri" w:eastAsia="Calibri" w:hAnsi="Calibri" w:cs="Calibri"/>
        </w:rPr>
        <w:t xml:space="preserve">): </w:t>
      </w:r>
      <w:r w:rsidR="00A043C6" w:rsidRPr="003609F3">
        <w:rPr>
          <w:rFonts w:ascii="Calibri" w:eastAsia="Calibri" w:hAnsi="Calibri" w:cs="Calibri"/>
          <w:b/>
          <w:i/>
        </w:rPr>
        <w:t>Sourcing of additional modelling tools:</w:t>
      </w:r>
      <w:r w:rsidR="00A043C6">
        <w:rPr>
          <w:rFonts w:ascii="Calibri" w:eastAsia="Calibri" w:hAnsi="Calibri" w:cs="Calibri"/>
        </w:rPr>
        <w:t xml:space="preserve"> </w:t>
      </w:r>
      <w:r>
        <w:rPr>
          <w:rFonts w:ascii="Calibri" w:eastAsia="Calibri" w:hAnsi="Calibri" w:cs="Calibri"/>
        </w:rPr>
        <w:t>Many other models, methodologies and tools are available to quantify flows of ecosystem services. Invest for instance is a well</w:t>
      </w:r>
      <w:r w:rsidR="002125CA">
        <w:rPr>
          <w:rFonts w:ascii="Calibri" w:eastAsia="Calibri" w:hAnsi="Calibri" w:cs="Calibri"/>
        </w:rPr>
        <w:t>-</w:t>
      </w:r>
      <w:r>
        <w:rPr>
          <w:rFonts w:ascii="Calibri" w:eastAsia="Calibri" w:hAnsi="Calibri" w:cs="Calibri"/>
        </w:rPr>
        <w:t xml:space="preserve">known model set developed by Stanford University (natural capital project).  ESMERALDA is currently listing different models, methods and tools and sorts them per ecosystem type, ecosystem services, geographical scale, and tier (1 to 3). </w:t>
      </w:r>
    </w:p>
    <w:p w14:paraId="7EEE529B" w14:textId="77777777" w:rsidR="00D024E7" w:rsidRDefault="00D024E7" w:rsidP="00D024E7">
      <w:pPr>
        <w:jc w:val="both"/>
        <w:rPr>
          <w:rFonts w:ascii="Calibri" w:eastAsia="Calibri" w:hAnsi="Calibri" w:cs="Calibri"/>
        </w:rPr>
      </w:pPr>
    </w:p>
    <w:p w14:paraId="17E40ABC" w14:textId="11DE0AC6" w:rsidR="00382C3A" w:rsidRDefault="00F67522" w:rsidP="00D024E7">
      <w:pPr>
        <w:jc w:val="both"/>
      </w:pPr>
      <w:r>
        <w:rPr>
          <w:rFonts w:ascii="Calibri" w:eastAsia="Calibri" w:hAnsi="Calibri" w:cs="Calibri"/>
        </w:rPr>
        <w:t xml:space="preserve">(7): </w:t>
      </w:r>
      <w:r w:rsidR="00A043C6" w:rsidRPr="003609F3">
        <w:rPr>
          <w:rFonts w:ascii="Calibri" w:eastAsia="Calibri" w:hAnsi="Calibri" w:cs="Calibri"/>
          <w:b/>
          <w:i/>
        </w:rPr>
        <w:t>Data processing and analysis:</w:t>
      </w:r>
      <w:r w:rsidR="00A043C6">
        <w:rPr>
          <w:rFonts w:ascii="Calibri" w:eastAsia="Calibri" w:hAnsi="Calibri" w:cs="Calibri"/>
        </w:rPr>
        <w:t xml:space="preserve"> </w:t>
      </w:r>
      <w:r>
        <w:rPr>
          <w:rFonts w:ascii="Calibri" w:eastAsia="Calibri" w:hAnsi="Calibri" w:cs="Calibri"/>
        </w:rPr>
        <w:t xml:space="preserve">Data and models are subsequently brought together to quantify extent and condition and physical and monetary flow of ecosystem services. This work needs to be </w:t>
      </w:r>
      <w:r>
        <w:rPr>
          <w:rFonts w:ascii="Calibri" w:eastAsia="Calibri" w:hAnsi="Calibri" w:cs="Calibri"/>
        </w:rPr>
        <w:lastRenderedPageBreak/>
        <w:t>done on local server</w:t>
      </w:r>
      <w:r w:rsidR="00A043C6">
        <w:rPr>
          <w:rFonts w:ascii="Calibri" w:eastAsia="Calibri" w:hAnsi="Calibri" w:cs="Calibri"/>
        </w:rPr>
        <w:t>s, based on the harmonised data sets in the EEA SDI ‘INCA module’, using the partners’ specialised expertise and</w:t>
      </w:r>
      <w:r>
        <w:rPr>
          <w:rFonts w:ascii="Calibri" w:eastAsia="Calibri" w:hAnsi="Calibri" w:cs="Calibri"/>
        </w:rPr>
        <w:t xml:space="preserve"> following guidance and manuals. </w:t>
      </w:r>
    </w:p>
    <w:p w14:paraId="227C7CAE" w14:textId="77777777" w:rsidR="00D024E7" w:rsidRDefault="00D024E7" w:rsidP="00D024E7">
      <w:pPr>
        <w:jc w:val="both"/>
        <w:rPr>
          <w:rFonts w:ascii="Calibri" w:eastAsia="Calibri" w:hAnsi="Calibri" w:cs="Calibri"/>
        </w:rPr>
      </w:pPr>
    </w:p>
    <w:p w14:paraId="1CC7E366" w14:textId="30EDA673" w:rsidR="00382C3A" w:rsidRDefault="00F67522" w:rsidP="00D024E7">
      <w:pPr>
        <w:jc w:val="both"/>
      </w:pPr>
      <w:r>
        <w:rPr>
          <w:rFonts w:ascii="Calibri" w:eastAsia="Calibri" w:hAnsi="Calibri" w:cs="Calibri"/>
        </w:rPr>
        <w:t xml:space="preserve">(8): </w:t>
      </w:r>
      <w:r w:rsidR="00A043C6" w:rsidRPr="003609F3">
        <w:rPr>
          <w:rFonts w:ascii="Calibri" w:eastAsia="Calibri" w:hAnsi="Calibri" w:cs="Calibri"/>
          <w:b/>
          <w:i/>
        </w:rPr>
        <w:t>Publication of maps, indicators and accounts:</w:t>
      </w:r>
      <w:r w:rsidR="00A043C6">
        <w:rPr>
          <w:rFonts w:ascii="Calibri" w:eastAsia="Calibri" w:hAnsi="Calibri" w:cs="Calibri"/>
        </w:rPr>
        <w:t xml:space="preserve"> </w:t>
      </w:r>
      <w:r>
        <w:rPr>
          <w:rFonts w:ascii="Calibri" w:eastAsia="Calibri" w:hAnsi="Calibri" w:cs="Calibri"/>
        </w:rPr>
        <w:t>The output of the processing step are maps, indicators, and accounting tables. The spatial data can be stored and documented on the EEA</w:t>
      </w:r>
      <w:r w:rsidR="001009EB">
        <w:rPr>
          <w:rFonts w:ascii="Calibri" w:eastAsia="Calibri" w:hAnsi="Calibri" w:cs="Calibri"/>
        </w:rPr>
        <w:t>’s SDI</w:t>
      </w:r>
      <w:r>
        <w:rPr>
          <w:rFonts w:ascii="Calibri" w:eastAsia="Calibri" w:hAnsi="Calibri" w:cs="Calibri"/>
        </w:rPr>
        <w:t xml:space="preserve"> following work streams 1</w:t>
      </w:r>
      <w:r w:rsidR="00A043C6">
        <w:rPr>
          <w:rFonts w:ascii="Calibri" w:eastAsia="Calibri" w:hAnsi="Calibri" w:cs="Calibri"/>
        </w:rPr>
        <w:t>, or potentially on JRC</w:t>
      </w:r>
      <w:r>
        <w:rPr>
          <w:rFonts w:ascii="Calibri" w:eastAsia="Calibri" w:hAnsi="Calibri" w:cs="Calibri"/>
        </w:rPr>
        <w:t xml:space="preserve"> and </w:t>
      </w:r>
      <w:r w:rsidR="00A043C6">
        <w:rPr>
          <w:rFonts w:ascii="Calibri" w:eastAsia="Calibri" w:hAnsi="Calibri" w:cs="Calibri"/>
        </w:rPr>
        <w:t xml:space="preserve">Eurostat servers if working steps </w:t>
      </w:r>
      <w:r>
        <w:rPr>
          <w:rFonts w:ascii="Calibri" w:eastAsia="Calibri" w:hAnsi="Calibri" w:cs="Calibri"/>
        </w:rPr>
        <w:t>2</w:t>
      </w:r>
      <w:r w:rsidR="00A043C6">
        <w:rPr>
          <w:rFonts w:ascii="Calibri" w:eastAsia="Calibri" w:hAnsi="Calibri" w:cs="Calibri"/>
        </w:rPr>
        <w:t xml:space="preserve"> and 3 are </w:t>
      </w:r>
      <w:r w:rsidR="00D43370">
        <w:rPr>
          <w:rFonts w:ascii="Calibri" w:eastAsia="Calibri" w:hAnsi="Calibri" w:cs="Calibri"/>
        </w:rPr>
        <w:t>designed as described above</w:t>
      </w:r>
      <w:r w:rsidR="00A043C6">
        <w:rPr>
          <w:rFonts w:ascii="Calibri" w:eastAsia="Calibri" w:hAnsi="Calibri" w:cs="Calibri"/>
        </w:rPr>
        <w:t>,</w:t>
      </w:r>
      <w:r>
        <w:rPr>
          <w:rFonts w:ascii="Calibri" w:eastAsia="Calibri" w:hAnsi="Calibri" w:cs="Calibri"/>
        </w:rPr>
        <w:t xml:space="preserve"> while links to the data and metadata can be provided on the INCA metadata and metamodel catalogues and </w:t>
      </w:r>
      <w:r w:rsidR="00A043C6">
        <w:rPr>
          <w:rFonts w:ascii="Calibri" w:eastAsia="Calibri" w:hAnsi="Calibri" w:cs="Calibri"/>
        </w:rPr>
        <w:t xml:space="preserve">indirectly via </w:t>
      </w:r>
      <w:r>
        <w:rPr>
          <w:rFonts w:ascii="Calibri" w:eastAsia="Calibri" w:hAnsi="Calibri" w:cs="Calibri"/>
        </w:rPr>
        <w:t xml:space="preserve">the INCA landing page. Indicators and accounts can be published on the INCA landing page, e.g. on BISE. </w:t>
      </w:r>
    </w:p>
    <w:p w14:paraId="3B6B7EC5" w14:textId="77777777" w:rsidR="00382C3A" w:rsidRDefault="00382C3A" w:rsidP="00D024E7">
      <w:pPr>
        <w:jc w:val="both"/>
      </w:pPr>
    </w:p>
    <w:p w14:paraId="25EB26AE" w14:textId="0A94A21F" w:rsidR="00382C3A" w:rsidRDefault="00F67522" w:rsidP="00D024E7">
      <w:pPr>
        <w:jc w:val="both"/>
      </w:pPr>
      <w:r>
        <w:rPr>
          <w:rFonts w:ascii="Calibri" w:eastAsia="Calibri" w:hAnsi="Calibri" w:cs="Calibri"/>
        </w:rPr>
        <w:t xml:space="preserve"> </w:t>
      </w:r>
    </w:p>
    <w:p w14:paraId="6BEC585D" w14:textId="77777777" w:rsidR="003609F3" w:rsidRDefault="003609F3" w:rsidP="00F56D6D">
      <w:pPr>
        <w:jc w:val="both"/>
        <w:rPr>
          <w:sz w:val="20"/>
          <w:szCs w:val="20"/>
          <w:u w:val="single"/>
        </w:rPr>
      </w:pPr>
    </w:p>
    <w:p w14:paraId="5DAA7371" w14:textId="276F0B18" w:rsidR="005175DA" w:rsidRPr="005175DA" w:rsidRDefault="005175DA" w:rsidP="00D024E7">
      <w:pPr>
        <w:jc w:val="both"/>
        <w:rPr>
          <w:b/>
        </w:rPr>
      </w:pPr>
      <w:r w:rsidRPr="005175DA">
        <w:rPr>
          <w:b/>
        </w:rPr>
        <w:t>Annex 1:</w:t>
      </w:r>
    </w:p>
    <w:p w14:paraId="6A096DE2" w14:textId="7455D174" w:rsidR="005175DA" w:rsidRDefault="005175DA" w:rsidP="00D024E7">
      <w:pPr>
        <w:jc w:val="both"/>
      </w:pPr>
    </w:p>
    <w:p w14:paraId="1B515471" w14:textId="376D7588" w:rsidR="005175DA" w:rsidRDefault="005175DA" w:rsidP="00D024E7">
      <w:pPr>
        <w:jc w:val="both"/>
      </w:pPr>
      <w:r>
        <w:t>Documents /analysis developed in previous years:</w:t>
      </w:r>
    </w:p>
    <w:p w14:paraId="690A46C2" w14:textId="77777777" w:rsidR="005175DA" w:rsidRPr="00171742" w:rsidRDefault="005175DA" w:rsidP="005175DA">
      <w:pPr>
        <w:jc w:val="both"/>
        <w:rPr>
          <w:rFonts w:ascii="Calibri" w:eastAsia="Calibri" w:hAnsi="Calibri" w:cs="Calibri"/>
        </w:rPr>
      </w:pPr>
      <w:r>
        <w:rPr>
          <w:rFonts w:ascii="Calibri" w:eastAsia="Calibri" w:hAnsi="Calibri" w:cs="Calibri"/>
        </w:rPr>
        <w:t xml:space="preserve">The KIP INCA partners agreed to draft a first proposal for the INCA data architecture by February 2017 with EEA being in the lead for formulating specifications and requirements. The following elements are available </w:t>
      </w:r>
    </w:p>
    <w:p w14:paraId="0AE72B65" w14:textId="7C740139" w:rsidR="005175DA" w:rsidRPr="005175DA" w:rsidRDefault="005175DA" w:rsidP="005175DA">
      <w:pPr>
        <w:numPr>
          <w:ilvl w:val="0"/>
          <w:numId w:val="2"/>
        </w:numPr>
        <w:ind w:hanging="360"/>
        <w:contextualSpacing/>
        <w:jc w:val="both"/>
        <w:rPr>
          <w:rFonts w:ascii="Calibri" w:eastAsia="Calibri" w:hAnsi="Calibri" w:cs="Calibri"/>
        </w:rPr>
      </w:pPr>
      <w:r>
        <w:rPr>
          <w:rFonts w:ascii="Calibri" w:eastAsia="Calibri" w:hAnsi="Calibri" w:cs="Calibri"/>
        </w:rPr>
        <w:t>Background paper of 25 January 2017</w:t>
      </w:r>
    </w:p>
    <w:p w14:paraId="4A495E36" w14:textId="7BC9E1C5" w:rsidR="005175DA" w:rsidRDefault="003D3C71" w:rsidP="005175DA">
      <w:pPr>
        <w:numPr>
          <w:ilvl w:val="0"/>
          <w:numId w:val="2"/>
        </w:numPr>
        <w:ind w:hanging="360"/>
        <w:contextualSpacing/>
        <w:jc w:val="both"/>
        <w:rPr>
          <w:rFonts w:ascii="Calibri" w:eastAsia="Calibri" w:hAnsi="Calibri" w:cs="Calibri"/>
        </w:rPr>
      </w:pPr>
      <w:hyperlink r:id="rId17">
        <w:r w:rsidR="005175DA">
          <w:rPr>
            <w:rFonts w:ascii="Calibri" w:eastAsia="Calibri" w:hAnsi="Calibri" w:cs="Calibri"/>
            <w:color w:val="1155CC"/>
            <w:u w:val="single"/>
          </w:rPr>
          <w:t>Reviewing the data foundation for ‘accounting for natural capital and ecosystem services</w:t>
        </w:r>
      </w:hyperlink>
      <w:r w:rsidR="005175DA">
        <w:rPr>
          <w:rFonts w:ascii="Calibri" w:eastAsia="Calibri" w:hAnsi="Calibri" w:cs="Calibri"/>
        </w:rPr>
        <w:t>’</w:t>
      </w:r>
    </w:p>
    <w:p w14:paraId="7BB0205F" w14:textId="77777777" w:rsidR="005175DA" w:rsidRDefault="005175DA" w:rsidP="005175DA">
      <w:pPr>
        <w:numPr>
          <w:ilvl w:val="0"/>
          <w:numId w:val="5"/>
        </w:numPr>
        <w:ind w:hanging="360"/>
        <w:contextualSpacing/>
        <w:jc w:val="both"/>
        <w:rPr>
          <w:rFonts w:ascii="Calibri" w:eastAsia="Calibri" w:hAnsi="Calibri" w:cs="Calibri"/>
        </w:rPr>
      </w:pPr>
      <w:r>
        <w:rPr>
          <w:rFonts w:ascii="Calibri" w:eastAsia="Calibri" w:hAnsi="Calibri" w:cs="Calibri"/>
        </w:rPr>
        <w:t>A first proposal for streamlining the INCA data architecture is included in the INCA design report (chapter 6)</w:t>
      </w:r>
    </w:p>
    <w:p w14:paraId="2ED6C5CA" w14:textId="77777777" w:rsidR="005175DA" w:rsidRDefault="003D3C71" w:rsidP="005175DA">
      <w:pPr>
        <w:numPr>
          <w:ilvl w:val="0"/>
          <w:numId w:val="5"/>
        </w:numPr>
        <w:ind w:hanging="360"/>
        <w:contextualSpacing/>
        <w:jc w:val="both"/>
        <w:rPr>
          <w:rFonts w:ascii="Calibri" w:eastAsia="Calibri" w:hAnsi="Calibri" w:cs="Calibri"/>
        </w:rPr>
      </w:pPr>
      <w:hyperlink r:id="rId18">
        <w:r w:rsidR="005175DA">
          <w:rPr>
            <w:rFonts w:ascii="Calibri" w:eastAsia="Calibri" w:hAnsi="Calibri" w:cs="Calibri"/>
            <w:color w:val="1155CC"/>
            <w:u w:val="single"/>
          </w:rPr>
          <w:t xml:space="preserve">Short description </w:t>
        </w:r>
      </w:hyperlink>
      <w:r w:rsidR="005175DA">
        <w:rPr>
          <w:rFonts w:ascii="Calibri" w:eastAsia="Calibri" w:hAnsi="Calibri" w:cs="Calibri"/>
        </w:rPr>
        <w:t xml:space="preserve">of the EEA’s Integrated Data Platform </w:t>
      </w:r>
    </w:p>
    <w:p w14:paraId="006E91CE" w14:textId="77777777" w:rsidR="005175DA" w:rsidRDefault="005175DA" w:rsidP="005175DA">
      <w:pPr>
        <w:numPr>
          <w:ilvl w:val="0"/>
          <w:numId w:val="5"/>
        </w:numPr>
        <w:ind w:hanging="360"/>
        <w:contextualSpacing/>
        <w:jc w:val="both"/>
        <w:rPr>
          <w:rFonts w:ascii="Calibri" w:eastAsia="Calibri" w:hAnsi="Calibri" w:cs="Calibri"/>
        </w:rPr>
      </w:pPr>
      <w:r>
        <w:rPr>
          <w:rFonts w:ascii="Calibri" w:eastAsia="Calibri" w:hAnsi="Calibri" w:cs="Calibri"/>
        </w:rPr>
        <w:t xml:space="preserve">Support to the EEA Technical Report on methodological approaches for land degradation: </w:t>
      </w:r>
      <w:hyperlink r:id="rId19">
        <w:r>
          <w:rPr>
            <w:rFonts w:ascii="Calibri" w:eastAsia="Calibri" w:hAnsi="Calibri" w:cs="Calibri"/>
            <w:color w:val="1155CC"/>
            <w:u w:val="single"/>
          </w:rPr>
          <w:t xml:space="preserve">Extract of annexes </w:t>
        </w:r>
      </w:hyperlink>
      <w:r>
        <w:rPr>
          <w:rFonts w:ascii="Calibri" w:eastAsia="Calibri" w:hAnsi="Calibri" w:cs="Calibri"/>
        </w:rPr>
        <w:t>on data sets used</w:t>
      </w:r>
    </w:p>
    <w:p w14:paraId="2CDC40E3" w14:textId="77777777" w:rsidR="005175DA" w:rsidRDefault="005175DA" w:rsidP="005175DA">
      <w:pPr>
        <w:numPr>
          <w:ilvl w:val="0"/>
          <w:numId w:val="5"/>
        </w:numPr>
        <w:ind w:hanging="360"/>
        <w:contextualSpacing/>
        <w:jc w:val="both"/>
        <w:rPr>
          <w:rFonts w:ascii="Calibri" w:eastAsia="Calibri" w:hAnsi="Calibri" w:cs="Calibri"/>
        </w:rPr>
      </w:pPr>
      <w:r>
        <w:rPr>
          <w:rFonts w:ascii="Calibri" w:eastAsia="Calibri" w:hAnsi="Calibri" w:cs="Calibri"/>
        </w:rPr>
        <w:t>A</w:t>
      </w:r>
      <w:hyperlink r:id="rId20">
        <w:r>
          <w:rPr>
            <w:rFonts w:ascii="Calibri" w:eastAsia="Calibri" w:hAnsi="Calibri" w:cs="Calibri"/>
            <w:color w:val="1155CC"/>
            <w:u w:val="single"/>
          </w:rPr>
          <w:t xml:space="preserve"> list </w:t>
        </w:r>
      </w:hyperlink>
      <w:r>
        <w:rPr>
          <w:rFonts w:ascii="Calibri" w:eastAsia="Calibri" w:hAnsi="Calibri" w:cs="Calibri"/>
        </w:rPr>
        <w:t>of datasets on natural capital</w:t>
      </w:r>
    </w:p>
    <w:p w14:paraId="7D42A47D" w14:textId="3D97FAF8" w:rsidR="005175DA" w:rsidRDefault="005175DA" w:rsidP="00D024E7">
      <w:pPr>
        <w:jc w:val="both"/>
      </w:pPr>
    </w:p>
    <w:p w14:paraId="0A83C035" w14:textId="4CAA4379" w:rsidR="005175DA" w:rsidRDefault="005175DA" w:rsidP="00D024E7">
      <w:pPr>
        <w:jc w:val="both"/>
      </w:pPr>
    </w:p>
    <w:p w14:paraId="3AEB4A54" w14:textId="77777777" w:rsidR="006221F3" w:rsidRDefault="006221F3" w:rsidP="00D024E7">
      <w:pPr>
        <w:jc w:val="both"/>
      </w:pPr>
    </w:p>
    <w:p w14:paraId="7744C99D" w14:textId="0C8C8FE7" w:rsidR="005175DA" w:rsidRPr="005175DA" w:rsidRDefault="005175DA" w:rsidP="00D024E7">
      <w:pPr>
        <w:jc w:val="both"/>
        <w:rPr>
          <w:b/>
        </w:rPr>
      </w:pPr>
      <w:r w:rsidRPr="005175DA">
        <w:rPr>
          <w:b/>
        </w:rPr>
        <w:t>Annex 2:    Updated document on ‘data architecture test case’ on spatial nutrient accounts</w:t>
      </w:r>
    </w:p>
    <w:p w14:paraId="0779576E" w14:textId="0F9B7B22" w:rsidR="005175DA" w:rsidRDefault="005175DA" w:rsidP="00D024E7">
      <w:pPr>
        <w:jc w:val="both"/>
      </w:pPr>
    </w:p>
    <w:p w14:paraId="5ACF8730" w14:textId="38EAEACC" w:rsidR="005175DA" w:rsidRDefault="003D3C71" w:rsidP="00D024E7">
      <w:pPr>
        <w:jc w:val="both"/>
      </w:pPr>
      <w:r>
        <w:t xml:space="preserve">[ </w:t>
      </w:r>
      <w:r w:rsidRPr="003D3C71">
        <w:rPr>
          <w:i/>
        </w:rPr>
        <w:t>to be completed; template for review of data sources and other input for test cases provided as separate document</w:t>
      </w:r>
      <w:r>
        <w:t xml:space="preserve"> ]</w:t>
      </w:r>
      <w:bookmarkStart w:id="0" w:name="_GoBack"/>
      <w:bookmarkEnd w:id="0"/>
    </w:p>
    <w:sectPr w:rsidR="005175DA">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BA73" w14:textId="77777777" w:rsidR="00215E8C" w:rsidRDefault="00215E8C" w:rsidP="00D024E7">
      <w:pPr>
        <w:spacing w:line="240" w:lineRule="auto"/>
      </w:pPr>
      <w:r>
        <w:separator/>
      </w:r>
    </w:p>
  </w:endnote>
  <w:endnote w:type="continuationSeparator" w:id="0">
    <w:p w14:paraId="43E62A12" w14:textId="77777777" w:rsidR="00215E8C" w:rsidRDefault="00215E8C" w:rsidP="00D02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12671"/>
      <w:docPartObj>
        <w:docPartGallery w:val="Page Numbers (Bottom of Page)"/>
        <w:docPartUnique/>
      </w:docPartObj>
    </w:sdtPr>
    <w:sdtEndPr>
      <w:rPr>
        <w:noProof/>
      </w:rPr>
    </w:sdtEndPr>
    <w:sdtContent>
      <w:p w14:paraId="477CF274" w14:textId="33A2C49C" w:rsidR="00F56D6D" w:rsidRDefault="00F56D6D">
        <w:pPr>
          <w:pStyle w:val="Footer"/>
          <w:jc w:val="center"/>
        </w:pPr>
        <w:r>
          <w:fldChar w:fldCharType="begin"/>
        </w:r>
        <w:r>
          <w:instrText xml:space="preserve"> PAGE   \* MERGEFORMAT </w:instrText>
        </w:r>
        <w:r>
          <w:fldChar w:fldCharType="separate"/>
        </w:r>
        <w:r w:rsidR="003D3C71">
          <w:rPr>
            <w:noProof/>
          </w:rPr>
          <w:t>9</w:t>
        </w:r>
        <w:r>
          <w:rPr>
            <w:noProof/>
          </w:rPr>
          <w:fldChar w:fldCharType="end"/>
        </w:r>
      </w:p>
    </w:sdtContent>
  </w:sdt>
  <w:p w14:paraId="3A356DCD" w14:textId="77777777" w:rsidR="00F56D6D" w:rsidRDefault="00F5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1296" w14:textId="77777777" w:rsidR="00215E8C" w:rsidRDefault="00215E8C" w:rsidP="00D024E7">
      <w:pPr>
        <w:spacing w:line="240" w:lineRule="auto"/>
      </w:pPr>
      <w:r>
        <w:separator/>
      </w:r>
    </w:p>
  </w:footnote>
  <w:footnote w:type="continuationSeparator" w:id="0">
    <w:p w14:paraId="444BB511" w14:textId="77777777" w:rsidR="00215E8C" w:rsidRDefault="00215E8C" w:rsidP="00D024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69A"/>
    <w:multiLevelType w:val="hybridMultilevel"/>
    <w:tmpl w:val="00CCD70A"/>
    <w:lvl w:ilvl="0" w:tplc="297CDA82">
      <w:start w:val="1"/>
      <w:numFmt w:val="bullet"/>
      <w:lvlText w:val="•"/>
      <w:lvlJc w:val="left"/>
      <w:pPr>
        <w:tabs>
          <w:tab w:val="num" w:pos="720"/>
        </w:tabs>
        <w:ind w:left="720" w:hanging="360"/>
      </w:pPr>
      <w:rPr>
        <w:rFonts w:ascii="Arial" w:hAnsi="Arial" w:hint="default"/>
      </w:rPr>
    </w:lvl>
    <w:lvl w:ilvl="1" w:tplc="4F78FE46" w:tentative="1">
      <w:start w:val="1"/>
      <w:numFmt w:val="bullet"/>
      <w:lvlText w:val="•"/>
      <w:lvlJc w:val="left"/>
      <w:pPr>
        <w:tabs>
          <w:tab w:val="num" w:pos="1440"/>
        </w:tabs>
        <w:ind w:left="1440" w:hanging="360"/>
      </w:pPr>
      <w:rPr>
        <w:rFonts w:ascii="Arial" w:hAnsi="Arial" w:hint="default"/>
      </w:rPr>
    </w:lvl>
    <w:lvl w:ilvl="2" w:tplc="8E08679C" w:tentative="1">
      <w:start w:val="1"/>
      <w:numFmt w:val="bullet"/>
      <w:lvlText w:val="•"/>
      <w:lvlJc w:val="left"/>
      <w:pPr>
        <w:tabs>
          <w:tab w:val="num" w:pos="2160"/>
        </w:tabs>
        <w:ind w:left="2160" w:hanging="360"/>
      </w:pPr>
      <w:rPr>
        <w:rFonts w:ascii="Arial" w:hAnsi="Arial" w:hint="default"/>
      </w:rPr>
    </w:lvl>
    <w:lvl w:ilvl="3" w:tplc="5B4015CA" w:tentative="1">
      <w:start w:val="1"/>
      <w:numFmt w:val="bullet"/>
      <w:lvlText w:val="•"/>
      <w:lvlJc w:val="left"/>
      <w:pPr>
        <w:tabs>
          <w:tab w:val="num" w:pos="2880"/>
        </w:tabs>
        <w:ind w:left="2880" w:hanging="360"/>
      </w:pPr>
      <w:rPr>
        <w:rFonts w:ascii="Arial" w:hAnsi="Arial" w:hint="default"/>
      </w:rPr>
    </w:lvl>
    <w:lvl w:ilvl="4" w:tplc="4C26E590" w:tentative="1">
      <w:start w:val="1"/>
      <w:numFmt w:val="bullet"/>
      <w:lvlText w:val="•"/>
      <w:lvlJc w:val="left"/>
      <w:pPr>
        <w:tabs>
          <w:tab w:val="num" w:pos="3600"/>
        </w:tabs>
        <w:ind w:left="3600" w:hanging="360"/>
      </w:pPr>
      <w:rPr>
        <w:rFonts w:ascii="Arial" w:hAnsi="Arial" w:hint="default"/>
      </w:rPr>
    </w:lvl>
    <w:lvl w:ilvl="5" w:tplc="47A2915A" w:tentative="1">
      <w:start w:val="1"/>
      <w:numFmt w:val="bullet"/>
      <w:lvlText w:val="•"/>
      <w:lvlJc w:val="left"/>
      <w:pPr>
        <w:tabs>
          <w:tab w:val="num" w:pos="4320"/>
        </w:tabs>
        <w:ind w:left="4320" w:hanging="360"/>
      </w:pPr>
      <w:rPr>
        <w:rFonts w:ascii="Arial" w:hAnsi="Arial" w:hint="default"/>
      </w:rPr>
    </w:lvl>
    <w:lvl w:ilvl="6" w:tplc="9B661E68" w:tentative="1">
      <w:start w:val="1"/>
      <w:numFmt w:val="bullet"/>
      <w:lvlText w:val="•"/>
      <w:lvlJc w:val="left"/>
      <w:pPr>
        <w:tabs>
          <w:tab w:val="num" w:pos="5040"/>
        </w:tabs>
        <w:ind w:left="5040" w:hanging="360"/>
      </w:pPr>
      <w:rPr>
        <w:rFonts w:ascii="Arial" w:hAnsi="Arial" w:hint="default"/>
      </w:rPr>
    </w:lvl>
    <w:lvl w:ilvl="7" w:tplc="C9FE9026" w:tentative="1">
      <w:start w:val="1"/>
      <w:numFmt w:val="bullet"/>
      <w:lvlText w:val="•"/>
      <w:lvlJc w:val="left"/>
      <w:pPr>
        <w:tabs>
          <w:tab w:val="num" w:pos="5760"/>
        </w:tabs>
        <w:ind w:left="5760" w:hanging="360"/>
      </w:pPr>
      <w:rPr>
        <w:rFonts w:ascii="Arial" w:hAnsi="Arial" w:hint="default"/>
      </w:rPr>
    </w:lvl>
    <w:lvl w:ilvl="8" w:tplc="AC7218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B50A8"/>
    <w:multiLevelType w:val="hybridMultilevel"/>
    <w:tmpl w:val="FE7097CC"/>
    <w:lvl w:ilvl="0" w:tplc="0C92C322">
      <w:start w:val="1"/>
      <w:numFmt w:val="bullet"/>
      <w:lvlText w:val="-"/>
      <w:lvlJc w:val="left"/>
      <w:pPr>
        <w:tabs>
          <w:tab w:val="num" w:pos="720"/>
        </w:tabs>
        <w:ind w:left="720" w:hanging="360"/>
      </w:pPr>
      <w:rPr>
        <w:rFonts w:ascii="Times New Roman" w:hAnsi="Times New Roman" w:hint="default"/>
      </w:rPr>
    </w:lvl>
    <w:lvl w:ilvl="1" w:tplc="75467F6A" w:tentative="1">
      <w:start w:val="1"/>
      <w:numFmt w:val="bullet"/>
      <w:lvlText w:val="-"/>
      <w:lvlJc w:val="left"/>
      <w:pPr>
        <w:tabs>
          <w:tab w:val="num" w:pos="1440"/>
        </w:tabs>
        <w:ind w:left="1440" w:hanging="360"/>
      </w:pPr>
      <w:rPr>
        <w:rFonts w:ascii="Times New Roman" w:hAnsi="Times New Roman" w:hint="default"/>
      </w:rPr>
    </w:lvl>
    <w:lvl w:ilvl="2" w:tplc="96722BA8" w:tentative="1">
      <w:start w:val="1"/>
      <w:numFmt w:val="bullet"/>
      <w:lvlText w:val="-"/>
      <w:lvlJc w:val="left"/>
      <w:pPr>
        <w:tabs>
          <w:tab w:val="num" w:pos="2160"/>
        </w:tabs>
        <w:ind w:left="2160" w:hanging="360"/>
      </w:pPr>
      <w:rPr>
        <w:rFonts w:ascii="Times New Roman" w:hAnsi="Times New Roman" w:hint="default"/>
      </w:rPr>
    </w:lvl>
    <w:lvl w:ilvl="3" w:tplc="3C40BDF6" w:tentative="1">
      <w:start w:val="1"/>
      <w:numFmt w:val="bullet"/>
      <w:lvlText w:val="-"/>
      <w:lvlJc w:val="left"/>
      <w:pPr>
        <w:tabs>
          <w:tab w:val="num" w:pos="2880"/>
        </w:tabs>
        <w:ind w:left="2880" w:hanging="360"/>
      </w:pPr>
      <w:rPr>
        <w:rFonts w:ascii="Times New Roman" w:hAnsi="Times New Roman" w:hint="default"/>
      </w:rPr>
    </w:lvl>
    <w:lvl w:ilvl="4" w:tplc="24CE7F5E" w:tentative="1">
      <w:start w:val="1"/>
      <w:numFmt w:val="bullet"/>
      <w:lvlText w:val="-"/>
      <w:lvlJc w:val="left"/>
      <w:pPr>
        <w:tabs>
          <w:tab w:val="num" w:pos="3600"/>
        </w:tabs>
        <w:ind w:left="3600" w:hanging="360"/>
      </w:pPr>
      <w:rPr>
        <w:rFonts w:ascii="Times New Roman" w:hAnsi="Times New Roman" w:hint="default"/>
      </w:rPr>
    </w:lvl>
    <w:lvl w:ilvl="5" w:tplc="BC0C8DAC" w:tentative="1">
      <w:start w:val="1"/>
      <w:numFmt w:val="bullet"/>
      <w:lvlText w:val="-"/>
      <w:lvlJc w:val="left"/>
      <w:pPr>
        <w:tabs>
          <w:tab w:val="num" w:pos="4320"/>
        </w:tabs>
        <w:ind w:left="4320" w:hanging="360"/>
      </w:pPr>
      <w:rPr>
        <w:rFonts w:ascii="Times New Roman" w:hAnsi="Times New Roman" w:hint="default"/>
      </w:rPr>
    </w:lvl>
    <w:lvl w:ilvl="6" w:tplc="A182A3D8" w:tentative="1">
      <w:start w:val="1"/>
      <w:numFmt w:val="bullet"/>
      <w:lvlText w:val="-"/>
      <w:lvlJc w:val="left"/>
      <w:pPr>
        <w:tabs>
          <w:tab w:val="num" w:pos="5040"/>
        </w:tabs>
        <w:ind w:left="5040" w:hanging="360"/>
      </w:pPr>
      <w:rPr>
        <w:rFonts w:ascii="Times New Roman" w:hAnsi="Times New Roman" w:hint="default"/>
      </w:rPr>
    </w:lvl>
    <w:lvl w:ilvl="7" w:tplc="44026564" w:tentative="1">
      <w:start w:val="1"/>
      <w:numFmt w:val="bullet"/>
      <w:lvlText w:val="-"/>
      <w:lvlJc w:val="left"/>
      <w:pPr>
        <w:tabs>
          <w:tab w:val="num" w:pos="5760"/>
        </w:tabs>
        <w:ind w:left="5760" w:hanging="360"/>
      </w:pPr>
      <w:rPr>
        <w:rFonts w:ascii="Times New Roman" w:hAnsi="Times New Roman" w:hint="default"/>
      </w:rPr>
    </w:lvl>
    <w:lvl w:ilvl="8" w:tplc="264A6B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5E7270"/>
    <w:multiLevelType w:val="multilevel"/>
    <w:tmpl w:val="01C066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B151FA3"/>
    <w:multiLevelType w:val="multilevel"/>
    <w:tmpl w:val="E1204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087DEF"/>
    <w:multiLevelType w:val="multilevel"/>
    <w:tmpl w:val="31981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4F1D55"/>
    <w:multiLevelType w:val="hybridMultilevel"/>
    <w:tmpl w:val="0DB41B52"/>
    <w:lvl w:ilvl="0" w:tplc="08090013">
      <w:start w:val="1"/>
      <w:numFmt w:val="upperRoman"/>
      <w:lvlText w:val="%1."/>
      <w:lvlJc w:val="right"/>
      <w:pPr>
        <w:tabs>
          <w:tab w:val="num" w:pos="720"/>
        </w:tabs>
        <w:ind w:left="720" w:hanging="360"/>
      </w:pPr>
      <w:rPr>
        <w:rFonts w:hint="default"/>
      </w:rPr>
    </w:lvl>
    <w:lvl w:ilvl="1" w:tplc="B84489D6" w:tentative="1">
      <w:start w:val="1"/>
      <w:numFmt w:val="bullet"/>
      <w:lvlText w:val="•"/>
      <w:lvlJc w:val="left"/>
      <w:pPr>
        <w:tabs>
          <w:tab w:val="num" w:pos="1440"/>
        </w:tabs>
        <w:ind w:left="1440" w:hanging="360"/>
      </w:pPr>
      <w:rPr>
        <w:rFonts w:ascii="Arial" w:hAnsi="Arial" w:hint="default"/>
      </w:rPr>
    </w:lvl>
    <w:lvl w:ilvl="2" w:tplc="5D6428D6" w:tentative="1">
      <w:start w:val="1"/>
      <w:numFmt w:val="bullet"/>
      <w:lvlText w:val="•"/>
      <w:lvlJc w:val="left"/>
      <w:pPr>
        <w:tabs>
          <w:tab w:val="num" w:pos="2160"/>
        </w:tabs>
        <w:ind w:left="2160" w:hanging="360"/>
      </w:pPr>
      <w:rPr>
        <w:rFonts w:ascii="Arial" w:hAnsi="Arial" w:hint="default"/>
      </w:rPr>
    </w:lvl>
    <w:lvl w:ilvl="3" w:tplc="F2B81A02" w:tentative="1">
      <w:start w:val="1"/>
      <w:numFmt w:val="bullet"/>
      <w:lvlText w:val="•"/>
      <w:lvlJc w:val="left"/>
      <w:pPr>
        <w:tabs>
          <w:tab w:val="num" w:pos="2880"/>
        </w:tabs>
        <w:ind w:left="2880" w:hanging="360"/>
      </w:pPr>
      <w:rPr>
        <w:rFonts w:ascii="Arial" w:hAnsi="Arial" w:hint="default"/>
      </w:rPr>
    </w:lvl>
    <w:lvl w:ilvl="4" w:tplc="4764579E" w:tentative="1">
      <w:start w:val="1"/>
      <w:numFmt w:val="bullet"/>
      <w:lvlText w:val="•"/>
      <w:lvlJc w:val="left"/>
      <w:pPr>
        <w:tabs>
          <w:tab w:val="num" w:pos="3600"/>
        </w:tabs>
        <w:ind w:left="3600" w:hanging="360"/>
      </w:pPr>
      <w:rPr>
        <w:rFonts w:ascii="Arial" w:hAnsi="Arial" w:hint="default"/>
      </w:rPr>
    </w:lvl>
    <w:lvl w:ilvl="5" w:tplc="A60C86CA" w:tentative="1">
      <w:start w:val="1"/>
      <w:numFmt w:val="bullet"/>
      <w:lvlText w:val="•"/>
      <w:lvlJc w:val="left"/>
      <w:pPr>
        <w:tabs>
          <w:tab w:val="num" w:pos="4320"/>
        </w:tabs>
        <w:ind w:left="4320" w:hanging="360"/>
      </w:pPr>
      <w:rPr>
        <w:rFonts w:ascii="Arial" w:hAnsi="Arial" w:hint="default"/>
      </w:rPr>
    </w:lvl>
    <w:lvl w:ilvl="6" w:tplc="95101C88" w:tentative="1">
      <w:start w:val="1"/>
      <w:numFmt w:val="bullet"/>
      <w:lvlText w:val="•"/>
      <w:lvlJc w:val="left"/>
      <w:pPr>
        <w:tabs>
          <w:tab w:val="num" w:pos="5040"/>
        </w:tabs>
        <w:ind w:left="5040" w:hanging="360"/>
      </w:pPr>
      <w:rPr>
        <w:rFonts w:ascii="Arial" w:hAnsi="Arial" w:hint="default"/>
      </w:rPr>
    </w:lvl>
    <w:lvl w:ilvl="7" w:tplc="D72C3C9C" w:tentative="1">
      <w:start w:val="1"/>
      <w:numFmt w:val="bullet"/>
      <w:lvlText w:val="•"/>
      <w:lvlJc w:val="left"/>
      <w:pPr>
        <w:tabs>
          <w:tab w:val="num" w:pos="5760"/>
        </w:tabs>
        <w:ind w:left="5760" w:hanging="360"/>
      </w:pPr>
      <w:rPr>
        <w:rFonts w:ascii="Arial" w:hAnsi="Arial" w:hint="default"/>
      </w:rPr>
    </w:lvl>
    <w:lvl w:ilvl="8" w:tplc="A8184E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10771"/>
    <w:multiLevelType w:val="hybridMultilevel"/>
    <w:tmpl w:val="6D48F8AA"/>
    <w:lvl w:ilvl="0" w:tplc="5D223624">
      <w:start w:val="1"/>
      <w:numFmt w:val="bullet"/>
      <w:lvlText w:val="-"/>
      <w:lvlJc w:val="left"/>
      <w:pPr>
        <w:tabs>
          <w:tab w:val="num" w:pos="720"/>
        </w:tabs>
        <w:ind w:left="720" w:hanging="360"/>
      </w:pPr>
      <w:rPr>
        <w:rFonts w:ascii="Times New Roman" w:hAnsi="Times New Roman" w:hint="default"/>
      </w:rPr>
    </w:lvl>
    <w:lvl w:ilvl="1" w:tplc="827C3F02" w:tentative="1">
      <w:start w:val="1"/>
      <w:numFmt w:val="bullet"/>
      <w:lvlText w:val="-"/>
      <w:lvlJc w:val="left"/>
      <w:pPr>
        <w:tabs>
          <w:tab w:val="num" w:pos="1440"/>
        </w:tabs>
        <w:ind w:left="1440" w:hanging="360"/>
      </w:pPr>
      <w:rPr>
        <w:rFonts w:ascii="Times New Roman" w:hAnsi="Times New Roman" w:hint="default"/>
      </w:rPr>
    </w:lvl>
    <w:lvl w:ilvl="2" w:tplc="8636681E" w:tentative="1">
      <w:start w:val="1"/>
      <w:numFmt w:val="bullet"/>
      <w:lvlText w:val="-"/>
      <w:lvlJc w:val="left"/>
      <w:pPr>
        <w:tabs>
          <w:tab w:val="num" w:pos="2160"/>
        </w:tabs>
        <w:ind w:left="2160" w:hanging="360"/>
      </w:pPr>
      <w:rPr>
        <w:rFonts w:ascii="Times New Roman" w:hAnsi="Times New Roman" w:hint="default"/>
      </w:rPr>
    </w:lvl>
    <w:lvl w:ilvl="3" w:tplc="BA469608" w:tentative="1">
      <w:start w:val="1"/>
      <w:numFmt w:val="bullet"/>
      <w:lvlText w:val="-"/>
      <w:lvlJc w:val="left"/>
      <w:pPr>
        <w:tabs>
          <w:tab w:val="num" w:pos="2880"/>
        </w:tabs>
        <w:ind w:left="2880" w:hanging="360"/>
      </w:pPr>
      <w:rPr>
        <w:rFonts w:ascii="Times New Roman" w:hAnsi="Times New Roman" w:hint="default"/>
      </w:rPr>
    </w:lvl>
    <w:lvl w:ilvl="4" w:tplc="55E83864" w:tentative="1">
      <w:start w:val="1"/>
      <w:numFmt w:val="bullet"/>
      <w:lvlText w:val="-"/>
      <w:lvlJc w:val="left"/>
      <w:pPr>
        <w:tabs>
          <w:tab w:val="num" w:pos="3600"/>
        </w:tabs>
        <w:ind w:left="3600" w:hanging="360"/>
      </w:pPr>
      <w:rPr>
        <w:rFonts w:ascii="Times New Roman" w:hAnsi="Times New Roman" w:hint="default"/>
      </w:rPr>
    </w:lvl>
    <w:lvl w:ilvl="5" w:tplc="A880DCC2" w:tentative="1">
      <w:start w:val="1"/>
      <w:numFmt w:val="bullet"/>
      <w:lvlText w:val="-"/>
      <w:lvlJc w:val="left"/>
      <w:pPr>
        <w:tabs>
          <w:tab w:val="num" w:pos="4320"/>
        </w:tabs>
        <w:ind w:left="4320" w:hanging="360"/>
      </w:pPr>
      <w:rPr>
        <w:rFonts w:ascii="Times New Roman" w:hAnsi="Times New Roman" w:hint="default"/>
      </w:rPr>
    </w:lvl>
    <w:lvl w:ilvl="6" w:tplc="C32C063C" w:tentative="1">
      <w:start w:val="1"/>
      <w:numFmt w:val="bullet"/>
      <w:lvlText w:val="-"/>
      <w:lvlJc w:val="left"/>
      <w:pPr>
        <w:tabs>
          <w:tab w:val="num" w:pos="5040"/>
        </w:tabs>
        <w:ind w:left="5040" w:hanging="360"/>
      </w:pPr>
      <w:rPr>
        <w:rFonts w:ascii="Times New Roman" w:hAnsi="Times New Roman" w:hint="default"/>
      </w:rPr>
    </w:lvl>
    <w:lvl w:ilvl="7" w:tplc="8356056A" w:tentative="1">
      <w:start w:val="1"/>
      <w:numFmt w:val="bullet"/>
      <w:lvlText w:val="-"/>
      <w:lvlJc w:val="left"/>
      <w:pPr>
        <w:tabs>
          <w:tab w:val="num" w:pos="5760"/>
        </w:tabs>
        <w:ind w:left="5760" w:hanging="360"/>
      </w:pPr>
      <w:rPr>
        <w:rFonts w:ascii="Times New Roman" w:hAnsi="Times New Roman" w:hint="default"/>
      </w:rPr>
    </w:lvl>
    <w:lvl w:ilvl="8" w:tplc="EE8858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0C2C3F"/>
    <w:multiLevelType w:val="hybridMultilevel"/>
    <w:tmpl w:val="75E2DE44"/>
    <w:lvl w:ilvl="0" w:tplc="78141F2E">
      <w:start w:val="1"/>
      <w:numFmt w:val="bullet"/>
      <w:lvlText w:val="•"/>
      <w:lvlJc w:val="left"/>
      <w:pPr>
        <w:tabs>
          <w:tab w:val="num" w:pos="720"/>
        </w:tabs>
        <w:ind w:left="720" w:hanging="360"/>
      </w:pPr>
      <w:rPr>
        <w:rFonts w:ascii="Arial" w:hAnsi="Arial" w:hint="default"/>
      </w:rPr>
    </w:lvl>
    <w:lvl w:ilvl="1" w:tplc="8E38758E" w:tentative="1">
      <w:start w:val="1"/>
      <w:numFmt w:val="bullet"/>
      <w:lvlText w:val="•"/>
      <w:lvlJc w:val="left"/>
      <w:pPr>
        <w:tabs>
          <w:tab w:val="num" w:pos="1440"/>
        </w:tabs>
        <w:ind w:left="1440" w:hanging="360"/>
      </w:pPr>
      <w:rPr>
        <w:rFonts w:ascii="Arial" w:hAnsi="Arial" w:hint="default"/>
      </w:rPr>
    </w:lvl>
    <w:lvl w:ilvl="2" w:tplc="6B54E640" w:tentative="1">
      <w:start w:val="1"/>
      <w:numFmt w:val="bullet"/>
      <w:lvlText w:val="•"/>
      <w:lvlJc w:val="left"/>
      <w:pPr>
        <w:tabs>
          <w:tab w:val="num" w:pos="2160"/>
        </w:tabs>
        <w:ind w:left="2160" w:hanging="360"/>
      </w:pPr>
      <w:rPr>
        <w:rFonts w:ascii="Arial" w:hAnsi="Arial" w:hint="default"/>
      </w:rPr>
    </w:lvl>
    <w:lvl w:ilvl="3" w:tplc="A66026AC" w:tentative="1">
      <w:start w:val="1"/>
      <w:numFmt w:val="bullet"/>
      <w:lvlText w:val="•"/>
      <w:lvlJc w:val="left"/>
      <w:pPr>
        <w:tabs>
          <w:tab w:val="num" w:pos="2880"/>
        </w:tabs>
        <w:ind w:left="2880" w:hanging="360"/>
      </w:pPr>
      <w:rPr>
        <w:rFonts w:ascii="Arial" w:hAnsi="Arial" w:hint="default"/>
      </w:rPr>
    </w:lvl>
    <w:lvl w:ilvl="4" w:tplc="F6803C34" w:tentative="1">
      <w:start w:val="1"/>
      <w:numFmt w:val="bullet"/>
      <w:lvlText w:val="•"/>
      <w:lvlJc w:val="left"/>
      <w:pPr>
        <w:tabs>
          <w:tab w:val="num" w:pos="3600"/>
        </w:tabs>
        <w:ind w:left="3600" w:hanging="360"/>
      </w:pPr>
      <w:rPr>
        <w:rFonts w:ascii="Arial" w:hAnsi="Arial" w:hint="default"/>
      </w:rPr>
    </w:lvl>
    <w:lvl w:ilvl="5" w:tplc="015EAE72" w:tentative="1">
      <w:start w:val="1"/>
      <w:numFmt w:val="bullet"/>
      <w:lvlText w:val="•"/>
      <w:lvlJc w:val="left"/>
      <w:pPr>
        <w:tabs>
          <w:tab w:val="num" w:pos="4320"/>
        </w:tabs>
        <w:ind w:left="4320" w:hanging="360"/>
      </w:pPr>
      <w:rPr>
        <w:rFonts w:ascii="Arial" w:hAnsi="Arial" w:hint="default"/>
      </w:rPr>
    </w:lvl>
    <w:lvl w:ilvl="6" w:tplc="01E2AF96" w:tentative="1">
      <w:start w:val="1"/>
      <w:numFmt w:val="bullet"/>
      <w:lvlText w:val="•"/>
      <w:lvlJc w:val="left"/>
      <w:pPr>
        <w:tabs>
          <w:tab w:val="num" w:pos="5040"/>
        </w:tabs>
        <w:ind w:left="5040" w:hanging="360"/>
      </w:pPr>
      <w:rPr>
        <w:rFonts w:ascii="Arial" w:hAnsi="Arial" w:hint="default"/>
      </w:rPr>
    </w:lvl>
    <w:lvl w:ilvl="7" w:tplc="B0ECFD1A" w:tentative="1">
      <w:start w:val="1"/>
      <w:numFmt w:val="bullet"/>
      <w:lvlText w:val="•"/>
      <w:lvlJc w:val="left"/>
      <w:pPr>
        <w:tabs>
          <w:tab w:val="num" w:pos="5760"/>
        </w:tabs>
        <w:ind w:left="5760" w:hanging="360"/>
      </w:pPr>
      <w:rPr>
        <w:rFonts w:ascii="Arial" w:hAnsi="Arial" w:hint="default"/>
      </w:rPr>
    </w:lvl>
    <w:lvl w:ilvl="8" w:tplc="75CA5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87079D"/>
    <w:multiLevelType w:val="hybridMultilevel"/>
    <w:tmpl w:val="67CECBA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5093E"/>
    <w:multiLevelType w:val="multilevel"/>
    <w:tmpl w:val="92D0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1A7F0F"/>
    <w:multiLevelType w:val="hybridMultilevel"/>
    <w:tmpl w:val="48D43C54"/>
    <w:lvl w:ilvl="0" w:tplc="08090011">
      <w:start w:val="1"/>
      <w:numFmt w:val="decimal"/>
      <w:lvlText w:val="%1)"/>
      <w:lvlJc w:val="left"/>
      <w:pPr>
        <w:tabs>
          <w:tab w:val="num" w:pos="720"/>
        </w:tabs>
        <w:ind w:left="720" w:hanging="360"/>
      </w:pPr>
      <w:rPr>
        <w:rFonts w:hint="default"/>
      </w:rPr>
    </w:lvl>
    <w:lvl w:ilvl="1" w:tplc="B84489D6" w:tentative="1">
      <w:start w:val="1"/>
      <w:numFmt w:val="bullet"/>
      <w:lvlText w:val="•"/>
      <w:lvlJc w:val="left"/>
      <w:pPr>
        <w:tabs>
          <w:tab w:val="num" w:pos="1440"/>
        </w:tabs>
        <w:ind w:left="1440" w:hanging="360"/>
      </w:pPr>
      <w:rPr>
        <w:rFonts w:ascii="Arial" w:hAnsi="Arial" w:hint="default"/>
      </w:rPr>
    </w:lvl>
    <w:lvl w:ilvl="2" w:tplc="5D6428D6" w:tentative="1">
      <w:start w:val="1"/>
      <w:numFmt w:val="bullet"/>
      <w:lvlText w:val="•"/>
      <w:lvlJc w:val="left"/>
      <w:pPr>
        <w:tabs>
          <w:tab w:val="num" w:pos="2160"/>
        </w:tabs>
        <w:ind w:left="2160" w:hanging="360"/>
      </w:pPr>
      <w:rPr>
        <w:rFonts w:ascii="Arial" w:hAnsi="Arial" w:hint="default"/>
      </w:rPr>
    </w:lvl>
    <w:lvl w:ilvl="3" w:tplc="F2B81A02" w:tentative="1">
      <w:start w:val="1"/>
      <w:numFmt w:val="bullet"/>
      <w:lvlText w:val="•"/>
      <w:lvlJc w:val="left"/>
      <w:pPr>
        <w:tabs>
          <w:tab w:val="num" w:pos="2880"/>
        </w:tabs>
        <w:ind w:left="2880" w:hanging="360"/>
      </w:pPr>
      <w:rPr>
        <w:rFonts w:ascii="Arial" w:hAnsi="Arial" w:hint="default"/>
      </w:rPr>
    </w:lvl>
    <w:lvl w:ilvl="4" w:tplc="4764579E" w:tentative="1">
      <w:start w:val="1"/>
      <w:numFmt w:val="bullet"/>
      <w:lvlText w:val="•"/>
      <w:lvlJc w:val="left"/>
      <w:pPr>
        <w:tabs>
          <w:tab w:val="num" w:pos="3600"/>
        </w:tabs>
        <w:ind w:left="3600" w:hanging="360"/>
      </w:pPr>
      <w:rPr>
        <w:rFonts w:ascii="Arial" w:hAnsi="Arial" w:hint="default"/>
      </w:rPr>
    </w:lvl>
    <w:lvl w:ilvl="5" w:tplc="A60C86CA" w:tentative="1">
      <w:start w:val="1"/>
      <w:numFmt w:val="bullet"/>
      <w:lvlText w:val="•"/>
      <w:lvlJc w:val="left"/>
      <w:pPr>
        <w:tabs>
          <w:tab w:val="num" w:pos="4320"/>
        </w:tabs>
        <w:ind w:left="4320" w:hanging="360"/>
      </w:pPr>
      <w:rPr>
        <w:rFonts w:ascii="Arial" w:hAnsi="Arial" w:hint="default"/>
      </w:rPr>
    </w:lvl>
    <w:lvl w:ilvl="6" w:tplc="95101C88" w:tentative="1">
      <w:start w:val="1"/>
      <w:numFmt w:val="bullet"/>
      <w:lvlText w:val="•"/>
      <w:lvlJc w:val="left"/>
      <w:pPr>
        <w:tabs>
          <w:tab w:val="num" w:pos="5040"/>
        </w:tabs>
        <w:ind w:left="5040" w:hanging="360"/>
      </w:pPr>
      <w:rPr>
        <w:rFonts w:ascii="Arial" w:hAnsi="Arial" w:hint="default"/>
      </w:rPr>
    </w:lvl>
    <w:lvl w:ilvl="7" w:tplc="D72C3C9C" w:tentative="1">
      <w:start w:val="1"/>
      <w:numFmt w:val="bullet"/>
      <w:lvlText w:val="•"/>
      <w:lvlJc w:val="left"/>
      <w:pPr>
        <w:tabs>
          <w:tab w:val="num" w:pos="5760"/>
        </w:tabs>
        <w:ind w:left="5760" w:hanging="360"/>
      </w:pPr>
      <w:rPr>
        <w:rFonts w:ascii="Arial" w:hAnsi="Arial" w:hint="default"/>
      </w:rPr>
    </w:lvl>
    <w:lvl w:ilvl="8" w:tplc="A8184E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311F13"/>
    <w:multiLevelType w:val="hybridMultilevel"/>
    <w:tmpl w:val="C2CA5644"/>
    <w:lvl w:ilvl="0" w:tplc="910260B0">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86BB2"/>
    <w:multiLevelType w:val="multilevel"/>
    <w:tmpl w:val="97425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18C31DF"/>
    <w:multiLevelType w:val="multilevel"/>
    <w:tmpl w:val="0EF04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625173D"/>
    <w:multiLevelType w:val="multilevel"/>
    <w:tmpl w:val="76B8F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7D978A3"/>
    <w:multiLevelType w:val="hybridMultilevel"/>
    <w:tmpl w:val="D56E699E"/>
    <w:lvl w:ilvl="0" w:tplc="625A9C88">
      <w:start w:val="1"/>
      <w:numFmt w:val="bullet"/>
      <w:lvlText w:val="•"/>
      <w:lvlJc w:val="left"/>
      <w:pPr>
        <w:tabs>
          <w:tab w:val="num" w:pos="720"/>
        </w:tabs>
        <w:ind w:left="720" w:hanging="360"/>
      </w:pPr>
      <w:rPr>
        <w:rFonts w:ascii="Arial" w:hAnsi="Arial" w:hint="default"/>
      </w:rPr>
    </w:lvl>
    <w:lvl w:ilvl="1" w:tplc="B84489D6" w:tentative="1">
      <w:start w:val="1"/>
      <w:numFmt w:val="bullet"/>
      <w:lvlText w:val="•"/>
      <w:lvlJc w:val="left"/>
      <w:pPr>
        <w:tabs>
          <w:tab w:val="num" w:pos="1440"/>
        </w:tabs>
        <w:ind w:left="1440" w:hanging="360"/>
      </w:pPr>
      <w:rPr>
        <w:rFonts w:ascii="Arial" w:hAnsi="Arial" w:hint="default"/>
      </w:rPr>
    </w:lvl>
    <w:lvl w:ilvl="2" w:tplc="5D6428D6" w:tentative="1">
      <w:start w:val="1"/>
      <w:numFmt w:val="bullet"/>
      <w:lvlText w:val="•"/>
      <w:lvlJc w:val="left"/>
      <w:pPr>
        <w:tabs>
          <w:tab w:val="num" w:pos="2160"/>
        </w:tabs>
        <w:ind w:left="2160" w:hanging="360"/>
      </w:pPr>
      <w:rPr>
        <w:rFonts w:ascii="Arial" w:hAnsi="Arial" w:hint="default"/>
      </w:rPr>
    </w:lvl>
    <w:lvl w:ilvl="3" w:tplc="F2B81A02" w:tentative="1">
      <w:start w:val="1"/>
      <w:numFmt w:val="bullet"/>
      <w:lvlText w:val="•"/>
      <w:lvlJc w:val="left"/>
      <w:pPr>
        <w:tabs>
          <w:tab w:val="num" w:pos="2880"/>
        </w:tabs>
        <w:ind w:left="2880" w:hanging="360"/>
      </w:pPr>
      <w:rPr>
        <w:rFonts w:ascii="Arial" w:hAnsi="Arial" w:hint="default"/>
      </w:rPr>
    </w:lvl>
    <w:lvl w:ilvl="4" w:tplc="4764579E" w:tentative="1">
      <w:start w:val="1"/>
      <w:numFmt w:val="bullet"/>
      <w:lvlText w:val="•"/>
      <w:lvlJc w:val="left"/>
      <w:pPr>
        <w:tabs>
          <w:tab w:val="num" w:pos="3600"/>
        </w:tabs>
        <w:ind w:left="3600" w:hanging="360"/>
      </w:pPr>
      <w:rPr>
        <w:rFonts w:ascii="Arial" w:hAnsi="Arial" w:hint="default"/>
      </w:rPr>
    </w:lvl>
    <w:lvl w:ilvl="5" w:tplc="A60C86CA" w:tentative="1">
      <w:start w:val="1"/>
      <w:numFmt w:val="bullet"/>
      <w:lvlText w:val="•"/>
      <w:lvlJc w:val="left"/>
      <w:pPr>
        <w:tabs>
          <w:tab w:val="num" w:pos="4320"/>
        </w:tabs>
        <w:ind w:left="4320" w:hanging="360"/>
      </w:pPr>
      <w:rPr>
        <w:rFonts w:ascii="Arial" w:hAnsi="Arial" w:hint="default"/>
      </w:rPr>
    </w:lvl>
    <w:lvl w:ilvl="6" w:tplc="95101C88" w:tentative="1">
      <w:start w:val="1"/>
      <w:numFmt w:val="bullet"/>
      <w:lvlText w:val="•"/>
      <w:lvlJc w:val="left"/>
      <w:pPr>
        <w:tabs>
          <w:tab w:val="num" w:pos="5040"/>
        </w:tabs>
        <w:ind w:left="5040" w:hanging="360"/>
      </w:pPr>
      <w:rPr>
        <w:rFonts w:ascii="Arial" w:hAnsi="Arial" w:hint="default"/>
      </w:rPr>
    </w:lvl>
    <w:lvl w:ilvl="7" w:tplc="D72C3C9C" w:tentative="1">
      <w:start w:val="1"/>
      <w:numFmt w:val="bullet"/>
      <w:lvlText w:val="•"/>
      <w:lvlJc w:val="left"/>
      <w:pPr>
        <w:tabs>
          <w:tab w:val="num" w:pos="5760"/>
        </w:tabs>
        <w:ind w:left="5760" w:hanging="360"/>
      </w:pPr>
      <w:rPr>
        <w:rFonts w:ascii="Arial" w:hAnsi="Arial" w:hint="default"/>
      </w:rPr>
    </w:lvl>
    <w:lvl w:ilvl="8" w:tplc="A8184E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5D0D2F"/>
    <w:multiLevelType w:val="multilevel"/>
    <w:tmpl w:val="D06C7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1E25447"/>
    <w:multiLevelType w:val="hybridMultilevel"/>
    <w:tmpl w:val="7EA4C28C"/>
    <w:lvl w:ilvl="0" w:tplc="F8F0B042">
      <w:start w:val="8"/>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C1AB8"/>
    <w:multiLevelType w:val="hybridMultilevel"/>
    <w:tmpl w:val="394EC23C"/>
    <w:lvl w:ilvl="0" w:tplc="B99E8D6E">
      <w:start w:val="8"/>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36AE6"/>
    <w:multiLevelType w:val="multilevel"/>
    <w:tmpl w:val="98F22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EF72BDB"/>
    <w:multiLevelType w:val="multilevel"/>
    <w:tmpl w:val="53486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9"/>
  </w:num>
  <w:num w:numId="3">
    <w:abstractNumId w:val="3"/>
  </w:num>
  <w:num w:numId="4">
    <w:abstractNumId w:val="14"/>
  </w:num>
  <w:num w:numId="5">
    <w:abstractNumId w:val="13"/>
  </w:num>
  <w:num w:numId="6">
    <w:abstractNumId w:val="16"/>
  </w:num>
  <w:num w:numId="7">
    <w:abstractNumId w:val="12"/>
  </w:num>
  <w:num w:numId="8">
    <w:abstractNumId w:val="2"/>
  </w:num>
  <w:num w:numId="9">
    <w:abstractNumId w:val="20"/>
  </w:num>
  <w:num w:numId="10">
    <w:abstractNumId w:val="18"/>
  </w:num>
  <w:num w:numId="11">
    <w:abstractNumId w:val="17"/>
  </w:num>
  <w:num w:numId="12">
    <w:abstractNumId w:val="8"/>
  </w:num>
  <w:num w:numId="13">
    <w:abstractNumId w:val="11"/>
  </w:num>
  <w:num w:numId="14">
    <w:abstractNumId w:val="9"/>
  </w:num>
  <w:num w:numId="15">
    <w:abstractNumId w:val="7"/>
  </w:num>
  <w:num w:numId="16">
    <w:abstractNumId w:val="1"/>
  </w:num>
  <w:num w:numId="17">
    <w:abstractNumId w:val="6"/>
  </w:num>
  <w:num w:numId="18">
    <w:abstractNumId w:val="15"/>
  </w:num>
  <w:num w:numId="19">
    <w:abstractNumId w:val="0"/>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3A"/>
    <w:rsid w:val="000857CB"/>
    <w:rsid w:val="000A1EA7"/>
    <w:rsid w:val="000A52F3"/>
    <w:rsid w:val="000D3478"/>
    <w:rsid w:val="000E251A"/>
    <w:rsid w:val="000E72CD"/>
    <w:rsid w:val="000F72AD"/>
    <w:rsid w:val="001009EB"/>
    <w:rsid w:val="00120477"/>
    <w:rsid w:val="0012191D"/>
    <w:rsid w:val="00171742"/>
    <w:rsid w:val="00182835"/>
    <w:rsid w:val="001A47DD"/>
    <w:rsid w:val="001B5898"/>
    <w:rsid w:val="001D0B8C"/>
    <w:rsid w:val="00201A5B"/>
    <w:rsid w:val="002125CA"/>
    <w:rsid w:val="002150FB"/>
    <w:rsid w:val="00215E8C"/>
    <w:rsid w:val="00224FF3"/>
    <w:rsid w:val="002368EE"/>
    <w:rsid w:val="00261EA2"/>
    <w:rsid w:val="00271791"/>
    <w:rsid w:val="0027274A"/>
    <w:rsid w:val="00283184"/>
    <w:rsid w:val="002D3CD5"/>
    <w:rsid w:val="003221C8"/>
    <w:rsid w:val="00335984"/>
    <w:rsid w:val="00336277"/>
    <w:rsid w:val="003609F3"/>
    <w:rsid w:val="003622F7"/>
    <w:rsid w:val="00375FBE"/>
    <w:rsid w:val="0038151F"/>
    <w:rsid w:val="00382C3A"/>
    <w:rsid w:val="00390CA1"/>
    <w:rsid w:val="003B3AB7"/>
    <w:rsid w:val="003B4EA5"/>
    <w:rsid w:val="003D3C71"/>
    <w:rsid w:val="003E7131"/>
    <w:rsid w:val="00477902"/>
    <w:rsid w:val="004779D1"/>
    <w:rsid w:val="004A6C72"/>
    <w:rsid w:val="004B67E8"/>
    <w:rsid w:val="004C4536"/>
    <w:rsid w:val="004D4BDE"/>
    <w:rsid w:val="004E08B5"/>
    <w:rsid w:val="004E22E6"/>
    <w:rsid w:val="004F4DD2"/>
    <w:rsid w:val="005175DA"/>
    <w:rsid w:val="00525113"/>
    <w:rsid w:val="00550C98"/>
    <w:rsid w:val="00583C9E"/>
    <w:rsid w:val="00597DA7"/>
    <w:rsid w:val="005B5D61"/>
    <w:rsid w:val="005D536E"/>
    <w:rsid w:val="006221F3"/>
    <w:rsid w:val="00632A35"/>
    <w:rsid w:val="00634E34"/>
    <w:rsid w:val="00643646"/>
    <w:rsid w:val="00661180"/>
    <w:rsid w:val="00661F42"/>
    <w:rsid w:val="006675BD"/>
    <w:rsid w:val="006769BD"/>
    <w:rsid w:val="00681FD4"/>
    <w:rsid w:val="00692A3E"/>
    <w:rsid w:val="006C583B"/>
    <w:rsid w:val="006D3C65"/>
    <w:rsid w:val="006E30D4"/>
    <w:rsid w:val="007071D1"/>
    <w:rsid w:val="007526BB"/>
    <w:rsid w:val="00767B59"/>
    <w:rsid w:val="00777748"/>
    <w:rsid w:val="00787E53"/>
    <w:rsid w:val="007A00BC"/>
    <w:rsid w:val="007D7C5D"/>
    <w:rsid w:val="007E1805"/>
    <w:rsid w:val="00813108"/>
    <w:rsid w:val="00820DEE"/>
    <w:rsid w:val="00857E89"/>
    <w:rsid w:val="00892E1C"/>
    <w:rsid w:val="008B21BC"/>
    <w:rsid w:val="008E08B9"/>
    <w:rsid w:val="00935D4D"/>
    <w:rsid w:val="0096083B"/>
    <w:rsid w:val="00970B3E"/>
    <w:rsid w:val="00977225"/>
    <w:rsid w:val="00977B86"/>
    <w:rsid w:val="009A007C"/>
    <w:rsid w:val="009B0374"/>
    <w:rsid w:val="009B5767"/>
    <w:rsid w:val="009D4BC9"/>
    <w:rsid w:val="009E16CA"/>
    <w:rsid w:val="009E7371"/>
    <w:rsid w:val="009E7C49"/>
    <w:rsid w:val="00A043C6"/>
    <w:rsid w:val="00A463CE"/>
    <w:rsid w:val="00A710FA"/>
    <w:rsid w:val="00AA19B0"/>
    <w:rsid w:val="00AC0051"/>
    <w:rsid w:val="00AD6EEF"/>
    <w:rsid w:val="00AF6163"/>
    <w:rsid w:val="00B1341B"/>
    <w:rsid w:val="00B15233"/>
    <w:rsid w:val="00B24C87"/>
    <w:rsid w:val="00B74CB2"/>
    <w:rsid w:val="00B91392"/>
    <w:rsid w:val="00BC48CA"/>
    <w:rsid w:val="00BD4AE7"/>
    <w:rsid w:val="00BD5814"/>
    <w:rsid w:val="00C34F17"/>
    <w:rsid w:val="00C606BE"/>
    <w:rsid w:val="00C63A0C"/>
    <w:rsid w:val="00C80879"/>
    <w:rsid w:val="00C82E71"/>
    <w:rsid w:val="00CA07A3"/>
    <w:rsid w:val="00CC5640"/>
    <w:rsid w:val="00CD05F2"/>
    <w:rsid w:val="00CF1472"/>
    <w:rsid w:val="00CF72EC"/>
    <w:rsid w:val="00D02190"/>
    <w:rsid w:val="00D024E7"/>
    <w:rsid w:val="00D21400"/>
    <w:rsid w:val="00D32E3F"/>
    <w:rsid w:val="00D4271E"/>
    <w:rsid w:val="00D43290"/>
    <w:rsid w:val="00D43370"/>
    <w:rsid w:val="00D62C20"/>
    <w:rsid w:val="00D73B9E"/>
    <w:rsid w:val="00D75B9A"/>
    <w:rsid w:val="00D76AE5"/>
    <w:rsid w:val="00D94D60"/>
    <w:rsid w:val="00DA0DE2"/>
    <w:rsid w:val="00E02026"/>
    <w:rsid w:val="00E31C7F"/>
    <w:rsid w:val="00E710FD"/>
    <w:rsid w:val="00E772C3"/>
    <w:rsid w:val="00EB4480"/>
    <w:rsid w:val="00EB6E26"/>
    <w:rsid w:val="00EC6432"/>
    <w:rsid w:val="00EE0234"/>
    <w:rsid w:val="00EE1F0F"/>
    <w:rsid w:val="00F1054A"/>
    <w:rsid w:val="00F16950"/>
    <w:rsid w:val="00F20711"/>
    <w:rsid w:val="00F34575"/>
    <w:rsid w:val="00F349FA"/>
    <w:rsid w:val="00F41320"/>
    <w:rsid w:val="00F451AB"/>
    <w:rsid w:val="00F50922"/>
    <w:rsid w:val="00F51195"/>
    <w:rsid w:val="00F518AD"/>
    <w:rsid w:val="00F56BFA"/>
    <w:rsid w:val="00F56D6D"/>
    <w:rsid w:val="00F67522"/>
    <w:rsid w:val="00F83121"/>
    <w:rsid w:val="00F92A27"/>
    <w:rsid w:val="00F970BF"/>
    <w:rsid w:val="00FB516F"/>
    <w:rsid w:val="00FC1BA4"/>
    <w:rsid w:val="00FC7859"/>
    <w:rsid w:val="00FF5556"/>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4CB3"/>
  <w15:docId w15:val="{5B9BE9A2-4EF5-4717-BB40-73526EE6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2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7"/>
    <w:rPr>
      <w:rFonts w:ascii="Tahoma" w:hAnsi="Tahoma" w:cs="Tahoma"/>
      <w:sz w:val="16"/>
      <w:szCs w:val="16"/>
    </w:rPr>
  </w:style>
  <w:style w:type="paragraph" w:styleId="FootnoteText">
    <w:name w:val="footnote text"/>
    <w:basedOn w:val="Normal"/>
    <w:link w:val="FootnoteTextChar"/>
    <w:uiPriority w:val="99"/>
    <w:semiHidden/>
    <w:unhideWhenUsed/>
    <w:rsid w:val="00D024E7"/>
    <w:pPr>
      <w:spacing w:line="240" w:lineRule="auto"/>
    </w:pPr>
    <w:rPr>
      <w:sz w:val="20"/>
      <w:szCs w:val="20"/>
    </w:rPr>
  </w:style>
  <w:style w:type="character" w:customStyle="1" w:styleId="FootnoteTextChar">
    <w:name w:val="Footnote Text Char"/>
    <w:basedOn w:val="DefaultParagraphFont"/>
    <w:link w:val="FootnoteText"/>
    <w:uiPriority w:val="99"/>
    <w:semiHidden/>
    <w:rsid w:val="00D024E7"/>
    <w:rPr>
      <w:sz w:val="20"/>
      <w:szCs w:val="20"/>
    </w:rPr>
  </w:style>
  <w:style w:type="character" w:styleId="FootnoteReference">
    <w:name w:val="footnote reference"/>
    <w:basedOn w:val="DefaultParagraphFont"/>
    <w:uiPriority w:val="99"/>
    <w:semiHidden/>
    <w:unhideWhenUsed/>
    <w:rsid w:val="00D024E7"/>
    <w:rPr>
      <w:vertAlign w:val="superscript"/>
    </w:rPr>
  </w:style>
  <w:style w:type="paragraph" w:styleId="ListParagraph">
    <w:name w:val="List Paragraph"/>
    <w:basedOn w:val="Normal"/>
    <w:uiPriority w:val="34"/>
    <w:qFormat/>
    <w:rsid w:val="00CD05F2"/>
    <w:pPr>
      <w:ind w:left="720"/>
      <w:contextualSpacing/>
    </w:pPr>
  </w:style>
  <w:style w:type="character" w:styleId="CommentReference">
    <w:name w:val="annotation reference"/>
    <w:basedOn w:val="DefaultParagraphFont"/>
    <w:uiPriority w:val="99"/>
    <w:semiHidden/>
    <w:unhideWhenUsed/>
    <w:rsid w:val="00CD05F2"/>
    <w:rPr>
      <w:sz w:val="16"/>
      <w:szCs w:val="16"/>
    </w:rPr>
  </w:style>
  <w:style w:type="paragraph" w:styleId="CommentText">
    <w:name w:val="annotation text"/>
    <w:basedOn w:val="Normal"/>
    <w:link w:val="CommentTextChar"/>
    <w:uiPriority w:val="99"/>
    <w:semiHidden/>
    <w:unhideWhenUsed/>
    <w:rsid w:val="00CD05F2"/>
    <w:pPr>
      <w:spacing w:line="240" w:lineRule="auto"/>
    </w:pPr>
    <w:rPr>
      <w:sz w:val="20"/>
      <w:szCs w:val="20"/>
    </w:rPr>
  </w:style>
  <w:style w:type="character" w:customStyle="1" w:styleId="CommentTextChar">
    <w:name w:val="Comment Text Char"/>
    <w:basedOn w:val="DefaultParagraphFont"/>
    <w:link w:val="CommentText"/>
    <w:uiPriority w:val="99"/>
    <w:semiHidden/>
    <w:rsid w:val="00CD05F2"/>
    <w:rPr>
      <w:sz w:val="20"/>
      <w:szCs w:val="20"/>
    </w:rPr>
  </w:style>
  <w:style w:type="paragraph" w:styleId="CommentSubject">
    <w:name w:val="annotation subject"/>
    <w:basedOn w:val="CommentText"/>
    <w:next w:val="CommentText"/>
    <w:link w:val="CommentSubjectChar"/>
    <w:uiPriority w:val="99"/>
    <w:semiHidden/>
    <w:unhideWhenUsed/>
    <w:rsid w:val="00CD05F2"/>
    <w:rPr>
      <w:b/>
      <w:bCs/>
    </w:rPr>
  </w:style>
  <w:style w:type="character" w:customStyle="1" w:styleId="CommentSubjectChar">
    <w:name w:val="Comment Subject Char"/>
    <w:basedOn w:val="CommentTextChar"/>
    <w:link w:val="CommentSubject"/>
    <w:uiPriority w:val="99"/>
    <w:semiHidden/>
    <w:rsid w:val="00CD05F2"/>
    <w:rPr>
      <w:b/>
      <w:bCs/>
      <w:sz w:val="20"/>
      <w:szCs w:val="20"/>
    </w:rPr>
  </w:style>
  <w:style w:type="character" w:styleId="Hyperlink">
    <w:name w:val="Hyperlink"/>
    <w:basedOn w:val="DefaultParagraphFont"/>
    <w:uiPriority w:val="99"/>
    <w:unhideWhenUsed/>
    <w:rsid w:val="001D0B8C"/>
    <w:rPr>
      <w:color w:val="0000FF" w:themeColor="hyperlink"/>
      <w:u w:val="single"/>
    </w:rPr>
  </w:style>
  <w:style w:type="character" w:styleId="FollowedHyperlink">
    <w:name w:val="FollowedHyperlink"/>
    <w:basedOn w:val="DefaultParagraphFont"/>
    <w:uiPriority w:val="99"/>
    <w:semiHidden/>
    <w:unhideWhenUsed/>
    <w:rsid w:val="00171742"/>
    <w:rPr>
      <w:color w:val="800080" w:themeColor="followedHyperlink"/>
      <w:u w:val="single"/>
    </w:rPr>
  </w:style>
  <w:style w:type="paragraph" w:styleId="Header">
    <w:name w:val="header"/>
    <w:basedOn w:val="Normal"/>
    <w:link w:val="HeaderChar"/>
    <w:uiPriority w:val="99"/>
    <w:unhideWhenUsed/>
    <w:rsid w:val="00F56D6D"/>
    <w:pPr>
      <w:tabs>
        <w:tab w:val="center" w:pos="4513"/>
        <w:tab w:val="right" w:pos="9026"/>
      </w:tabs>
      <w:spacing w:line="240" w:lineRule="auto"/>
    </w:pPr>
  </w:style>
  <w:style w:type="character" w:customStyle="1" w:styleId="HeaderChar">
    <w:name w:val="Header Char"/>
    <w:basedOn w:val="DefaultParagraphFont"/>
    <w:link w:val="Header"/>
    <w:uiPriority w:val="99"/>
    <w:rsid w:val="00F56D6D"/>
  </w:style>
  <w:style w:type="paragraph" w:styleId="Footer">
    <w:name w:val="footer"/>
    <w:basedOn w:val="Normal"/>
    <w:link w:val="FooterChar"/>
    <w:uiPriority w:val="99"/>
    <w:unhideWhenUsed/>
    <w:rsid w:val="00F56D6D"/>
    <w:pPr>
      <w:tabs>
        <w:tab w:val="center" w:pos="4513"/>
        <w:tab w:val="right" w:pos="9026"/>
      </w:tabs>
      <w:spacing w:line="240" w:lineRule="auto"/>
    </w:pPr>
  </w:style>
  <w:style w:type="character" w:customStyle="1" w:styleId="FooterChar">
    <w:name w:val="Footer Char"/>
    <w:basedOn w:val="DefaultParagraphFont"/>
    <w:link w:val="Footer"/>
    <w:uiPriority w:val="99"/>
    <w:rsid w:val="00F5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8701">
      <w:bodyDiv w:val="1"/>
      <w:marLeft w:val="0"/>
      <w:marRight w:val="0"/>
      <w:marTop w:val="0"/>
      <w:marBottom w:val="0"/>
      <w:divBdr>
        <w:top w:val="none" w:sz="0" w:space="0" w:color="auto"/>
        <w:left w:val="none" w:sz="0" w:space="0" w:color="auto"/>
        <w:bottom w:val="none" w:sz="0" w:space="0" w:color="auto"/>
        <w:right w:val="none" w:sz="0" w:space="0" w:color="auto"/>
      </w:divBdr>
      <w:divsChild>
        <w:div w:id="1920288247">
          <w:marLeft w:val="360"/>
          <w:marRight w:val="0"/>
          <w:marTop w:val="300"/>
          <w:marBottom w:val="0"/>
          <w:divBdr>
            <w:top w:val="none" w:sz="0" w:space="0" w:color="auto"/>
            <w:left w:val="none" w:sz="0" w:space="0" w:color="auto"/>
            <w:bottom w:val="none" w:sz="0" w:space="0" w:color="auto"/>
            <w:right w:val="none" w:sz="0" w:space="0" w:color="auto"/>
          </w:divBdr>
        </w:div>
        <w:div w:id="1607301722">
          <w:marLeft w:val="360"/>
          <w:marRight w:val="0"/>
          <w:marTop w:val="300"/>
          <w:marBottom w:val="0"/>
          <w:divBdr>
            <w:top w:val="none" w:sz="0" w:space="0" w:color="auto"/>
            <w:left w:val="none" w:sz="0" w:space="0" w:color="auto"/>
            <w:bottom w:val="none" w:sz="0" w:space="0" w:color="auto"/>
            <w:right w:val="none" w:sz="0" w:space="0" w:color="auto"/>
          </w:divBdr>
        </w:div>
        <w:div w:id="2039969737">
          <w:marLeft w:val="360"/>
          <w:marRight w:val="0"/>
          <w:marTop w:val="300"/>
          <w:marBottom w:val="0"/>
          <w:divBdr>
            <w:top w:val="none" w:sz="0" w:space="0" w:color="auto"/>
            <w:left w:val="none" w:sz="0" w:space="0" w:color="auto"/>
            <w:bottom w:val="none" w:sz="0" w:space="0" w:color="auto"/>
            <w:right w:val="none" w:sz="0" w:space="0" w:color="auto"/>
          </w:divBdr>
        </w:div>
        <w:div w:id="124737653">
          <w:marLeft w:val="360"/>
          <w:marRight w:val="0"/>
          <w:marTop w:val="300"/>
          <w:marBottom w:val="0"/>
          <w:divBdr>
            <w:top w:val="none" w:sz="0" w:space="0" w:color="auto"/>
            <w:left w:val="none" w:sz="0" w:space="0" w:color="auto"/>
            <w:bottom w:val="none" w:sz="0" w:space="0" w:color="auto"/>
            <w:right w:val="none" w:sz="0" w:space="0" w:color="auto"/>
          </w:divBdr>
        </w:div>
        <w:div w:id="748691744">
          <w:marLeft w:val="360"/>
          <w:marRight w:val="0"/>
          <w:marTop w:val="300"/>
          <w:marBottom w:val="0"/>
          <w:divBdr>
            <w:top w:val="none" w:sz="0" w:space="0" w:color="auto"/>
            <w:left w:val="none" w:sz="0" w:space="0" w:color="auto"/>
            <w:bottom w:val="none" w:sz="0" w:space="0" w:color="auto"/>
            <w:right w:val="none" w:sz="0" w:space="0" w:color="auto"/>
          </w:divBdr>
        </w:div>
        <w:div w:id="1729375667">
          <w:marLeft w:val="360"/>
          <w:marRight w:val="0"/>
          <w:marTop w:val="300"/>
          <w:marBottom w:val="0"/>
          <w:divBdr>
            <w:top w:val="none" w:sz="0" w:space="0" w:color="auto"/>
            <w:left w:val="none" w:sz="0" w:space="0" w:color="auto"/>
            <w:bottom w:val="none" w:sz="0" w:space="0" w:color="auto"/>
            <w:right w:val="none" w:sz="0" w:space="0" w:color="auto"/>
          </w:divBdr>
        </w:div>
        <w:div w:id="949436370">
          <w:marLeft w:val="360"/>
          <w:marRight w:val="0"/>
          <w:marTop w:val="300"/>
          <w:marBottom w:val="0"/>
          <w:divBdr>
            <w:top w:val="none" w:sz="0" w:space="0" w:color="auto"/>
            <w:left w:val="none" w:sz="0" w:space="0" w:color="auto"/>
            <w:bottom w:val="none" w:sz="0" w:space="0" w:color="auto"/>
            <w:right w:val="none" w:sz="0" w:space="0" w:color="auto"/>
          </w:divBdr>
        </w:div>
      </w:divsChild>
    </w:div>
    <w:div w:id="58407662">
      <w:bodyDiv w:val="1"/>
      <w:marLeft w:val="0"/>
      <w:marRight w:val="0"/>
      <w:marTop w:val="0"/>
      <w:marBottom w:val="0"/>
      <w:divBdr>
        <w:top w:val="none" w:sz="0" w:space="0" w:color="auto"/>
        <w:left w:val="none" w:sz="0" w:space="0" w:color="auto"/>
        <w:bottom w:val="none" w:sz="0" w:space="0" w:color="auto"/>
        <w:right w:val="none" w:sz="0" w:space="0" w:color="auto"/>
      </w:divBdr>
    </w:div>
    <w:div w:id="237981355">
      <w:bodyDiv w:val="1"/>
      <w:marLeft w:val="0"/>
      <w:marRight w:val="0"/>
      <w:marTop w:val="0"/>
      <w:marBottom w:val="0"/>
      <w:divBdr>
        <w:top w:val="none" w:sz="0" w:space="0" w:color="auto"/>
        <w:left w:val="none" w:sz="0" w:space="0" w:color="auto"/>
        <w:bottom w:val="none" w:sz="0" w:space="0" w:color="auto"/>
        <w:right w:val="none" w:sz="0" w:space="0" w:color="auto"/>
      </w:divBdr>
      <w:divsChild>
        <w:div w:id="1682581892">
          <w:marLeft w:val="360"/>
          <w:marRight w:val="0"/>
          <w:marTop w:val="200"/>
          <w:marBottom w:val="0"/>
          <w:divBdr>
            <w:top w:val="none" w:sz="0" w:space="0" w:color="auto"/>
            <w:left w:val="none" w:sz="0" w:space="0" w:color="auto"/>
            <w:bottom w:val="none" w:sz="0" w:space="0" w:color="auto"/>
            <w:right w:val="none" w:sz="0" w:space="0" w:color="auto"/>
          </w:divBdr>
        </w:div>
        <w:div w:id="1476144181">
          <w:marLeft w:val="360"/>
          <w:marRight w:val="0"/>
          <w:marTop w:val="200"/>
          <w:marBottom w:val="0"/>
          <w:divBdr>
            <w:top w:val="none" w:sz="0" w:space="0" w:color="auto"/>
            <w:left w:val="none" w:sz="0" w:space="0" w:color="auto"/>
            <w:bottom w:val="none" w:sz="0" w:space="0" w:color="auto"/>
            <w:right w:val="none" w:sz="0" w:space="0" w:color="auto"/>
          </w:divBdr>
        </w:div>
        <w:div w:id="1801680177">
          <w:marLeft w:val="360"/>
          <w:marRight w:val="0"/>
          <w:marTop w:val="200"/>
          <w:marBottom w:val="0"/>
          <w:divBdr>
            <w:top w:val="none" w:sz="0" w:space="0" w:color="auto"/>
            <w:left w:val="none" w:sz="0" w:space="0" w:color="auto"/>
            <w:bottom w:val="none" w:sz="0" w:space="0" w:color="auto"/>
            <w:right w:val="none" w:sz="0" w:space="0" w:color="auto"/>
          </w:divBdr>
        </w:div>
        <w:div w:id="929432867">
          <w:marLeft w:val="360"/>
          <w:marRight w:val="0"/>
          <w:marTop w:val="200"/>
          <w:marBottom w:val="0"/>
          <w:divBdr>
            <w:top w:val="none" w:sz="0" w:space="0" w:color="auto"/>
            <w:left w:val="none" w:sz="0" w:space="0" w:color="auto"/>
            <w:bottom w:val="none" w:sz="0" w:space="0" w:color="auto"/>
            <w:right w:val="none" w:sz="0" w:space="0" w:color="auto"/>
          </w:divBdr>
        </w:div>
      </w:divsChild>
    </w:div>
    <w:div w:id="264272814">
      <w:bodyDiv w:val="1"/>
      <w:marLeft w:val="0"/>
      <w:marRight w:val="0"/>
      <w:marTop w:val="0"/>
      <w:marBottom w:val="0"/>
      <w:divBdr>
        <w:top w:val="none" w:sz="0" w:space="0" w:color="auto"/>
        <w:left w:val="none" w:sz="0" w:space="0" w:color="auto"/>
        <w:bottom w:val="none" w:sz="0" w:space="0" w:color="auto"/>
        <w:right w:val="none" w:sz="0" w:space="0" w:color="auto"/>
      </w:divBdr>
      <w:divsChild>
        <w:div w:id="1222717106">
          <w:marLeft w:val="360"/>
          <w:marRight w:val="0"/>
          <w:marTop w:val="200"/>
          <w:marBottom w:val="0"/>
          <w:divBdr>
            <w:top w:val="none" w:sz="0" w:space="0" w:color="auto"/>
            <w:left w:val="none" w:sz="0" w:space="0" w:color="auto"/>
            <w:bottom w:val="none" w:sz="0" w:space="0" w:color="auto"/>
            <w:right w:val="none" w:sz="0" w:space="0" w:color="auto"/>
          </w:divBdr>
        </w:div>
        <w:div w:id="693307102">
          <w:marLeft w:val="360"/>
          <w:marRight w:val="0"/>
          <w:marTop w:val="200"/>
          <w:marBottom w:val="0"/>
          <w:divBdr>
            <w:top w:val="none" w:sz="0" w:space="0" w:color="auto"/>
            <w:left w:val="none" w:sz="0" w:space="0" w:color="auto"/>
            <w:bottom w:val="none" w:sz="0" w:space="0" w:color="auto"/>
            <w:right w:val="none" w:sz="0" w:space="0" w:color="auto"/>
          </w:divBdr>
        </w:div>
        <w:div w:id="2012484787">
          <w:marLeft w:val="360"/>
          <w:marRight w:val="0"/>
          <w:marTop w:val="200"/>
          <w:marBottom w:val="0"/>
          <w:divBdr>
            <w:top w:val="none" w:sz="0" w:space="0" w:color="auto"/>
            <w:left w:val="none" w:sz="0" w:space="0" w:color="auto"/>
            <w:bottom w:val="none" w:sz="0" w:space="0" w:color="auto"/>
            <w:right w:val="none" w:sz="0" w:space="0" w:color="auto"/>
          </w:divBdr>
        </w:div>
        <w:div w:id="397092021">
          <w:marLeft w:val="360"/>
          <w:marRight w:val="0"/>
          <w:marTop w:val="200"/>
          <w:marBottom w:val="0"/>
          <w:divBdr>
            <w:top w:val="none" w:sz="0" w:space="0" w:color="auto"/>
            <w:left w:val="none" w:sz="0" w:space="0" w:color="auto"/>
            <w:bottom w:val="none" w:sz="0" w:space="0" w:color="auto"/>
            <w:right w:val="none" w:sz="0" w:space="0" w:color="auto"/>
          </w:divBdr>
        </w:div>
        <w:div w:id="624386292">
          <w:marLeft w:val="360"/>
          <w:marRight w:val="0"/>
          <w:marTop w:val="200"/>
          <w:marBottom w:val="0"/>
          <w:divBdr>
            <w:top w:val="none" w:sz="0" w:space="0" w:color="auto"/>
            <w:left w:val="none" w:sz="0" w:space="0" w:color="auto"/>
            <w:bottom w:val="none" w:sz="0" w:space="0" w:color="auto"/>
            <w:right w:val="none" w:sz="0" w:space="0" w:color="auto"/>
          </w:divBdr>
        </w:div>
      </w:divsChild>
    </w:div>
    <w:div w:id="505368308">
      <w:bodyDiv w:val="1"/>
      <w:marLeft w:val="0"/>
      <w:marRight w:val="0"/>
      <w:marTop w:val="0"/>
      <w:marBottom w:val="0"/>
      <w:divBdr>
        <w:top w:val="none" w:sz="0" w:space="0" w:color="auto"/>
        <w:left w:val="none" w:sz="0" w:space="0" w:color="auto"/>
        <w:bottom w:val="none" w:sz="0" w:space="0" w:color="auto"/>
        <w:right w:val="none" w:sz="0" w:space="0" w:color="auto"/>
      </w:divBdr>
      <w:divsChild>
        <w:div w:id="492379577">
          <w:marLeft w:val="360"/>
          <w:marRight w:val="0"/>
          <w:marTop w:val="200"/>
          <w:marBottom w:val="0"/>
          <w:divBdr>
            <w:top w:val="none" w:sz="0" w:space="0" w:color="auto"/>
            <w:left w:val="none" w:sz="0" w:space="0" w:color="auto"/>
            <w:bottom w:val="none" w:sz="0" w:space="0" w:color="auto"/>
            <w:right w:val="none" w:sz="0" w:space="0" w:color="auto"/>
          </w:divBdr>
        </w:div>
        <w:div w:id="595090753">
          <w:marLeft w:val="360"/>
          <w:marRight w:val="0"/>
          <w:marTop w:val="200"/>
          <w:marBottom w:val="0"/>
          <w:divBdr>
            <w:top w:val="none" w:sz="0" w:space="0" w:color="auto"/>
            <w:left w:val="none" w:sz="0" w:space="0" w:color="auto"/>
            <w:bottom w:val="none" w:sz="0" w:space="0" w:color="auto"/>
            <w:right w:val="none" w:sz="0" w:space="0" w:color="auto"/>
          </w:divBdr>
        </w:div>
        <w:div w:id="936449897">
          <w:marLeft w:val="360"/>
          <w:marRight w:val="0"/>
          <w:marTop w:val="200"/>
          <w:marBottom w:val="0"/>
          <w:divBdr>
            <w:top w:val="none" w:sz="0" w:space="0" w:color="auto"/>
            <w:left w:val="none" w:sz="0" w:space="0" w:color="auto"/>
            <w:bottom w:val="none" w:sz="0" w:space="0" w:color="auto"/>
            <w:right w:val="none" w:sz="0" w:space="0" w:color="auto"/>
          </w:divBdr>
        </w:div>
        <w:div w:id="853110418">
          <w:marLeft w:val="360"/>
          <w:marRight w:val="0"/>
          <w:marTop w:val="200"/>
          <w:marBottom w:val="0"/>
          <w:divBdr>
            <w:top w:val="none" w:sz="0" w:space="0" w:color="auto"/>
            <w:left w:val="none" w:sz="0" w:space="0" w:color="auto"/>
            <w:bottom w:val="none" w:sz="0" w:space="0" w:color="auto"/>
            <w:right w:val="none" w:sz="0" w:space="0" w:color="auto"/>
          </w:divBdr>
        </w:div>
        <w:div w:id="847601855">
          <w:marLeft w:val="360"/>
          <w:marRight w:val="0"/>
          <w:marTop w:val="200"/>
          <w:marBottom w:val="0"/>
          <w:divBdr>
            <w:top w:val="none" w:sz="0" w:space="0" w:color="auto"/>
            <w:left w:val="none" w:sz="0" w:space="0" w:color="auto"/>
            <w:bottom w:val="none" w:sz="0" w:space="0" w:color="auto"/>
            <w:right w:val="none" w:sz="0" w:space="0" w:color="auto"/>
          </w:divBdr>
        </w:div>
      </w:divsChild>
    </w:div>
    <w:div w:id="142727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eea.europa.eu/" TargetMode="External"/><Relationship Id="rId13" Type="http://schemas.openxmlformats.org/officeDocument/2006/relationships/hyperlink" Target="https://webgate.ec.europa.eu/fpfis/wikis/download/attachments/175353808/EASIN%20architecture.pdf?api=v2" TargetMode="External"/><Relationship Id="rId18" Type="http://schemas.openxmlformats.org/officeDocument/2006/relationships/hyperlink" Target="https://webgate.ec.europa.eu/fpfis/wikis/download/attachments/175353672/Integrated%20Data%20Platform%20%2B%20KIP%20INCA_V%200.1_14-11-16.pdf?api=v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ebgate.ec.europa.eu/fpfis/wikis/download/attachments/175353808/DOPA%20architecture.pdf?api=v2" TargetMode="External"/><Relationship Id="rId17" Type="http://schemas.openxmlformats.org/officeDocument/2006/relationships/hyperlink" Target="https://webgate.ec.europa.eu/fpfis/wikis/download/attachments/175353672/Data%20foundation%20for%20natural%20capital%20accounting_INCA%20KIP_resource%20document_Oct%202015.pdf?api=v2" TargetMode="External"/><Relationship Id="rId2" Type="http://schemas.openxmlformats.org/officeDocument/2006/relationships/numbering" Target="numbering.xml"/><Relationship Id="rId16" Type="http://schemas.openxmlformats.org/officeDocument/2006/relationships/hyperlink" Target="http://midas-portal.jrc.it/discovery/midas/" TargetMode="External"/><Relationship Id="rId20" Type="http://schemas.openxmlformats.org/officeDocument/2006/relationships/hyperlink" Target="https://webgate.ec.europa.eu/fpfis/wikis/download/attachments/175353672/Data%20sets%20on%20%27natural%20capital%27_review_LisaW%20%26%20JEP_rev%2008-09-15.ods?api=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fpfis/wikis/download/attachments/175353808/JRC-DataPolicy-INCA.PDF?api=v2"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data.jrc.ec.europa.eu/" TargetMode="External"/><Relationship Id="rId19" Type="http://schemas.openxmlformats.org/officeDocument/2006/relationships/hyperlink" Target="https://webgate.ec.europa.eu/fpfis/wikis/download/attachments/175353672/Land%20degradation%20exploratory%20study_annexes%20on%20data%20sets.pdf?api=v2" TargetMode="External"/><Relationship Id="rId4" Type="http://schemas.openxmlformats.org/officeDocument/2006/relationships/settings" Target="settings.xml"/><Relationship Id="rId9" Type="http://schemas.openxmlformats.org/officeDocument/2006/relationships/hyperlink" Target="https://webgate.ec.europa.eu/fpfis/wikis/download/attachments/175353808/EEA%20IntegratedDataPlatform.pdf?api=v2" TargetMode="External"/><Relationship Id="rId14" Type="http://schemas.openxmlformats.org/officeDocument/2006/relationships/hyperlink" Target="https://webgate.ec.europa.eu/fpfis/wikis/download/attachments/189268362/INCA%20Data%20Architecture%20KIP%20Proposal.pdf?version=1&amp;modificationDate=1486629202742&amp;api=v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64F8-FCB8-4783-8E14-60593F51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3621</Words>
  <Characters>20645</Characters>
  <Application>Microsoft Office Word</Application>
  <DocSecurity>0</DocSecurity>
  <Lines>172</Lines>
  <Paragraphs>48</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RM. Milego</dc:creator>
  <cp:lastModifiedBy>Jan-Erik Petersen</cp:lastModifiedBy>
  <cp:revision>5</cp:revision>
  <cp:lastPrinted>2018-03-07T09:10:00Z</cp:lastPrinted>
  <dcterms:created xsi:type="dcterms:W3CDTF">2018-03-07T10:55:00Z</dcterms:created>
  <dcterms:modified xsi:type="dcterms:W3CDTF">2018-03-07T16:39:00Z</dcterms:modified>
</cp:coreProperties>
</file>