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4AD2" w:rsidRPr="00504AD2" w:rsidRDefault="00504AD2" w:rsidP="00150812">
      <w:pPr>
        <w:pStyle w:val="Heading3"/>
        <w:numPr>
          <w:ilvl w:val="0"/>
          <w:numId w:val="0"/>
        </w:numPr>
        <w:ind w:left="8222" w:hanging="8222"/>
        <w:rPr>
          <w:b/>
          <w:i w:val="0"/>
          <w:szCs w:val="24"/>
          <w:u w:val="single"/>
        </w:rPr>
      </w:pPr>
      <w:bookmarkStart w:id="0" w:name="_Toc450562483"/>
      <w:bookmarkStart w:id="1" w:name="_Toc449250160"/>
      <w:bookmarkStart w:id="2" w:name="_Toc447727865"/>
      <w:bookmarkStart w:id="3" w:name="_Toc447724215"/>
      <w:bookmarkStart w:id="4" w:name="_Toc452652461"/>
      <w:r w:rsidRPr="00504AD2">
        <w:rPr>
          <w:b/>
          <w:i w:val="0"/>
          <w:szCs w:val="24"/>
          <w:u w:val="single"/>
        </w:rPr>
        <w:t xml:space="preserve">Overview of (planned) ecosystem service accounts in the EU and selected Member States </w:t>
      </w:r>
    </w:p>
    <w:p w:rsidR="00504AD2" w:rsidRDefault="00504AD2" w:rsidP="00150812">
      <w:pPr>
        <w:pStyle w:val="Heading3"/>
        <w:numPr>
          <w:ilvl w:val="0"/>
          <w:numId w:val="0"/>
        </w:numPr>
        <w:ind w:left="8222" w:hanging="8222"/>
        <w:rPr>
          <w:b/>
          <w:i w:val="0"/>
        </w:rPr>
      </w:pPr>
      <w:bookmarkStart w:id="5" w:name="_GoBack"/>
      <w:bookmarkEnd w:id="5"/>
    </w:p>
    <w:p w:rsidR="00A86215" w:rsidRPr="00A86215" w:rsidRDefault="00A86215" w:rsidP="00A86215">
      <w:pPr>
        <w:jc w:val="center"/>
        <w:rPr>
          <w:color w:val="FF0000"/>
        </w:rPr>
      </w:pPr>
      <w:r w:rsidRPr="00A86215">
        <w:rPr>
          <w:color w:val="FF0000"/>
        </w:rPr>
        <w:t>DRAFT – PLEASE DO NOT DISTRIBUTE FURTHER</w:t>
      </w:r>
    </w:p>
    <w:p w:rsidR="00150812" w:rsidRDefault="00150812" w:rsidP="00150812">
      <w:pPr>
        <w:pStyle w:val="Heading3"/>
        <w:numPr>
          <w:ilvl w:val="0"/>
          <w:numId w:val="0"/>
        </w:numPr>
        <w:ind w:left="8222" w:hanging="8222"/>
        <w:rPr>
          <w:b/>
          <w:i w:val="0"/>
        </w:rPr>
      </w:pPr>
      <w:r w:rsidRPr="00150812">
        <w:rPr>
          <w:b/>
          <w:i w:val="0"/>
        </w:rPr>
        <w:t xml:space="preserve">KIP INCA Phase 1 report:  </w:t>
      </w:r>
      <w:r w:rsidR="00504AD2">
        <w:rPr>
          <w:b/>
          <w:i w:val="0"/>
        </w:rPr>
        <w:t>Proposed s</w:t>
      </w:r>
      <w:r w:rsidRPr="00150812">
        <w:rPr>
          <w:b/>
          <w:i w:val="0"/>
        </w:rPr>
        <w:t>election of services</w:t>
      </w:r>
      <w:bookmarkEnd w:id="0"/>
      <w:bookmarkEnd w:id="1"/>
      <w:bookmarkEnd w:id="2"/>
      <w:bookmarkEnd w:id="3"/>
      <w:bookmarkEnd w:id="4"/>
      <w:r w:rsidR="00504AD2">
        <w:rPr>
          <w:b/>
          <w:i w:val="0"/>
        </w:rPr>
        <w:t xml:space="preserve"> for Phase 2</w:t>
      </w:r>
    </w:p>
    <w:p w:rsidR="00150812" w:rsidRPr="00A11497" w:rsidRDefault="00150812" w:rsidP="00150812">
      <w:r w:rsidRPr="00A11497">
        <w:t xml:space="preserve">KIP-INCA Phase 2 will produce experimental and pilot flow accounts for a selection of ecosystem services, experimenting with valuation approaches (see </w:t>
      </w:r>
      <w:r w:rsidRPr="00A11497">
        <w:fldChar w:fldCharType="begin"/>
      </w:r>
      <w:r w:rsidRPr="00A11497">
        <w:instrText xml:space="preserve"> REF _Ref448915471 \h </w:instrText>
      </w:r>
      <w:r w:rsidRPr="00A11497">
        <w:fldChar w:fldCharType="separate"/>
      </w:r>
      <w:r w:rsidR="00372DE8" w:rsidRPr="00A11497">
        <w:t xml:space="preserve">Table </w:t>
      </w:r>
      <w:r w:rsidR="00372DE8">
        <w:rPr>
          <w:noProof/>
        </w:rPr>
        <w:t>1</w:t>
      </w:r>
      <w:r w:rsidRPr="00A11497">
        <w:fldChar w:fldCharType="end"/>
      </w:r>
      <w:r w:rsidRPr="00A11497">
        <w:t xml:space="preserve">). For these services, either data or models are available to produce at least annually aggregated values of physical flows at EU and </w:t>
      </w:r>
      <w:r>
        <w:t>Member States</w:t>
      </w:r>
      <w:r w:rsidRPr="00A11497">
        <w:t xml:space="preserve"> level, which is a prior criterion for their selection (</w:t>
      </w:r>
      <w:r w:rsidRPr="00ED5755">
        <w:t>see Annex 4</w:t>
      </w:r>
      <w:r w:rsidRPr="00A11497">
        <w:t>: JRC technical note on the available models to quantify ecosystem services flows at EU scale). Most of these services can also be aggregated to higher spatial units using the JRC's ESTIMAP model which is embedded in the LUISA model platform. Whether or not models are used to quantify supply, use and demand for ecosystem services, reliability of the results (or the associated uncertainty) is a critical issue which needs to be considered well in INCA. Quality assurance at the different steps of the INCA architecture (including model validation and data quality control) remains crucial. Three approaches to test models for their reliability can be considered when setting up ecosystem service accounts under INCA: comparing different models (see for instance earlier work of JRC</w:t>
      </w:r>
      <w:r w:rsidRPr="00A11497">
        <w:rPr>
          <w:rStyle w:val="FootnoteReference"/>
        </w:rPr>
        <w:footnoteReference w:id="1"/>
      </w:r>
      <w:r w:rsidRPr="00A11497">
        <w:t>); validating models results with field data (e.g. data on the distribution of pollinator species to validate pollination maps), and testing across spatial scales which includes interaction with the member states.</w:t>
      </w:r>
    </w:p>
    <w:p w:rsidR="00150812" w:rsidRPr="00A11497" w:rsidRDefault="00150812" w:rsidP="00150812">
      <w:r w:rsidRPr="00A11497">
        <w:t xml:space="preserve">The initial focus of KIP-INCA will be the development of biophysical flow accounts of the services included in </w:t>
      </w:r>
      <w:r w:rsidRPr="00A11497">
        <w:fldChar w:fldCharType="begin"/>
      </w:r>
      <w:r w:rsidRPr="00A11497">
        <w:instrText xml:space="preserve"> REF _Ref448915471 \h </w:instrText>
      </w:r>
      <w:r w:rsidRPr="00A11497">
        <w:fldChar w:fldCharType="separate"/>
      </w:r>
      <w:r w:rsidR="00372DE8" w:rsidRPr="00A11497">
        <w:t xml:space="preserve">Table </w:t>
      </w:r>
      <w:r w:rsidR="00372DE8">
        <w:rPr>
          <w:noProof/>
        </w:rPr>
        <w:t>1</w:t>
      </w:r>
      <w:r w:rsidRPr="00A11497">
        <w:fldChar w:fldCharType="end"/>
      </w:r>
      <w:r w:rsidRPr="00A11497">
        <w:t xml:space="preserve"> while gradually monetary accounts will follow once agreement is reached on appropriate valuation methods. Even then, it needs to be stressed that the prototype ecosystem service accounts will be experimental accounts and will remain to be so until proper validation is done and agreement on procedure and methodology is reached.</w:t>
      </w:r>
    </w:p>
    <w:p w:rsidR="00150812" w:rsidRPr="00504AD2" w:rsidRDefault="00150812" w:rsidP="00150812">
      <w:pPr>
        <w:pStyle w:val="Caption"/>
        <w:rPr>
          <w:sz w:val="22"/>
          <w:szCs w:val="22"/>
        </w:rPr>
      </w:pPr>
      <w:bookmarkStart w:id="6" w:name="_Ref448915471"/>
      <w:r w:rsidRPr="00504AD2">
        <w:rPr>
          <w:sz w:val="22"/>
          <w:szCs w:val="22"/>
        </w:rPr>
        <w:t xml:space="preserve">Table </w:t>
      </w:r>
      <w:r w:rsidRPr="00504AD2">
        <w:rPr>
          <w:sz w:val="22"/>
          <w:szCs w:val="22"/>
        </w:rPr>
        <w:fldChar w:fldCharType="begin"/>
      </w:r>
      <w:r w:rsidRPr="00504AD2">
        <w:rPr>
          <w:sz w:val="22"/>
          <w:szCs w:val="22"/>
        </w:rPr>
        <w:instrText xml:space="preserve"> SEQ Table \* ARABIC </w:instrText>
      </w:r>
      <w:r w:rsidRPr="00504AD2">
        <w:rPr>
          <w:sz w:val="22"/>
          <w:szCs w:val="22"/>
        </w:rPr>
        <w:fldChar w:fldCharType="separate"/>
      </w:r>
      <w:r w:rsidR="00372DE8" w:rsidRPr="00504AD2">
        <w:rPr>
          <w:noProof/>
          <w:sz w:val="22"/>
          <w:szCs w:val="22"/>
        </w:rPr>
        <w:t>1</w:t>
      </w:r>
      <w:r w:rsidRPr="00504AD2">
        <w:rPr>
          <w:sz w:val="22"/>
          <w:szCs w:val="22"/>
        </w:rPr>
        <w:fldChar w:fldCharType="end"/>
      </w:r>
      <w:bookmarkEnd w:id="6"/>
      <w:r w:rsidRPr="00504AD2">
        <w:rPr>
          <w:sz w:val="22"/>
          <w:szCs w:val="22"/>
        </w:rPr>
        <w:t>: Services to be included in KIP-INCA Phase 2</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6237"/>
      </w:tblGrid>
      <w:tr w:rsidR="00150812" w:rsidRPr="00A11497" w:rsidTr="00F410FD">
        <w:tc>
          <w:tcPr>
            <w:tcW w:w="2410" w:type="dxa"/>
            <w:tcBorders>
              <w:top w:val="single" w:sz="4" w:space="0" w:color="auto"/>
              <w:left w:val="single" w:sz="4" w:space="0" w:color="auto"/>
              <w:bottom w:val="single" w:sz="4" w:space="0" w:color="auto"/>
              <w:right w:val="single" w:sz="4" w:space="0" w:color="auto"/>
            </w:tcBorders>
            <w:shd w:val="clear" w:color="auto" w:fill="BFBFBF"/>
            <w:hideMark/>
          </w:tcPr>
          <w:p w:rsidR="00150812" w:rsidRPr="00A11497" w:rsidRDefault="00150812" w:rsidP="00F410FD">
            <w:pPr>
              <w:spacing w:before="100" w:beforeAutospacing="1" w:after="100" w:afterAutospacing="1" w:line="276" w:lineRule="auto"/>
              <w:rPr>
                <w:b/>
                <w:szCs w:val="22"/>
                <w:lang w:eastAsia="bg-BG"/>
              </w:rPr>
            </w:pPr>
            <w:r w:rsidRPr="00A11497">
              <w:rPr>
                <w:b/>
                <w:lang w:eastAsia="bg-BG"/>
              </w:rPr>
              <w:t>Service</w:t>
            </w:r>
          </w:p>
        </w:tc>
        <w:tc>
          <w:tcPr>
            <w:tcW w:w="6237" w:type="dxa"/>
            <w:tcBorders>
              <w:top w:val="single" w:sz="4" w:space="0" w:color="auto"/>
              <w:left w:val="single" w:sz="4" w:space="0" w:color="auto"/>
              <w:bottom w:val="single" w:sz="4" w:space="0" w:color="auto"/>
              <w:right w:val="single" w:sz="4" w:space="0" w:color="auto"/>
            </w:tcBorders>
            <w:shd w:val="clear" w:color="auto" w:fill="BFBFBF"/>
            <w:hideMark/>
          </w:tcPr>
          <w:p w:rsidR="00150812" w:rsidRPr="00A11497" w:rsidRDefault="00150812" w:rsidP="00F410FD">
            <w:pPr>
              <w:spacing w:before="100" w:beforeAutospacing="1" w:after="100" w:afterAutospacing="1" w:line="276" w:lineRule="auto"/>
              <w:rPr>
                <w:b/>
                <w:szCs w:val="22"/>
                <w:lang w:eastAsia="bg-BG"/>
              </w:rPr>
            </w:pPr>
            <w:r w:rsidRPr="00A11497">
              <w:rPr>
                <w:b/>
                <w:lang w:eastAsia="bg-BG"/>
              </w:rPr>
              <w:t>Physical unit</w:t>
            </w:r>
          </w:p>
        </w:tc>
      </w:tr>
      <w:tr w:rsidR="00150812" w:rsidRPr="00A11497" w:rsidTr="00F410FD">
        <w:tc>
          <w:tcPr>
            <w:tcW w:w="8647" w:type="dxa"/>
            <w:gridSpan w:val="2"/>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b/>
                <w:lang w:eastAsia="bg-BG"/>
              </w:rPr>
              <w:t>Provisioning services</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Crops</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Harvest (ton per ha)</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Timber</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Timber growth and harvest (ton per ha)</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Marine fish</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Catch</w:t>
            </w:r>
            <w:r w:rsidRPr="00A11497">
              <w:t xml:space="preserve"> (ton per fishing zone)</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Water</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Water abstraction for public, industrial and agricultural use (m3 per unit area)</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t>Livestock</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 xml:space="preserve">Amount of animal feed (grass) provided </w:t>
            </w:r>
          </w:p>
        </w:tc>
      </w:tr>
      <w:tr w:rsidR="00150812" w:rsidRPr="00A11497" w:rsidTr="00F410FD">
        <w:tc>
          <w:tcPr>
            <w:tcW w:w="8647" w:type="dxa"/>
            <w:gridSpan w:val="2"/>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b/>
                <w:lang w:eastAsia="bg-BG"/>
              </w:rPr>
              <w:t>Regulating services</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Pollination</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Share of the crop harvest pollinated (ton per ha)</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Erosion control (soil protection)</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Avoided erosion in ton/ha/year compared to bare soil</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Water purification</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Removal of in-stream nitrogen (ton per km river)</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Air filtration</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Deposition of air pollutants (ton per ha)</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Carbon sequestration (in vegetation and soil)</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C sequestration in ton/ha/year</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tcPr>
          <w:p w:rsidR="00150812" w:rsidRPr="00A11497" w:rsidRDefault="00150812" w:rsidP="00F410FD">
            <w:pPr>
              <w:spacing w:before="100" w:beforeAutospacing="1" w:after="100" w:afterAutospacing="1" w:line="276" w:lineRule="auto"/>
              <w:rPr>
                <w:lang w:eastAsia="bg-BG"/>
              </w:rPr>
            </w:pPr>
            <w:r>
              <w:rPr>
                <w:lang w:eastAsia="bg-BG"/>
              </w:rPr>
              <w:t>Flood control</w:t>
            </w:r>
          </w:p>
        </w:tc>
        <w:tc>
          <w:tcPr>
            <w:tcW w:w="6237" w:type="dxa"/>
            <w:tcBorders>
              <w:top w:val="single" w:sz="4" w:space="0" w:color="auto"/>
              <w:left w:val="single" w:sz="4" w:space="0" w:color="auto"/>
              <w:bottom w:val="single" w:sz="4" w:space="0" w:color="auto"/>
              <w:right w:val="single" w:sz="4" w:space="0" w:color="auto"/>
            </w:tcBorders>
          </w:tcPr>
          <w:p w:rsidR="00150812" w:rsidRPr="00A11497" w:rsidRDefault="00150812" w:rsidP="00F410FD">
            <w:pPr>
              <w:spacing w:before="100" w:beforeAutospacing="1" w:after="100" w:afterAutospacing="1" w:line="276" w:lineRule="auto"/>
              <w:rPr>
                <w:lang w:eastAsia="bg-BG"/>
              </w:rPr>
            </w:pPr>
            <w:r>
              <w:rPr>
                <w:lang w:eastAsia="bg-BG"/>
              </w:rPr>
              <w:t>Land area protected</w:t>
            </w:r>
          </w:p>
        </w:tc>
      </w:tr>
      <w:tr w:rsidR="00150812" w:rsidRPr="00A11497" w:rsidTr="00F410FD">
        <w:tc>
          <w:tcPr>
            <w:tcW w:w="8647" w:type="dxa"/>
            <w:gridSpan w:val="2"/>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b/>
                <w:lang w:eastAsia="bg-BG"/>
              </w:rPr>
              <w:t>Cultural services</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Recreation</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Number of visits in ecosystems (person-days) / ha, include budget for surveys in some countries</w:t>
            </w:r>
          </w:p>
        </w:tc>
      </w:tr>
      <w:tr w:rsidR="00150812" w:rsidRPr="00A11497" w:rsidTr="00F410FD">
        <w:tc>
          <w:tcPr>
            <w:tcW w:w="2410"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 xml:space="preserve">Tourism </w:t>
            </w:r>
          </w:p>
        </w:tc>
        <w:tc>
          <w:tcPr>
            <w:tcW w:w="6237" w:type="dxa"/>
            <w:tcBorders>
              <w:top w:val="single" w:sz="4" w:space="0" w:color="auto"/>
              <w:left w:val="single" w:sz="4" w:space="0" w:color="auto"/>
              <w:bottom w:val="single" w:sz="4" w:space="0" w:color="auto"/>
              <w:right w:val="single" w:sz="4" w:space="0" w:color="auto"/>
            </w:tcBorders>
            <w:hideMark/>
          </w:tcPr>
          <w:p w:rsidR="00150812" w:rsidRPr="00A11497" w:rsidRDefault="00150812" w:rsidP="00F410FD">
            <w:pPr>
              <w:spacing w:before="100" w:beforeAutospacing="1" w:after="100" w:afterAutospacing="1" w:line="276" w:lineRule="auto"/>
              <w:rPr>
                <w:szCs w:val="22"/>
                <w:lang w:eastAsia="bg-BG"/>
              </w:rPr>
            </w:pPr>
            <w:r w:rsidRPr="00A11497">
              <w:rPr>
                <w:lang w:eastAsia="bg-BG"/>
              </w:rPr>
              <w:t>Number of overnight stays generated per ha/year</w:t>
            </w:r>
          </w:p>
        </w:tc>
      </w:tr>
    </w:tbl>
    <w:p w:rsidR="00150812" w:rsidRPr="00A11497" w:rsidRDefault="00150812" w:rsidP="00150812"/>
    <w:p w:rsidR="00150812" w:rsidRPr="00A11497" w:rsidRDefault="00150812" w:rsidP="00150812">
      <w:r w:rsidRPr="00A11497">
        <w:t xml:space="preserve">The experimental and pilot accounts will be developed using </w:t>
      </w:r>
      <w:r w:rsidRPr="00B3390C">
        <w:t>the example of water purification</w:t>
      </w:r>
      <w:r w:rsidRPr="00A11497">
        <w:t>. This involves a four step procedure when developing a physical and monetary asset and flow account for ecosystem services, which is in line with the principles of the SEEA EEA framework:</w:t>
      </w:r>
    </w:p>
    <w:p w:rsidR="00150812" w:rsidRPr="00A11497" w:rsidRDefault="00150812" w:rsidP="00150812">
      <w:pPr>
        <w:numPr>
          <w:ilvl w:val="0"/>
          <w:numId w:val="1"/>
        </w:numPr>
      </w:pPr>
      <w:r w:rsidRPr="00A11497">
        <w:t>Identify the ecosystem service classification and the underlying conceptual framework;</w:t>
      </w:r>
    </w:p>
    <w:p w:rsidR="00150812" w:rsidRPr="00A11497" w:rsidRDefault="00150812" w:rsidP="00150812">
      <w:pPr>
        <w:numPr>
          <w:ilvl w:val="0"/>
          <w:numId w:val="1"/>
        </w:numPr>
      </w:pPr>
      <w:r w:rsidRPr="00A11497">
        <w:t>Quantify in physical terms the targeted ecosystem service. The quantification procedure can range from simple to complex, or can be multi-tiered because there is presently no reference framework or standard to follow.</w:t>
      </w:r>
    </w:p>
    <w:p w:rsidR="00150812" w:rsidRPr="00A11497" w:rsidRDefault="00150812" w:rsidP="00150812">
      <w:pPr>
        <w:numPr>
          <w:ilvl w:val="0"/>
          <w:numId w:val="1"/>
        </w:numPr>
      </w:pPr>
      <w:r w:rsidRPr="00A11497">
        <w:t>Translate the quantitative assessment into monetary terms by choosing the most appropriate economic valuation technique;</w:t>
      </w:r>
    </w:p>
    <w:p w:rsidR="00150812" w:rsidRPr="00A11497" w:rsidRDefault="00150812" w:rsidP="00150812">
      <w:pPr>
        <w:numPr>
          <w:ilvl w:val="0"/>
          <w:numId w:val="1"/>
        </w:numPr>
      </w:pPr>
      <w:r w:rsidRPr="00A11497">
        <w:t>Populate the SEEA EEA consistent tables with the resulting data.</w:t>
      </w:r>
    </w:p>
    <w:p w:rsidR="00C410DD" w:rsidRDefault="00150812" w:rsidP="00150812">
      <w:r w:rsidRPr="00A11497">
        <w:t>Given available (human) resources, the prototype development will be carried out service by service. Fast track physical flow accounts will be developed for ecosystem services which can directly be quantified in physical units (i.e. no proxy indicator is used) such as soil protection or air filtration. In a next phase focus can go to pollination and recreation. Models for these services are available but they still deliver proxy indicators (potential of ecosystems to host pollinator populations and potential of ecosystems for nature-based recreation). These indicators have no dimensions and are therefore less suitable for accounting. Further model development will be required to adapt these indicators so that they can deliver physical accounts including estimates of supply and use in physical units</w:t>
      </w:r>
      <w:r>
        <w:t>.</w:t>
      </w:r>
    </w:p>
    <w:p w:rsidR="00150812" w:rsidRPr="00F45027" w:rsidRDefault="00150812" w:rsidP="00150812">
      <w:pPr>
        <w:rPr>
          <w:sz w:val="24"/>
        </w:rPr>
      </w:pPr>
    </w:p>
    <w:p w:rsidR="00150812" w:rsidRPr="00F45027" w:rsidRDefault="00150812" w:rsidP="00150812">
      <w:pPr>
        <w:rPr>
          <w:b/>
          <w:sz w:val="24"/>
        </w:rPr>
      </w:pPr>
      <w:r w:rsidRPr="00F45027">
        <w:rPr>
          <w:b/>
          <w:sz w:val="24"/>
        </w:rPr>
        <w:t xml:space="preserve">Ecosystem service accounts elaborated </w:t>
      </w:r>
      <w:r w:rsidR="00504AD2">
        <w:rPr>
          <w:b/>
          <w:sz w:val="24"/>
        </w:rPr>
        <w:t xml:space="preserve">or planned </w:t>
      </w:r>
      <w:r w:rsidRPr="00F45027">
        <w:rPr>
          <w:b/>
          <w:sz w:val="24"/>
        </w:rPr>
        <w:t>at country level:</w:t>
      </w:r>
    </w:p>
    <w:p w:rsidR="00150812" w:rsidRDefault="00150812" w:rsidP="00150812"/>
    <w:p w:rsidR="00150812" w:rsidRPr="000228C3" w:rsidRDefault="00150812" w:rsidP="00150812">
      <w:pPr>
        <w:rPr>
          <w:b/>
          <w:u w:val="single"/>
        </w:rPr>
      </w:pPr>
      <w:r w:rsidRPr="000228C3">
        <w:rPr>
          <w:b/>
          <w:u w:val="single"/>
        </w:rPr>
        <w:t>The Netherlands</w:t>
      </w:r>
    </w:p>
    <w:p w:rsidR="00D44AB4" w:rsidRPr="00D7394C" w:rsidRDefault="000228C3" w:rsidP="00150812">
      <w:r>
        <w:t>Statistics Netherlands and Wageningen University have developed ecosystem service accounts</w:t>
      </w:r>
      <w:r w:rsidR="001125CB">
        <w:t xml:space="preserve"> </w:t>
      </w:r>
      <w:r w:rsidR="001125CB" w:rsidRPr="00D7394C">
        <w:t xml:space="preserve">(physical and monetary supply </w:t>
      </w:r>
      <w:r w:rsidR="004231DC" w:rsidRPr="00D7394C">
        <w:t xml:space="preserve">and use </w:t>
      </w:r>
      <w:r w:rsidR="001125CB" w:rsidRPr="00D7394C">
        <w:t>tables)</w:t>
      </w:r>
      <w:r w:rsidRPr="00D7394C">
        <w:t xml:space="preserve"> </w:t>
      </w:r>
      <w:r w:rsidR="00AD675E" w:rsidRPr="00D7394C">
        <w:t>as part of</w:t>
      </w:r>
      <w:r w:rsidRPr="00D7394C">
        <w:t xml:space="preserve"> the Limburg Case Study</w:t>
      </w:r>
      <w:r w:rsidR="00D44AB4" w:rsidRPr="00D7394C">
        <w:t>:</w:t>
      </w:r>
    </w:p>
    <w:p w:rsidR="00D44AB4" w:rsidRPr="00D7394C" w:rsidRDefault="00A86215" w:rsidP="00150812">
      <w:hyperlink r:id="rId7" w:history="1">
        <w:r w:rsidR="004231DC" w:rsidRPr="00D7394C">
          <w:rPr>
            <w:rStyle w:val="Hyperlink"/>
          </w:rPr>
          <w:t>https://www.cbs.nl/nl-nl/publicatie/2016/09/maatwerk-rapport-natuurlijk-kapitaalrekeningen</w:t>
        </w:r>
      </w:hyperlink>
    </w:p>
    <w:p w:rsidR="004231DC" w:rsidRPr="00D7394C" w:rsidRDefault="004231DC" w:rsidP="00150812">
      <w:r w:rsidRPr="00D7394C">
        <w:t xml:space="preserve">The tables below show a small part of the physical and monetary supply tables. A monetary use table was also developed.  </w:t>
      </w:r>
    </w:p>
    <w:p w:rsidR="004231DC" w:rsidRDefault="004231DC" w:rsidP="00150812">
      <w:r w:rsidRPr="00D7394C">
        <w:t>Statistics Netherlands and Wageningen University have recently started a new, national scale project. Funding is guaranteed for the first project year, where emphasis will be placed on physical data. A second project year with emphasis on monetary valuation is planned. In the first project phase, the following topics will be addressed at country and provincial levels: 1) carbon account, 2) biodiversity account, 3) physical supply and use tables</w:t>
      </w:r>
      <w:r w:rsidR="00D7394C">
        <w:t xml:space="preserve"> and 4)</w:t>
      </w:r>
      <w:r w:rsidRPr="00D7394C">
        <w:t xml:space="preserve"> condition account.</w:t>
      </w:r>
      <w:r>
        <w:t xml:space="preserve"> </w:t>
      </w:r>
    </w:p>
    <w:p w:rsidR="004231DC" w:rsidRDefault="004231DC" w:rsidP="00150812"/>
    <w:p w:rsidR="00F45027" w:rsidRDefault="00F45027" w:rsidP="00F45027">
      <w:pPr>
        <w:pStyle w:val="Caption"/>
        <w:keepNext/>
      </w:pPr>
      <w:r>
        <w:lastRenderedPageBreak/>
        <w:t xml:space="preserve">Table </w:t>
      </w:r>
      <w:fldSimple w:instr=" SEQ Table \* ARABIC ">
        <w:r w:rsidR="00372DE8">
          <w:rPr>
            <w:noProof/>
          </w:rPr>
          <w:t>2</w:t>
        </w:r>
      </w:fldSimple>
      <w:r>
        <w:t xml:space="preserve"> Physical supply table for ecosystem services</w:t>
      </w:r>
    </w:p>
    <w:p w:rsidR="00150812" w:rsidRDefault="00403120" w:rsidP="00150812">
      <w:r w:rsidRPr="00A11497">
        <w:rPr>
          <w:noProof/>
          <w:lang w:eastAsia="en-GB"/>
        </w:rPr>
        <w:drawing>
          <wp:inline distT="0" distB="0" distL="0" distR="0" wp14:anchorId="0242151E" wp14:editId="3C30CA15">
            <wp:extent cx="5127297" cy="3390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l="22763" t="10971" r="18019" b="19386"/>
                    <a:stretch>
                      <a:fillRect/>
                    </a:stretch>
                  </pic:blipFill>
                  <pic:spPr bwMode="auto">
                    <a:xfrm>
                      <a:off x="0" y="0"/>
                      <a:ext cx="5129116" cy="3392103"/>
                    </a:xfrm>
                    <a:prstGeom prst="rect">
                      <a:avLst/>
                    </a:prstGeom>
                    <a:noFill/>
                    <a:ln>
                      <a:noFill/>
                    </a:ln>
                  </pic:spPr>
                </pic:pic>
              </a:graphicData>
            </a:graphic>
          </wp:inline>
        </w:drawing>
      </w:r>
    </w:p>
    <w:p w:rsidR="00403120" w:rsidRDefault="00403120" w:rsidP="00150812"/>
    <w:p w:rsidR="00D7394C" w:rsidRPr="00D7394C" w:rsidRDefault="00F45027" w:rsidP="00D7394C">
      <w:pPr>
        <w:pStyle w:val="Caption"/>
        <w:keepNext/>
      </w:pPr>
      <w:r>
        <w:t xml:space="preserve">Table </w:t>
      </w:r>
      <w:fldSimple w:instr=" SEQ Table \* ARABIC ">
        <w:r w:rsidR="00372DE8">
          <w:rPr>
            <w:noProof/>
          </w:rPr>
          <w:t>3</w:t>
        </w:r>
      </w:fldSimple>
      <w:r>
        <w:t xml:space="preserve"> Monetary supply table for ecosystem services</w:t>
      </w:r>
    </w:p>
    <w:tbl>
      <w:tblPr>
        <w:tblpPr w:leftFromText="141" w:rightFromText="141" w:vertAnchor="text" w:tblpY="106"/>
        <w:tblW w:w="8483" w:type="dxa"/>
        <w:tblCellMar>
          <w:left w:w="70" w:type="dxa"/>
          <w:right w:w="70" w:type="dxa"/>
        </w:tblCellMar>
        <w:tblLook w:val="04A0" w:firstRow="1" w:lastRow="0" w:firstColumn="1" w:lastColumn="0" w:noHBand="0" w:noVBand="1"/>
      </w:tblPr>
      <w:tblGrid>
        <w:gridCol w:w="1079"/>
        <w:gridCol w:w="2727"/>
        <w:gridCol w:w="529"/>
        <w:gridCol w:w="913"/>
        <w:gridCol w:w="841"/>
        <w:gridCol w:w="913"/>
        <w:gridCol w:w="841"/>
        <w:gridCol w:w="640"/>
      </w:tblGrid>
      <w:tr w:rsidR="00D7394C" w:rsidRPr="00E500E1" w:rsidTr="00C671EA">
        <w:trPr>
          <w:trHeight w:val="177"/>
        </w:trPr>
        <w:tc>
          <w:tcPr>
            <w:tcW w:w="1079" w:type="dxa"/>
            <w:tcBorders>
              <w:top w:val="single" w:sz="8" w:space="0" w:color="auto"/>
              <w:left w:val="single" w:sz="8" w:space="0" w:color="auto"/>
              <w:bottom w:val="nil"/>
              <w:right w:val="nil"/>
            </w:tcBorders>
            <w:shd w:val="clear" w:color="000000" w:fill="DCE6F1"/>
            <w:noWrap/>
            <w:vAlign w:val="bottom"/>
            <w:hideMark/>
          </w:tcPr>
          <w:p w:rsidR="00D7394C" w:rsidRPr="00E500E1" w:rsidRDefault="00D7394C" w:rsidP="00E82B73">
            <w:pPr>
              <w:jc w:val="left"/>
              <w:rPr>
                <w:rFonts w:ascii="Calibri" w:hAnsi="Calibri"/>
                <w:sz w:val="18"/>
                <w:szCs w:val="18"/>
                <w:lang w:eastAsia="nl-NL"/>
              </w:rPr>
            </w:pPr>
            <w:r w:rsidRPr="00E500E1">
              <w:rPr>
                <w:rFonts w:ascii="Calibri" w:hAnsi="Calibri"/>
                <w:sz w:val="18"/>
                <w:szCs w:val="18"/>
                <w:lang w:eastAsia="nl-NL"/>
              </w:rPr>
              <w:t> </w:t>
            </w:r>
          </w:p>
        </w:tc>
        <w:tc>
          <w:tcPr>
            <w:tcW w:w="2727" w:type="dxa"/>
            <w:tcBorders>
              <w:top w:val="single" w:sz="8" w:space="0" w:color="auto"/>
              <w:left w:val="nil"/>
              <w:bottom w:val="nil"/>
              <w:right w:val="nil"/>
            </w:tcBorders>
            <w:shd w:val="clear" w:color="000000" w:fill="DCE6F1"/>
            <w:noWrap/>
            <w:vAlign w:val="bottom"/>
            <w:hideMark/>
          </w:tcPr>
          <w:p w:rsidR="00D7394C" w:rsidRPr="00E500E1" w:rsidRDefault="00D7394C" w:rsidP="00E82B73">
            <w:pPr>
              <w:jc w:val="left"/>
              <w:rPr>
                <w:rFonts w:ascii="Calibri" w:hAnsi="Calibri"/>
                <w:color w:val="000000"/>
                <w:sz w:val="18"/>
                <w:szCs w:val="18"/>
                <w:lang w:eastAsia="nl-NL"/>
              </w:rPr>
            </w:pPr>
            <w:r w:rsidRPr="00E500E1">
              <w:rPr>
                <w:rFonts w:ascii="Calibri" w:hAnsi="Calibri"/>
                <w:color w:val="000000"/>
                <w:sz w:val="18"/>
                <w:szCs w:val="18"/>
                <w:lang w:eastAsia="nl-NL"/>
              </w:rPr>
              <w:t> </w:t>
            </w:r>
          </w:p>
        </w:tc>
        <w:tc>
          <w:tcPr>
            <w:tcW w:w="529" w:type="dxa"/>
            <w:tcBorders>
              <w:top w:val="single" w:sz="8" w:space="0" w:color="auto"/>
              <w:left w:val="nil"/>
              <w:bottom w:val="nil"/>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w:t>
            </w:r>
          </w:p>
        </w:tc>
        <w:tc>
          <w:tcPr>
            <w:tcW w:w="913" w:type="dxa"/>
            <w:tcBorders>
              <w:top w:val="single" w:sz="8" w:space="0" w:color="auto"/>
              <w:left w:val="single" w:sz="8" w:space="0" w:color="auto"/>
              <w:bottom w:val="nil"/>
              <w:right w:val="nil"/>
            </w:tcBorders>
            <w:shd w:val="clear" w:color="000000" w:fill="DCE6F1"/>
            <w:noWrap/>
            <w:vAlign w:val="center"/>
            <w:hideMark/>
          </w:tcPr>
          <w:p w:rsidR="00D7394C" w:rsidRPr="00E500E1" w:rsidRDefault="00D7394C" w:rsidP="00E82B73">
            <w:pPr>
              <w:jc w:val="center"/>
              <w:rPr>
                <w:rFonts w:ascii="Calibri" w:hAnsi="Calibri"/>
                <w:sz w:val="18"/>
                <w:szCs w:val="18"/>
                <w:lang w:eastAsia="nl-NL"/>
              </w:rPr>
            </w:pPr>
            <w:r w:rsidRPr="00E500E1">
              <w:rPr>
                <w:rFonts w:ascii="Calibri" w:hAnsi="Calibri"/>
                <w:sz w:val="18"/>
                <w:szCs w:val="18"/>
                <w:lang w:eastAsia="nl-NL"/>
              </w:rPr>
              <w:t>1</w:t>
            </w:r>
          </w:p>
        </w:tc>
        <w:tc>
          <w:tcPr>
            <w:tcW w:w="841" w:type="dxa"/>
            <w:tcBorders>
              <w:top w:val="single" w:sz="8" w:space="0" w:color="auto"/>
              <w:left w:val="nil"/>
              <w:bottom w:val="nil"/>
              <w:right w:val="nil"/>
            </w:tcBorders>
            <w:shd w:val="clear" w:color="000000" w:fill="DCE6F1"/>
            <w:noWrap/>
            <w:vAlign w:val="center"/>
            <w:hideMark/>
          </w:tcPr>
          <w:p w:rsidR="00D7394C" w:rsidRPr="00E500E1" w:rsidRDefault="00D7394C" w:rsidP="00E82B73">
            <w:pPr>
              <w:jc w:val="center"/>
              <w:rPr>
                <w:rFonts w:ascii="Calibri" w:hAnsi="Calibri"/>
                <w:sz w:val="18"/>
                <w:szCs w:val="18"/>
                <w:lang w:eastAsia="nl-NL"/>
              </w:rPr>
            </w:pPr>
            <w:r w:rsidRPr="00E500E1">
              <w:rPr>
                <w:rFonts w:ascii="Calibri" w:hAnsi="Calibri"/>
                <w:sz w:val="18"/>
                <w:szCs w:val="18"/>
                <w:lang w:eastAsia="nl-NL"/>
              </w:rPr>
              <w:t>2</w:t>
            </w:r>
          </w:p>
        </w:tc>
        <w:tc>
          <w:tcPr>
            <w:tcW w:w="913" w:type="dxa"/>
            <w:tcBorders>
              <w:top w:val="single" w:sz="8" w:space="0" w:color="auto"/>
              <w:left w:val="nil"/>
              <w:bottom w:val="nil"/>
              <w:right w:val="nil"/>
            </w:tcBorders>
            <w:shd w:val="clear" w:color="000000" w:fill="DCE6F1"/>
            <w:noWrap/>
            <w:vAlign w:val="center"/>
            <w:hideMark/>
          </w:tcPr>
          <w:p w:rsidR="00D7394C" w:rsidRPr="00E500E1" w:rsidRDefault="00D7394C" w:rsidP="00E82B73">
            <w:pPr>
              <w:jc w:val="center"/>
              <w:rPr>
                <w:rFonts w:ascii="Calibri" w:hAnsi="Calibri"/>
                <w:sz w:val="18"/>
                <w:szCs w:val="18"/>
                <w:lang w:eastAsia="nl-NL"/>
              </w:rPr>
            </w:pPr>
            <w:r w:rsidRPr="00E500E1">
              <w:rPr>
                <w:rFonts w:ascii="Calibri" w:hAnsi="Calibri"/>
                <w:sz w:val="18"/>
                <w:szCs w:val="18"/>
                <w:lang w:eastAsia="nl-NL"/>
              </w:rPr>
              <w:t>4</w:t>
            </w:r>
          </w:p>
        </w:tc>
        <w:tc>
          <w:tcPr>
            <w:tcW w:w="841" w:type="dxa"/>
            <w:tcBorders>
              <w:top w:val="single" w:sz="8" w:space="0" w:color="auto"/>
              <w:left w:val="nil"/>
              <w:bottom w:val="nil"/>
              <w:right w:val="nil"/>
            </w:tcBorders>
            <w:shd w:val="clear" w:color="000000" w:fill="DCE6F1"/>
            <w:noWrap/>
            <w:vAlign w:val="center"/>
            <w:hideMark/>
          </w:tcPr>
          <w:p w:rsidR="00D7394C" w:rsidRPr="00E500E1" w:rsidRDefault="00D7394C" w:rsidP="00E82B73">
            <w:pPr>
              <w:jc w:val="center"/>
              <w:rPr>
                <w:rFonts w:ascii="Calibri" w:hAnsi="Calibri"/>
                <w:sz w:val="18"/>
                <w:szCs w:val="18"/>
                <w:lang w:eastAsia="nl-NL"/>
              </w:rPr>
            </w:pPr>
            <w:r w:rsidRPr="00E500E1">
              <w:rPr>
                <w:rFonts w:ascii="Calibri" w:hAnsi="Calibri"/>
                <w:sz w:val="18"/>
                <w:szCs w:val="18"/>
                <w:lang w:eastAsia="nl-NL"/>
              </w:rPr>
              <w:t>5</w:t>
            </w:r>
          </w:p>
        </w:tc>
        <w:tc>
          <w:tcPr>
            <w:tcW w:w="640" w:type="dxa"/>
            <w:tcBorders>
              <w:top w:val="single" w:sz="8" w:space="0" w:color="auto"/>
              <w:left w:val="nil"/>
              <w:bottom w:val="nil"/>
              <w:right w:val="single" w:sz="8" w:space="0" w:color="auto"/>
            </w:tcBorders>
            <w:shd w:val="clear" w:color="000000" w:fill="DCE6F1"/>
            <w:noWrap/>
            <w:vAlign w:val="center"/>
            <w:hideMark/>
          </w:tcPr>
          <w:p w:rsidR="00D7394C" w:rsidRPr="00E500E1" w:rsidRDefault="00D7394C" w:rsidP="00E82B73">
            <w:pPr>
              <w:jc w:val="center"/>
              <w:rPr>
                <w:rFonts w:ascii="Calibri" w:hAnsi="Calibri"/>
                <w:sz w:val="18"/>
                <w:szCs w:val="18"/>
                <w:lang w:eastAsia="nl-NL"/>
              </w:rPr>
            </w:pPr>
            <w:r w:rsidRPr="00E500E1">
              <w:rPr>
                <w:rFonts w:ascii="Calibri" w:hAnsi="Calibri"/>
                <w:sz w:val="18"/>
                <w:szCs w:val="18"/>
                <w:lang w:eastAsia="nl-NL"/>
              </w:rPr>
              <w:t>6</w:t>
            </w:r>
          </w:p>
        </w:tc>
      </w:tr>
      <w:tr w:rsidR="00D7394C" w:rsidRPr="00E500E1" w:rsidTr="00C671EA">
        <w:trPr>
          <w:trHeight w:val="1739"/>
        </w:trPr>
        <w:tc>
          <w:tcPr>
            <w:tcW w:w="1079" w:type="dxa"/>
            <w:tcBorders>
              <w:top w:val="nil"/>
              <w:left w:val="single" w:sz="8" w:space="0" w:color="auto"/>
              <w:bottom w:val="single" w:sz="8" w:space="0" w:color="auto"/>
              <w:right w:val="nil"/>
            </w:tcBorders>
            <w:shd w:val="clear" w:color="000000" w:fill="DCE6F1"/>
            <w:noWrap/>
            <w:vAlign w:val="center"/>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LIMBURG</w:t>
            </w:r>
          </w:p>
        </w:tc>
        <w:tc>
          <w:tcPr>
            <w:tcW w:w="2727"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w:t>
            </w:r>
          </w:p>
        </w:tc>
        <w:tc>
          <w:tcPr>
            <w:tcW w:w="529" w:type="dxa"/>
            <w:tcBorders>
              <w:top w:val="nil"/>
              <w:left w:val="nil"/>
              <w:bottom w:val="single" w:sz="8" w:space="0" w:color="auto"/>
              <w:right w:val="single" w:sz="8" w:space="0" w:color="auto"/>
            </w:tcBorders>
            <w:shd w:val="clear" w:color="000000" w:fill="DCE6F1"/>
            <w:noWrap/>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w:t>
            </w:r>
          </w:p>
        </w:tc>
        <w:tc>
          <w:tcPr>
            <w:tcW w:w="913" w:type="dxa"/>
            <w:tcBorders>
              <w:top w:val="nil"/>
              <w:left w:val="nil"/>
              <w:bottom w:val="single" w:sz="8" w:space="0" w:color="auto"/>
              <w:right w:val="nil"/>
            </w:tcBorders>
            <w:shd w:val="clear" w:color="000000" w:fill="DCE6F1"/>
            <w:noWrap/>
            <w:textDirection w:val="btLr"/>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Non-perennial plants</w:t>
            </w:r>
          </w:p>
        </w:tc>
        <w:tc>
          <w:tcPr>
            <w:tcW w:w="841" w:type="dxa"/>
            <w:tcBorders>
              <w:top w:val="nil"/>
              <w:left w:val="nil"/>
              <w:bottom w:val="single" w:sz="8" w:space="0" w:color="auto"/>
              <w:right w:val="nil"/>
            </w:tcBorders>
            <w:shd w:val="clear" w:color="000000" w:fill="DCE6F1"/>
            <w:noWrap/>
            <w:textDirection w:val="btLr"/>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Perennial plants</w:t>
            </w:r>
          </w:p>
        </w:tc>
        <w:tc>
          <w:tcPr>
            <w:tcW w:w="913" w:type="dxa"/>
            <w:tcBorders>
              <w:top w:val="nil"/>
              <w:left w:val="nil"/>
              <w:bottom w:val="single" w:sz="8" w:space="0" w:color="auto"/>
              <w:right w:val="nil"/>
            </w:tcBorders>
            <w:shd w:val="clear" w:color="000000" w:fill="DCE6F1"/>
            <w:noWrap/>
            <w:textDirection w:val="btLr"/>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xml:space="preserve">Meadows (for grazing) </w:t>
            </w:r>
          </w:p>
        </w:tc>
        <w:tc>
          <w:tcPr>
            <w:tcW w:w="841" w:type="dxa"/>
            <w:tcBorders>
              <w:top w:val="nil"/>
              <w:left w:val="nil"/>
              <w:bottom w:val="single" w:sz="8" w:space="0" w:color="auto"/>
              <w:right w:val="nil"/>
            </w:tcBorders>
            <w:shd w:val="clear" w:color="000000" w:fill="DCE6F1"/>
            <w:noWrap/>
            <w:textDirection w:val="btLr"/>
            <w:vAlign w:val="bottom"/>
            <w:hideMark/>
          </w:tcPr>
          <w:p w:rsidR="00D7394C" w:rsidRPr="00E500E1" w:rsidRDefault="00D7394C" w:rsidP="00E82B73">
            <w:pPr>
              <w:jc w:val="left"/>
              <w:rPr>
                <w:rFonts w:ascii="Calibri" w:hAnsi="Calibri"/>
                <w:b/>
                <w:bCs/>
                <w:sz w:val="18"/>
                <w:szCs w:val="18"/>
                <w:lang w:eastAsia="nl-NL"/>
              </w:rPr>
            </w:pPr>
            <w:r>
              <w:rPr>
                <w:rFonts w:ascii="Calibri" w:hAnsi="Calibri"/>
                <w:b/>
                <w:bCs/>
                <w:sz w:val="18"/>
                <w:szCs w:val="18"/>
                <w:lang w:eastAsia="nl-NL"/>
              </w:rPr>
              <w:t>Hedgerows</w:t>
            </w:r>
          </w:p>
        </w:tc>
        <w:tc>
          <w:tcPr>
            <w:tcW w:w="640" w:type="dxa"/>
            <w:tcBorders>
              <w:top w:val="nil"/>
              <w:left w:val="nil"/>
              <w:bottom w:val="single" w:sz="8" w:space="0" w:color="auto"/>
              <w:right w:val="single" w:sz="8" w:space="0" w:color="auto"/>
            </w:tcBorders>
            <w:shd w:val="clear" w:color="000000" w:fill="DCE6F1"/>
            <w:noWrap/>
            <w:textDirection w:val="btLr"/>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Farmyards and barns</w:t>
            </w:r>
          </w:p>
        </w:tc>
      </w:tr>
      <w:tr w:rsidR="00D7394C" w:rsidRPr="00E500E1" w:rsidTr="00C671EA">
        <w:trPr>
          <w:trHeight w:val="270"/>
        </w:trPr>
        <w:tc>
          <w:tcPr>
            <w:tcW w:w="1079" w:type="dxa"/>
            <w:tcBorders>
              <w:top w:val="nil"/>
              <w:left w:val="single" w:sz="8" w:space="0" w:color="auto"/>
              <w:bottom w:val="single" w:sz="8" w:space="0" w:color="auto"/>
              <w:right w:val="nil"/>
            </w:tcBorders>
            <w:shd w:val="clear" w:color="000000" w:fill="DCE6F1"/>
            <w:noWrap/>
            <w:vAlign w:val="center"/>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eastAsia="nl-NL"/>
              </w:rPr>
              <w:t>ext</w:t>
            </w:r>
            <w:r w:rsidRPr="00E500E1">
              <w:rPr>
                <w:rFonts w:ascii="Calibri" w:hAnsi="Calibri"/>
                <w:b/>
                <w:bCs/>
                <w:sz w:val="18"/>
                <w:szCs w:val="18"/>
                <w:lang w:val="nl-NL" w:eastAsia="nl-NL"/>
              </w:rPr>
              <w:t>ent</w:t>
            </w:r>
          </w:p>
        </w:tc>
        <w:tc>
          <w:tcPr>
            <w:tcW w:w="2727"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529" w:type="dxa"/>
            <w:tcBorders>
              <w:top w:val="nil"/>
              <w:left w:val="nil"/>
              <w:bottom w:val="single" w:sz="8" w:space="0" w:color="auto"/>
              <w:right w:val="single" w:sz="8" w:space="0" w:color="auto"/>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ha</w:t>
            </w:r>
          </w:p>
        </w:tc>
        <w:tc>
          <w:tcPr>
            <w:tcW w:w="913"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53.629 </w:t>
            </w:r>
          </w:p>
        </w:tc>
        <w:tc>
          <w:tcPr>
            <w:tcW w:w="841"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8.133 </w:t>
            </w:r>
          </w:p>
        </w:tc>
        <w:tc>
          <w:tcPr>
            <w:tcW w:w="913"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27.066 </w:t>
            </w:r>
          </w:p>
        </w:tc>
        <w:tc>
          <w:tcPr>
            <w:tcW w:w="841" w:type="dxa"/>
            <w:tcBorders>
              <w:top w:val="nil"/>
              <w:left w:val="nil"/>
              <w:bottom w:val="single" w:sz="8" w:space="0" w:color="auto"/>
              <w:right w:val="nil"/>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2.940 </w:t>
            </w:r>
          </w:p>
        </w:tc>
        <w:tc>
          <w:tcPr>
            <w:tcW w:w="640" w:type="dxa"/>
            <w:tcBorders>
              <w:top w:val="nil"/>
              <w:left w:val="nil"/>
              <w:bottom w:val="single" w:sz="8" w:space="0" w:color="auto"/>
              <w:right w:val="single" w:sz="8" w:space="0" w:color="auto"/>
            </w:tcBorders>
            <w:shd w:val="clear" w:color="000000" w:fill="DCE6F1"/>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2.142 </w:t>
            </w:r>
          </w:p>
        </w:tc>
      </w:tr>
      <w:tr w:rsidR="00C671EA" w:rsidRPr="00E500E1" w:rsidTr="00C671EA">
        <w:trPr>
          <w:trHeight w:val="296"/>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Provisioning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Crops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35.303.100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2.605.287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r>
      <w:tr w:rsidR="00C671EA" w:rsidRPr="00E500E1" w:rsidTr="00C671EA">
        <w:trPr>
          <w:trHeight w:val="296"/>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Fodder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1.960.900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66.000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4.587.100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r>
      <w:tr w:rsidR="00C671EA" w:rsidRPr="00E500E1" w:rsidTr="00C671EA">
        <w:trPr>
          <w:trHeight w:val="275"/>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Meat (from game)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817.700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112.900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223.400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9.600 </w:t>
            </w:r>
          </w:p>
        </w:tc>
      </w:tr>
      <w:tr w:rsidR="00C671EA" w:rsidRPr="00E500E1" w:rsidTr="00C671EA">
        <w:trPr>
          <w:trHeight w:val="306"/>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Ground water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3.861.200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607.200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1.802.300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193.900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61.800 </w:t>
            </w:r>
          </w:p>
        </w:tc>
      </w:tr>
      <w:tr w:rsidR="00C671EA" w:rsidRPr="00E500E1" w:rsidTr="00C671EA">
        <w:trPr>
          <w:trHeight w:val="275"/>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Regulating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capture of PM10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301.200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54.300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173.700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30.400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11.700 </w:t>
            </w:r>
          </w:p>
        </w:tc>
      </w:tr>
      <w:tr w:rsidR="00C671EA" w:rsidRPr="00E500E1" w:rsidTr="00C671EA">
        <w:trPr>
          <w:trHeight w:val="286"/>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Carbon sequestration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300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80.200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165.700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18.000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100 </w:t>
            </w:r>
          </w:p>
        </w:tc>
      </w:tr>
      <w:tr w:rsidR="00C671EA" w:rsidRPr="00E500E1" w:rsidTr="00C671EA">
        <w:trPr>
          <w:trHeight w:val="285"/>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Cultural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Nature tourism </w:t>
            </w:r>
          </w:p>
        </w:tc>
        <w:tc>
          <w:tcPr>
            <w:tcW w:w="529"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4.410.000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1.042.600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6.349.100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2.357.700 </w:t>
            </w:r>
          </w:p>
        </w:tc>
        <w:tc>
          <w:tcPr>
            <w:tcW w:w="640" w:type="dxa"/>
            <w:tcBorders>
              <w:top w:val="nil"/>
              <w:left w:val="nil"/>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   </w:t>
            </w:r>
          </w:p>
        </w:tc>
      </w:tr>
      <w:tr w:rsidR="00C671EA" w:rsidRPr="00E500E1" w:rsidTr="00C671EA">
        <w:trPr>
          <w:trHeight w:val="212"/>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xml:space="preserve"> Recreation (cycling)  </w:t>
            </w:r>
          </w:p>
        </w:tc>
        <w:tc>
          <w:tcPr>
            <w:tcW w:w="529"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single" w:sz="8" w:space="0" w:color="auto"/>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xml:space="preserve"> NA </w:t>
            </w:r>
          </w:p>
        </w:tc>
        <w:tc>
          <w:tcPr>
            <w:tcW w:w="841"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w:t>
            </w:r>
          </w:p>
        </w:tc>
        <w:tc>
          <w:tcPr>
            <w:tcW w:w="913"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w:t>
            </w:r>
          </w:p>
        </w:tc>
        <w:tc>
          <w:tcPr>
            <w:tcW w:w="841"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w:t>
            </w:r>
          </w:p>
        </w:tc>
        <w:tc>
          <w:tcPr>
            <w:tcW w:w="640" w:type="dxa"/>
            <w:tcBorders>
              <w:top w:val="nil"/>
              <w:left w:val="nil"/>
              <w:bottom w:val="single" w:sz="8" w:space="0" w:color="auto"/>
              <w:right w:val="single" w:sz="8" w:space="0" w:color="auto"/>
            </w:tcBorders>
            <w:shd w:val="clear" w:color="auto" w:fill="auto"/>
            <w:noWrap/>
            <w:vAlign w:val="bottom"/>
            <w:hideMark/>
          </w:tcPr>
          <w:p w:rsidR="00D7394C" w:rsidRPr="00E500E1" w:rsidRDefault="00D7394C" w:rsidP="00E82B73">
            <w:pPr>
              <w:jc w:val="left"/>
              <w:rPr>
                <w:rFonts w:ascii="Calibri" w:hAnsi="Calibri"/>
                <w:sz w:val="16"/>
                <w:szCs w:val="16"/>
                <w:lang w:val="nl-NL" w:eastAsia="nl-NL"/>
              </w:rPr>
            </w:pPr>
            <w:r w:rsidRPr="00E500E1">
              <w:rPr>
                <w:rFonts w:ascii="Calibri" w:hAnsi="Calibri"/>
                <w:sz w:val="16"/>
                <w:szCs w:val="16"/>
                <w:lang w:val="nl-NL" w:eastAsia="nl-NL"/>
              </w:rPr>
              <w:t> </w:t>
            </w:r>
          </w:p>
        </w:tc>
      </w:tr>
      <w:tr w:rsidR="00C671EA" w:rsidRPr="00E500E1" w:rsidTr="00C671EA">
        <w:trPr>
          <w:trHeight w:val="270"/>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Totals</w:t>
            </w:r>
          </w:p>
        </w:tc>
        <w:tc>
          <w:tcPr>
            <w:tcW w:w="2727" w:type="dxa"/>
            <w:tcBorders>
              <w:top w:val="single" w:sz="8" w:space="0" w:color="auto"/>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 </w:t>
            </w:r>
          </w:p>
        </w:tc>
        <w:tc>
          <w:tcPr>
            <w:tcW w:w="529" w:type="dxa"/>
            <w:tcBorders>
              <w:top w:val="single" w:sz="8" w:space="0" w:color="auto"/>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w:t>
            </w:r>
          </w:p>
        </w:tc>
        <w:tc>
          <w:tcPr>
            <w:tcW w:w="913" w:type="dxa"/>
            <w:tcBorders>
              <w:top w:val="nil"/>
              <w:left w:val="single" w:sz="8" w:space="0" w:color="auto"/>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46.654.400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4.568.500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13.301.400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2.600.000 </w:t>
            </w:r>
          </w:p>
        </w:tc>
        <w:tc>
          <w:tcPr>
            <w:tcW w:w="640" w:type="dxa"/>
            <w:tcBorders>
              <w:top w:val="single" w:sz="8" w:space="0" w:color="auto"/>
              <w:left w:val="nil"/>
              <w:bottom w:val="nil"/>
              <w:right w:val="single" w:sz="4" w:space="0" w:color="auto"/>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83.200 </w:t>
            </w:r>
          </w:p>
        </w:tc>
      </w:tr>
      <w:tr w:rsidR="00C671EA" w:rsidRPr="00E500E1" w:rsidTr="00C671EA">
        <w:trPr>
          <w:trHeight w:val="286"/>
        </w:trPr>
        <w:tc>
          <w:tcPr>
            <w:tcW w:w="1079" w:type="dxa"/>
            <w:tcBorders>
              <w:top w:val="nil"/>
              <w:left w:val="single" w:sz="8" w:space="0" w:color="auto"/>
              <w:bottom w:val="nil"/>
              <w:right w:val="single" w:sz="8" w:space="0" w:color="auto"/>
            </w:tcBorders>
            <w:shd w:val="clear" w:color="auto" w:fill="auto"/>
            <w:noWrap/>
            <w:vAlign w:val="bottom"/>
            <w:hideMark/>
          </w:tcPr>
          <w:p w:rsidR="00D7394C" w:rsidRPr="00E500E1" w:rsidRDefault="00D7394C" w:rsidP="00E82B73">
            <w:pPr>
              <w:jc w:val="left"/>
              <w:rPr>
                <w:rFonts w:ascii="Calibri" w:hAnsi="Calibri"/>
                <w:color w:val="000000"/>
                <w:sz w:val="18"/>
                <w:szCs w:val="18"/>
                <w:lang w:val="nl-NL" w:eastAsia="nl-NL"/>
              </w:rPr>
            </w:pPr>
            <w:r w:rsidRPr="00E500E1">
              <w:rPr>
                <w:rFonts w:ascii="Calibri" w:hAnsi="Calibri"/>
                <w:color w:val="000000"/>
                <w:sz w:val="18"/>
                <w:szCs w:val="18"/>
                <w:lang w:val="nl-NL" w:eastAsia="nl-NL"/>
              </w:rPr>
              <w:t> </w:t>
            </w:r>
          </w:p>
        </w:tc>
        <w:tc>
          <w:tcPr>
            <w:tcW w:w="2727"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xml:space="preserve"> value per ha (excl. Amenity service) </w:t>
            </w:r>
          </w:p>
        </w:tc>
        <w:tc>
          <w:tcPr>
            <w:tcW w:w="529"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€/ha</w:t>
            </w:r>
          </w:p>
        </w:tc>
        <w:tc>
          <w:tcPr>
            <w:tcW w:w="913" w:type="dxa"/>
            <w:tcBorders>
              <w:top w:val="nil"/>
              <w:left w:val="single" w:sz="8" w:space="0" w:color="auto"/>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870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562 </w:t>
            </w:r>
          </w:p>
        </w:tc>
        <w:tc>
          <w:tcPr>
            <w:tcW w:w="913"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491 </w:t>
            </w:r>
          </w:p>
        </w:tc>
        <w:tc>
          <w:tcPr>
            <w:tcW w:w="841" w:type="dxa"/>
            <w:tcBorders>
              <w:top w:val="nil"/>
              <w:left w:val="nil"/>
              <w:bottom w:val="nil"/>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884 </w:t>
            </w:r>
          </w:p>
        </w:tc>
        <w:tc>
          <w:tcPr>
            <w:tcW w:w="640" w:type="dxa"/>
            <w:tcBorders>
              <w:top w:val="nil"/>
              <w:left w:val="nil"/>
              <w:bottom w:val="nil"/>
              <w:right w:val="single" w:sz="4" w:space="0" w:color="auto"/>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39 </w:t>
            </w:r>
          </w:p>
        </w:tc>
      </w:tr>
      <w:tr w:rsidR="00C671EA" w:rsidRPr="00E500E1" w:rsidTr="00C671EA">
        <w:trPr>
          <w:trHeight w:val="286"/>
        </w:trPr>
        <w:tc>
          <w:tcPr>
            <w:tcW w:w="1079" w:type="dxa"/>
            <w:tcBorders>
              <w:top w:val="nil"/>
              <w:left w:val="single" w:sz="8" w:space="0" w:color="auto"/>
              <w:bottom w:val="single" w:sz="8" w:space="0" w:color="auto"/>
              <w:right w:val="single" w:sz="8" w:space="0" w:color="auto"/>
            </w:tcBorders>
            <w:shd w:val="clear" w:color="auto" w:fill="auto"/>
            <w:noWrap/>
            <w:vAlign w:val="bottom"/>
            <w:hideMark/>
          </w:tcPr>
          <w:p w:rsidR="00D7394C" w:rsidRPr="00E500E1" w:rsidRDefault="00D7394C" w:rsidP="00E82B73">
            <w:pPr>
              <w:jc w:val="left"/>
              <w:rPr>
                <w:rFonts w:ascii="Calibri" w:hAnsi="Calibri"/>
                <w:color w:val="000000"/>
                <w:sz w:val="18"/>
                <w:szCs w:val="18"/>
                <w:lang w:val="nl-NL" w:eastAsia="nl-NL"/>
              </w:rPr>
            </w:pPr>
            <w:r w:rsidRPr="00E500E1">
              <w:rPr>
                <w:rFonts w:ascii="Calibri" w:hAnsi="Calibri"/>
                <w:color w:val="000000"/>
                <w:sz w:val="18"/>
                <w:szCs w:val="18"/>
                <w:lang w:val="nl-NL" w:eastAsia="nl-NL"/>
              </w:rPr>
              <w:t> </w:t>
            </w:r>
          </w:p>
        </w:tc>
        <w:tc>
          <w:tcPr>
            <w:tcW w:w="2727"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8"/>
                <w:szCs w:val="18"/>
                <w:lang w:eastAsia="nl-NL"/>
              </w:rPr>
            </w:pPr>
            <w:r w:rsidRPr="00E500E1">
              <w:rPr>
                <w:rFonts w:ascii="Calibri" w:hAnsi="Calibri"/>
                <w:b/>
                <w:bCs/>
                <w:sz w:val="18"/>
                <w:szCs w:val="18"/>
                <w:lang w:eastAsia="nl-NL"/>
              </w:rPr>
              <w:t xml:space="preserve"> value per ha (incl. Amenity service)* </w:t>
            </w:r>
          </w:p>
        </w:tc>
        <w:tc>
          <w:tcPr>
            <w:tcW w:w="529"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8"/>
                <w:szCs w:val="18"/>
                <w:lang w:val="nl-NL" w:eastAsia="nl-NL"/>
              </w:rPr>
            </w:pPr>
            <w:r w:rsidRPr="00E500E1">
              <w:rPr>
                <w:rFonts w:ascii="Calibri" w:hAnsi="Calibri"/>
                <w:b/>
                <w:bCs/>
                <w:sz w:val="18"/>
                <w:szCs w:val="18"/>
                <w:lang w:val="nl-NL" w:eastAsia="nl-NL"/>
              </w:rPr>
              <w:t>€/ha</w:t>
            </w:r>
          </w:p>
        </w:tc>
        <w:tc>
          <w:tcPr>
            <w:tcW w:w="913" w:type="dxa"/>
            <w:tcBorders>
              <w:top w:val="nil"/>
              <w:left w:val="single" w:sz="8" w:space="0" w:color="auto"/>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870 </w:t>
            </w:r>
          </w:p>
        </w:tc>
        <w:tc>
          <w:tcPr>
            <w:tcW w:w="841"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562 </w:t>
            </w:r>
          </w:p>
        </w:tc>
        <w:tc>
          <w:tcPr>
            <w:tcW w:w="913"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491 </w:t>
            </w:r>
          </w:p>
        </w:tc>
        <w:tc>
          <w:tcPr>
            <w:tcW w:w="841" w:type="dxa"/>
            <w:tcBorders>
              <w:top w:val="nil"/>
              <w:left w:val="nil"/>
              <w:bottom w:val="single" w:sz="8" w:space="0" w:color="auto"/>
              <w:right w:val="nil"/>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884 </w:t>
            </w:r>
          </w:p>
        </w:tc>
        <w:tc>
          <w:tcPr>
            <w:tcW w:w="640" w:type="dxa"/>
            <w:tcBorders>
              <w:top w:val="nil"/>
              <w:left w:val="nil"/>
              <w:bottom w:val="single" w:sz="8" w:space="0" w:color="auto"/>
              <w:right w:val="single" w:sz="4" w:space="0" w:color="auto"/>
            </w:tcBorders>
            <w:shd w:val="clear" w:color="auto" w:fill="auto"/>
            <w:noWrap/>
            <w:vAlign w:val="bottom"/>
            <w:hideMark/>
          </w:tcPr>
          <w:p w:rsidR="00D7394C" w:rsidRPr="00E500E1" w:rsidRDefault="00D7394C" w:rsidP="00E82B73">
            <w:pPr>
              <w:jc w:val="left"/>
              <w:rPr>
                <w:rFonts w:ascii="Calibri" w:hAnsi="Calibri"/>
                <w:b/>
                <w:bCs/>
                <w:sz w:val="16"/>
                <w:szCs w:val="16"/>
                <w:lang w:val="nl-NL" w:eastAsia="nl-NL"/>
              </w:rPr>
            </w:pPr>
            <w:r w:rsidRPr="00E500E1">
              <w:rPr>
                <w:rFonts w:ascii="Calibri" w:hAnsi="Calibri"/>
                <w:b/>
                <w:bCs/>
                <w:sz w:val="16"/>
                <w:szCs w:val="16"/>
                <w:lang w:val="nl-NL" w:eastAsia="nl-NL"/>
              </w:rPr>
              <w:t xml:space="preserve">        39 </w:t>
            </w:r>
          </w:p>
        </w:tc>
      </w:tr>
    </w:tbl>
    <w:p w:rsidR="00403120" w:rsidRDefault="00403120" w:rsidP="00150812"/>
    <w:p w:rsidR="000228C3" w:rsidRDefault="000228C3" w:rsidP="00150812"/>
    <w:p w:rsidR="00D610B7" w:rsidRDefault="00D610B7" w:rsidP="00150812">
      <w:pPr>
        <w:rPr>
          <w:b/>
          <w:u w:val="single"/>
        </w:rPr>
      </w:pPr>
    </w:p>
    <w:p w:rsidR="00150812" w:rsidRPr="000228C3" w:rsidRDefault="00150812" w:rsidP="00150812">
      <w:pPr>
        <w:rPr>
          <w:b/>
          <w:u w:val="single"/>
        </w:rPr>
      </w:pPr>
      <w:r w:rsidRPr="000228C3">
        <w:rPr>
          <w:b/>
          <w:u w:val="single"/>
        </w:rPr>
        <w:lastRenderedPageBreak/>
        <w:t>United Kingdom</w:t>
      </w:r>
    </w:p>
    <w:p w:rsidR="00B3390C" w:rsidRDefault="00372DE8" w:rsidP="00372DE8">
      <w:r>
        <w:t>The following table is an extract from the Natural Capital Accounting 2020 roadmap that was released by the UK Office of National Statistics in March 2015</w:t>
      </w:r>
      <w:r w:rsidR="00B3390C">
        <w:t xml:space="preserve"> – please see: </w:t>
      </w:r>
      <w:hyperlink r:id="rId9" w:history="1">
        <w:r w:rsidR="00B3390C" w:rsidRPr="00301A66">
          <w:rPr>
            <w:rStyle w:val="Hyperlink"/>
          </w:rPr>
          <w:t>http://webarchive.nationalarchives.gov.uk/20160105160709/http://www.ons.gov.uk/ons/rel/environmental/uk-natural-capital/natural-capital-accounting-2020-roadmap--interim-review-and-forward-look/index.html</w:t>
        </w:r>
      </w:hyperlink>
      <w:r w:rsidR="00B3390C">
        <w:t xml:space="preserve"> </w:t>
      </w:r>
    </w:p>
    <w:p w:rsidR="000228C3" w:rsidRDefault="00B3390C" w:rsidP="00372DE8">
      <w:r>
        <w:t xml:space="preserve">The UKA NCA 2020 roadmap </w:t>
      </w:r>
      <w:r w:rsidR="00372DE8">
        <w:t>covers ecosystem assets as well as services</w:t>
      </w:r>
      <w:r>
        <w:t>. The overview table below only covers the ecosystem service component of the table published in the original roadmap</w:t>
      </w:r>
      <w:r w:rsidR="00504AD2">
        <w:t>.</w:t>
      </w:r>
      <w:r>
        <w:t xml:space="preserve"> The roadmap</w:t>
      </w:r>
      <w:r w:rsidR="004C280C">
        <w:t xml:space="preserve"> table will be expanded and populated as the </w:t>
      </w:r>
      <w:r>
        <w:t>UK work on natural capital progresses.</w:t>
      </w:r>
    </w:p>
    <w:p w:rsidR="00B3390C" w:rsidRDefault="00B3390C" w:rsidP="00372DE8"/>
    <w:tbl>
      <w:tblPr>
        <w:tblStyle w:val="TableGrid"/>
        <w:tblW w:w="0" w:type="auto"/>
        <w:tblLayout w:type="fixed"/>
        <w:tblLook w:val="04A0" w:firstRow="1" w:lastRow="0" w:firstColumn="1" w:lastColumn="0" w:noHBand="0" w:noVBand="1"/>
      </w:tblPr>
      <w:tblGrid>
        <w:gridCol w:w="2689"/>
        <w:gridCol w:w="1134"/>
        <w:gridCol w:w="1275"/>
        <w:gridCol w:w="851"/>
        <w:gridCol w:w="1134"/>
        <w:gridCol w:w="992"/>
        <w:gridCol w:w="941"/>
      </w:tblGrid>
      <w:tr w:rsidR="0084327B" w:rsidTr="004C280C">
        <w:tc>
          <w:tcPr>
            <w:tcW w:w="2689" w:type="dxa"/>
            <w:shd w:val="clear" w:color="auto" w:fill="E2EFD9" w:themeFill="accent6" w:themeFillTint="33"/>
          </w:tcPr>
          <w:p w:rsidR="007D69C3" w:rsidRPr="007D69C3" w:rsidRDefault="007D69C3" w:rsidP="00372DE8">
            <w:pPr>
              <w:rPr>
                <w:sz w:val="20"/>
              </w:rPr>
            </w:pPr>
          </w:p>
        </w:tc>
        <w:tc>
          <w:tcPr>
            <w:tcW w:w="1134" w:type="dxa"/>
            <w:shd w:val="clear" w:color="auto" w:fill="E2EFD9" w:themeFill="accent6" w:themeFillTint="33"/>
          </w:tcPr>
          <w:p w:rsidR="007D69C3" w:rsidRPr="004C280C" w:rsidRDefault="007D69C3" w:rsidP="00372DE8">
            <w:pPr>
              <w:rPr>
                <w:sz w:val="20"/>
              </w:rPr>
            </w:pPr>
            <w:r w:rsidRPr="004C280C">
              <w:rPr>
                <w:sz w:val="20"/>
              </w:rPr>
              <w:t>Woodland</w:t>
            </w:r>
          </w:p>
        </w:tc>
        <w:tc>
          <w:tcPr>
            <w:tcW w:w="1275" w:type="dxa"/>
            <w:shd w:val="clear" w:color="auto" w:fill="E2EFD9" w:themeFill="accent6" w:themeFillTint="33"/>
          </w:tcPr>
          <w:p w:rsidR="007D69C3" w:rsidRPr="004C280C" w:rsidRDefault="007D69C3" w:rsidP="0084327B">
            <w:pPr>
              <w:jc w:val="left"/>
              <w:rPr>
                <w:sz w:val="20"/>
              </w:rPr>
            </w:pPr>
            <w:r w:rsidRPr="004C280C">
              <w:rPr>
                <w:sz w:val="20"/>
              </w:rPr>
              <w:t>Public Forest Estate</w:t>
            </w:r>
          </w:p>
        </w:tc>
        <w:tc>
          <w:tcPr>
            <w:tcW w:w="851" w:type="dxa"/>
            <w:shd w:val="clear" w:color="auto" w:fill="E2EFD9" w:themeFill="accent6" w:themeFillTint="33"/>
          </w:tcPr>
          <w:p w:rsidR="007D69C3" w:rsidRPr="004C280C" w:rsidRDefault="007D69C3" w:rsidP="00372DE8">
            <w:pPr>
              <w:rPr>
                <w:sz w:val="20"/>
              </w:rPr>
            </w:pPr>
            <w:r w:rsidRPr="004C280C">
              <w:rPr>
                <w:sz w:val="20"/>
              </w:rPr>
              <w:t>Marine</w:t>
            </w:r>
          </w:p>
        </w:tc>
        <w:tc>
          <w:tcPr>
            <w:tcW w:w="1134" w:type="dxa"/>
            <w:shd w:val="clear" w:color="auto" w:fill="E2EFD9" w:themeFill="accent6" w:themeFillTint="33"/>
          </w:tcPr>
          <w:p w:rsidR="007D69C3" w:rsidRPr="004C280C" w:rsidRDefault="007D69C3" w:rsidP="00372DE8">
            <w:pPr>
              <w:rPr>
                <w:sz w:val="20"/>
              </w:rPr>
            </w:pPr>
            <w:r w:rsidRPr="004C280C">
              <w:rPr>
                <w:sz w:val="20"/>
              </w:rPr>
              <w:t>Freshwater</w:t>
            </w:r>
          </w:p>
        </w:tc>
        <w:tc>
          <w:tcPr>
            <w:tcW w:w="992" w:type="dxa"/>
            <w:shd w:val="clear" w:color="auto" w:fill="E2EFD9" w:themeFill="accent6" w:themeFillTint="33"/>
          </w:tcPr>
          <w:p w:rsidR="007D69C3" w:rsidRPr="004C280C" w:rsidRDefault="007D69C3" w:rsidP="00372DE8">
            <w:pPr>
              <w:rPr>
                <w:sz w:val="20"/>
              </w:rPr>
            </w:pPr>
            <w:r w:rsidRPr="004C280C">
              <w:rPr>
                <w:sz w:val="20"/>
              </w:rPr>
              <w:t>Farmland</w:t>
            </w:r>
          </w:p>
        </w:tc>
        <w:tc>
          <w:tcPr>
            <w:tcW w:w="941" w:type="dxa"/>
            <w:shd w:val="clear" w:color="auto" w:fill="E2EFD9" w:themeFill="accent6" w:themeFillTint="33"/>
          </w:tcPr>
          <w:p w:rsidR="007D69C3" w:rsidRPr="004C280C" w:rsidRDefault="007D69C3" w:rsidP="00372DE8">
            <w:pPr>
              <w:rPr>
                <w:sz w:val="20"/>
              </w:rPr>
            </w:pPr>
            <w:r w:rsidRPr="004C280C">
              <w:rPr>
                <w:sz w:val="20"/>
              </w:rPr>
              <w:t>Peatland</w:t>
            </w:r>
          </w:p>
        </w:tc>
      </w:tr>
      <w:tr w:rsidR="007D69C3" w:rsidTr="004C280C">
        <w:tc>
          <w:tcPr>
            <w:tcW w:w="9016" w:type="dxa"/>
            <w:gridSpan w:val="7"/>
            <w:shd w:val="clear" w:color="auto" w:fill="C5E0B3" w:themeFill="accent6" w:themeFillTint="66"/>
          </w:tcPr>
          <w:p w:rsidR="007D69C3" w:rsidRPr="007D69C3" w:rsidRDefault="007D69C3" w:rsidP="00372DE8">
            <w:pPr>
              <w:rPr>
                <w:sz w:val="20"/>
              </w:rPr>
            </w:pPr>
            <w:r w:rsidRPr="007D69C3">
              <w:rPr>
                <w:sz w:val="20"/>
              </w:rPr>
              <w:t>Provisioning services</w:t>
            </w: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Timber</w:t>
            </w:r>
          </w:p>
        </w:tc>
        <w:tc>
          <w:tcPr>
            <w:tcW w:w="1134" w:type="dxa"/>
          </w:tcPr>
          <w:p w:rsidR="007D69C3" w:rsidRPr="007D69C3" w:rsidRDefault="003D3E7A" w:rsidP="003D3E7A">
            <w:pPr>
              <w:jc w:val="center"/>
              <w:rPr>
                <w:sz w:val="20"/>
              </w:rPr>
            </w:pPr>
            <w:r>
              <w:rPr>
                <w:sz w:val="20"/>
              </w:rPr>
              <w:sym w:font="Wingdings" w:char="F0FC"/>
            </w:r>
          </w:p>
        </w:tc>
        <w:tc>
          <w:tcPr>
            <w:tcW w:w="1275" w:type="dxa"/>
          </w:tcPr>
          <w:p w:rsidR="007D69C3" w:rsidRPr="007D69C3" w:rsidRDefault="003D3E7A" w:rsidP="003D3E7A">
            <w:pPr>
              <w:jc w:val="center"/>
              <w:rPr>
                <w:sz w:val="20"/>
              </w:rPr>
            </w:pPr>
            <w:r>
              <w:rPr>
                <w:sz w:val="20"/>
              </w:rPr>
              <w:sym w:font="Wingdings" w:char="F0FC"/>
            </w:r>
          </w:p>
        </w:tc>
        <w:tc>
          <w:tcPr>
            <w:tcW w:w="851" w:type="dxa"/>
          </w:tcPr>
          <w:p w:rsidR="007D69C3" w:rsidRPr="007D69C3" w:rsidRDefault="007D69C3" w:rsidP="003D3E7A">
            <w:pPr>
              <w:jc w:val="center"/>
              <w:rPr>
                <w:sz w:val="20"/>
              </w:rPr>
            </w:pPr>
          </w:p>
        </w:tc>
        <w:tc>
          <w:tcPr>
            <w:tcW w:w="1134" w:type="dxa"/>
          </w:tcPr>
          <w:p w:rsidR="007D69C3" w:rsidRPr="007D69C3" w:rsidRDefault="007D69C3" w:rsidP="003D3E7A">
            <w:pPr>
              <w:jc w:val="center"/>
              <w:rPr>
                <w:sz w:val="20"/>
              </w:rPr>
            </w:pP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Fish</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3D3E7A" w:rsidP="003D3E7A">
            <w:pPr>
              <w:jc w:val="center"/>
              <w:rPr>
                <w:sz w:val="20"/>
              </w:rPr>
            </w:pPr>
            <w:r>
              <w:rPr>
                <w:sz w:val="20"/>
              </w:rPr>
              <w:sym w:font="Wingdings" w:char="F0FC"/>
            </w: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Peat extraction</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3D3E7A" w:rsidP="003D3E7A">
            <w:pPr>
              <w:jc w:val="center"/>
              <w:rPr>
                <w:sz w:val="20"/>
              </w:rPr>
            </w:pPr>
            <w:r>
              <w:rPr>
                <w:sz w:val="20"/>
              </w:rPr>
              <w:sym w:font="Wingdings" w:char="F0FC"/>
            </w: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Grass</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7D69C3" w:rsidP="003D3E7A">
            <w:pPr>
              <w:jc w:val="center"/>
              <w:rPr>
                <w:sz w:val="20"/>
              </w:rPr>
            </w:pPr>
          </w:p>
        </w:tc>
        <w:tc>
          <w:tcPr>
            <w:tcW w:w="992" w:type="dxa"/>
          </w:tcPr>
          <w:p w:rsidR="007D69C3" w:rsidRPr="007D69C3" w:rsidRDefault="003D3E7A" w:rsidP="003D3E7A">
            <w:pPr>
              <w:jc w:val="center"/>
              <w:rPr>
                <w:sz w:val="20"/>
              </w:rPr>
            </w:pPr>
            <w:r>
              <w:rPr>
                <w:sz w:val="20"/>
              </w:rPr>
              <w:sym w:font="Wingdings" w:char="F0FC"/>
            </w:r>
          </w:p>
        </w:tc>
        <w:tc>
          <w:tcPr>
            <w:tcW w:w="941" w:type="dxa"/>
          </w:tcPr>
          <w:p w:rsidR="007D69C3" w:rsidRPr="007D69C3" w:rsidRDefault="007D69C3" w:rsidP="003D3E7A">
            <w:pPr>
              <w:jc w:val="center"/>
              <w:rPr>
                <w:sz w:val="20"/>
              </w:rPr>
            </w:pP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Crops</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7D69C3" w:rsidP="003D3E7A">
            <w:pPr>
              <w:jc w:val="center"/>
              <w:rPr>
                <w:sz w:val="20"/>
              </w:rPr>
            </w:pPr>
          </w:p>
        </w:tc>
        <w:tc>
          <w:tcPr>
            <w:tcW w:w="992" w:type="dxa"/>
          </w:tcPr>
          <w:p w:rsidR="007D69C3" w:rsidRPr="007D69C3" w:rsidRDefault="003D3E7A" w:rsidP="003D3E7A">
            <w:pPr>
              <w:jc w:val="center"/>
              <w:rPr>
                <w:sz w:val="20"/>
              </w:rPr>
            </w:pPr>
            <w:r>
              <w:rPr>
                <w:sz w:val="20"/>
              </w:rPr>
              <w:sym w:font="Wingdings" w:char="F0FC"/>
            </w:r>
          </w:p>
        </w:tc>
        <w:tc>
          <w:tcPr>
            <w:tcW w:w="941" w:type="dxa"/>
          </w:tcPr>
          <w:p w:rsidR="007D69C3" w:rsidRPr="007D69C3" w:rsidRDefault="007D69C3" w:rsidP="003D3E7A">
            <w:pPr>
              <w:jc w:val="center"/>
              <w:rPr>
                <w:sz w:val="20"/>
              </w:rPr>
            </w:pPr>
          </w:p>
        </w:tc>
      </w:tr>
      <w:tr w:rsidR="0084327B"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Water</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Energy</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7D69C3" w:rsidTr="004C280C">
        <w:tc>
          <w:tcPr>
            <w:tcW w:w="9016" w:type="dxa"/>
            <w:gridSpan w:val="7"/>
            <w:shd w:val="clear" w:color="auto" w:fill="C5E0B3" w:themeFill="accent6" w:themeFillTint="66"/>
          </w:tcPr>
          <w:p w:rsidR="007D69C3" w:rsidRPr="007D69C3" w:rsidRDefault="007D69C3" w:rsidP="00372DE8">
            <w:pPr>
              <w:rPr>
                <w:sz w:val="20"/>
              </w:rPr>
            </w:pPr>
            <w:r w:rsidRPr="007D69C3">
              <w:rPr>
                <w:sz w:val="20"/>
              </w:rPr>
              <w:t>Regulating Services</w:t>
            </w: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GHG sequestration/ flux</w:t>
            </w:r>
          </w:p>
        </w:tc>
        <w:tc>
          <w:tcPr>
            <w:tcW w:w="1134" w:type="dxa"/>
          </w:tcPr>
          <w:p w:rsidR="007D69C3" w:rsidRPr="007D69C3" w:rsidRDefault="003D3E7A" w:rsidP="003D3E7A">
            <w:pPr>
              <w:jc w:val="center"/>
              <w:rPr>
                <w:sz w:val="20"/>
              </w:rPr>
            </w:pPr>
            <w:r>
              <w:rPr>
                <w:sz w:val="20"/>
              </w:rPr>
              <w:sym w:font="Wingdings" w:char="F0FC"/>
            </w:r>
          </w:p>
        </w:tc>
        <w:tc>
          <w:tcPr>
            <w:tcW w:w="1275" w:type="dxa"/>
          </w:tcPr>
          <w:p w:rsidR="007D69C3" w:rsidRPr="007D69C3" w:rsidRDefault="003D3E7A" w:rsidP="003D3E7A">
            <w:pPr>
              <w:jc w:val="center"/>
              <w:rPr>
                <w:sz w:val="20"/>
              </w:rPr>
            </w:pPr>
            <w:r>
              <w:rPr>
                <w:sz w:val="20"/>
              </w:rPr>
              <w:sym w:font="Wingdings" w:char="F0FC"/>
            </w:r>
          </w:p>
        </w:tc>
        <w:tc>
          <w:tcPr>
            <w:tcW w:w="851" w:type="dxa"/>
          </w:tcPr>
          <w:p w:rsidR="007D69C3" w:rsidRPr="007D69C3" w:rsidRDefault="003D3E7A" w:rsidP="003D3E7A">
            <w:pPr>
              <w:jc w:val="center"/>
              <w:rPr>
                <w:sz w:val="20"/>
              </w:rPr>
            </w:pPr>
            <w:r>
              <w:rPr>
                <w:sz w:val="20"/>
              </w:rPr>
              <w:sym w:font="Wingdings" w:char="F0FC"/>
            </w: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3D3E7A" w:rsidP="003D3E7A">
            <w:pPr>
              <w:jc w:val="center"/>
              <w:rPr>
                <w:sz w:val="20"/>
              </w:rPr>
            </w:pPr>
            <w:r>
              <w:rPr>
                <w:sz w:val="20"/>
              </w:rPr>
              <w:t>tbd</w:t>
            </w:r>
          </w:p>
        </w:tc>
        <w:tc>
          <w:tcPr>
            <w:tcW w:w="941" w:type="dxa"/>
          </w:tcPr>
          <w:p w:rsidR="007D69C3" w:rsidRPr="007D69C3" w:rsidRDefault="003D3E7A" w:rsidP="003D3E7A">
            <w:pPr>
              <w:jc w:val="center"/>
              <w:rPr>
                <w:sz w:val="20"/>
              </w:rPr>
            </w:pPr>
            <w:r>
              <w:rPr>
                <w:sz w:val="20"/>
              </w:rPr>
              <w:sym w:font="Wingdings" w:char="F0FC"/>
            </w: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Water quality regulation</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3D3E7A" w:rsidP="003D3E7A">
            <w:pPr>
              <w:jc w:val="center"/>
              <w:rPr>
                <w:sz w:val="20"/>
              </w:rPr>
            </w:pPr>
            <w:r>
              <w:rPr>
                <w:sz w:val="20"/>
              </w:rPr>
              <w:sym w:font="Wingdings" w:char="F0FC"/>
            </w: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Water quantity</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7D69C3" w:rsidP="003D3E7A">
            <w:pPr>
              <w:jc w:val="center"/>
              <w:rPr>
                <w:sz w:val="20"/>
              </w:rPr>
            </w:pP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Water flow regulation</w:t>
            </w:r>
          </w:p>
        </w:tc>
        <w:tc>
          <w:tcPr>
            <w:tcW w:w="1134" w:type="dxa"/>
          </w:tcPr>
          <w:p w:rsidR="007D69C3" w:rsidRPr="007D69C3" w:rsidRDefault="003D3E7A" w:rsidP="003D3E7A">
            <w:pPr>
              <w:jc w:val="center"/>
              <w:rPr>
                <w:sz w:val="20"/>
              </w:rPr>
            </w:pPr>
            <w:r>
              <w:rPr>
                <w:sz w:val="20"/>
              </w:rPr>
              <w:sym w:font="Wingdings" w:char="F0FC"/>
            </w:r>
          </w:p>
        </w:tc>
        <w:tc>
          <w:tcPr>
            <w:tcW w:w="1275" w:type="dxa"/>
          </w:tcPr>
          <w:p w:rsidR="007D69C3" w:rsidRPr="007D69C3" w:rsidRDefault="003D3E7A" w:rsidP="003D3E7A">
            <w:pPr>
              <w:jc w:val="center"/>
              <w:rPr>
                <w:sz w:val="20"/>
              </w:rPr>
            </w:pPr>
            <w:r>
              <w:rPr>
                <w:sz w:val="20"/>
              </w:rPr>
              <w:sym w:font="Wingdings" w:char="F0FC"/>
            </w: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3D3E7A" w:rsidP="003D3E7A">
            <w:pPr>
              <w:jc w:val="center"/>
              <w:rPr>
                <w:sz w:val="20"/>
              </w:rPr>
            </w:pPr>
            <w:r>
              <w:rPr>
                <w:sz w:val="20"/>
              </w:rPr>
              <w:sym w:font="Wingdings" w:char="F0FC"/>
            </w: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Erosion protection</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7D69C3" w:rsidP="003D3E7A">
            <w:pPr>
              <w:jc w:val="cente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Air filtration</w:t>
            </w:r>
          </w:p>
        </w:tc>
        <w:tc>
          <w:tcPr>
            <w:tcW w:w="1134" w:type="dxa"/>
          </w:tcPr>
          <w:p w:rsidR="007D69C3" w:rsidRPr="007D69C3" w:rsidRDefault="007D69C3" w:rsidP="00372DE8">
            <w:pPr>
              <w:rPr>
                <w:sz w:val="20"/>
              </w:rPr>
            </w:pPr>
          </w:p>
        </w:tc>
        <w:tc>
          <w:tcPr>
            <w:tcW w:w="1275" w:type="dxa"/>
          </w:tcPr>
          <w:p w:rsidR="007D69C3" w:rsidRPr="007D69C3" w:rsidRDefault="007D69C3" w:rsidP="00372DE8">
            <w:pPr>
              <w:rPr>
                <w:sz w:val="20"/>
              </w:rPr>
            </w:pPr>
          </w:p>
        </w:tc>
        <w:tc>
          <w:tcPr>
            <w:tcW w:w="851" w:type="dxa"/>
          </w:tcPr>
          <w:p w:rsidR="007D69C3" w:rsidRPr="007D69C3" w:rsidRDefault="007D69C3" w:rsidP="00372DE8">
            <w:pPr>
              <w:rPr>
                <w:sz w:val="20"/>
              </w:rPr>
            </w:pPr>
          </w:p>
        </w:tc>
        <w:tc>
          <w:tcPr>
            <w:tcW w:w="1134" w:type="dxa"/>
          </w:tcPr>
          <w:p w:rsidR="007D69C3" w:rsidRPr="007D69C3" w:rsidRDefault="007D69C3" w:rsidP="00372DE8">
            <w:pPr>
              <w:rPr>
                <w:sz w:val="20"/>
              </w:rPr>
            </w:pPr>
          </w:p>
        </w:tc>
        <w:tc>
          <w:tcPr>
            <w:tcW w:w="992" w:type="dxa"/>
          </w:tcPr>
          <w:p w:rsidR="007D69C3" w:rsidRPr="007D69C3" w:rsidRDefault="007D69C3" w:rsidP="00372DE8">
            <w:pPr>
              <w:rPr>
                <w:sz w:val="20"/>
              </w:rPr>
            </w:pPr>
          </w:p>
        </w:tc>
        <w:tc>
          <w:tcPr>
            <w:tcW w:w="941" w:type="dxa"/>
          </w:tcPr>
          <w:p w:rsidR="007D69C3" w:rsidRPr="007D69C3" w:rsidRDefault="007D69C3" w:rsidP="00372DE8">
            <w:pPr>
              <w:rPr>
                <w:sz w:val="20"/>
              </w:rPr>
            </w:pPr>
          </w:p>
        </w:tc>
      </w:tr>
      <w:tr w:rsidR="007D69C3" w:rsidTr="004C280C">
        <w:tc>
          <w:tcPr>
            <w:tcW w:w="9016" w:type="dxa"/>
            <w:gridSpan w:val="7"/>
            <w:shd w:val="clear" w:color="auto" w:fill="C5E0B3" w:themeFill="accent6" w:themeFillTint="66"/>
          </w:tcPr>
          <w:p w:rsidR="007D69C3" w:rsidRPr="007D69C3" w:rsidRDefault="007D69C3" w:rsidP="00372DE8">
            <w:pPr>
              <w:rPr>
                <w:sz w:val="20"/>
              </w:rPr>
            </w:pPr>
            <w:r w:rsidRPr="007D69C3">
              <w:rPr>
                <w:sz w:val="20"/>
              </w:rPr>
              <w:t>Cultural Services</w:t>
            </w: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Setting for outdoor recreation</w:t>
            </w:r>
          </w:p>
        </w:tc>
        <w:tc>
          <w:tcPr>
            <w:tcW w:w="1134" w:type="dxa"/>
          </w:tcPr>
          <w:p w:rsidR="007D69C3" w:rsidRPr="007D69C3" w:rsidRDefault="003D3E7A" w:rsidP="003D3E7A">
            <w:pPr>
              <w:jc w:val="center"/>
              <w:rPr>
                <w:sz w:val="20"/>
              </w:rPr>
            </w:pPr>
            <w:r>
              <w:rPr>
                <w:sz w:val="20"/>
              </w:rPr>
              <w:sym w:font="Wingdings" w:char="F0FC"/>
            </w:r>
          </w:p>
        </w:tc>
        <w:tc>
          <w:tcPr>
            <w:tcW w:w="1275" w:type="dxa"/>
          </w:tcPr>
          <w:p w:rsidR="007D69C3" w:rsidRPr="007D69C3" w:rsidRDefault="003D3E7A" w:rsidP="003D3E7A">
            <w:pPr>
              <w:jc w:val="center"/>
              <w:rPr>
                <w:sz w:val="20"/>
              </w:rPr>
            </w:pPr>
            <w:r>
              <w:rPr>
                <w:sz w:val="20"/>
              </w:rPr>
              <w:sym w:font="Wingdings" w:char="F0FC"/>
            </w:r>
          </w:p>
        </w:tc>
        <w:tc>
          <w:tcPr>
            <w:tcW w:w="851" w:type="dxa"/>
          </w:tcPr>
          <w:p w:rsidR="007D69C3" w:rsidRPr="007D69C3" w:rsidRDefault="003D3E7A" w:rsidP="003D3E7A">
            <w:pPr>
              <w:jc w:val="center"/>
              <w:rPr>
                <w:sz w:val="20"/>
              </w:rPr>
            </w:pPr>
            <w:r>
              <w:rPr>
                <w:sz w:val="20"/>
              </w:rPr>
              <w:sym w:font="Wingdings" w:char="F0FC"/>
            </w: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3D3E7A" w:rsidP="003D3E7A">
            <w:pPr>
              <w:jc w:val="center"/>
              <w:rPr>
                <w:sz w:val="20"/>
              </w:rPr>
            </w:pPr>
            <w:r>
              <w:rPr>
                <w:sz w:val="20"/>
              </w:rPr>
              <w:sym w:font="Wingdings" w:char="F0FC"/>
            </w:r>
          </w:p>
        </w:tc>
        <w:tc>
          <w:tcPr>
            <w:tcW w:w="941" w:type="dxa"/>
          </w:tcPr>
          <w:p w:rsidR="007D69C3" w:rsidRPr="007D69C3" w:rsidRDefault="007D69C3" w:rsidP="00372DE8">
            <w:pP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Education services</w:t>
            </w:r>
          </w:p>
        </w:tc>
        <w:tc>
          <w:tcPr>
            <w:tcW w:w="1134" w:type="dxa"/>
          </w:tcPr>
          <w:p w:rsidR="007D69C3" w:rsidRPr="007D69C3" w:rsidRDefault="003D3E7A" w:rsidP="003D3E7A">
            <w:pPr>
              <w:jc w:val="center"/>
              <w:rPr>
                <w:sz w:val="20"/>
              </w:rPr>
            </w:pPr>
            <w:r>
              <w:rPr>
                <w:sz w:val="20"/>
              </w:rPr>
              <w:sym w:font="Wingdings" w:char="F0FC"/>
            </w: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3D3E7A" w:rsidP="003D3E7A">
            <w:pPr>
              <w:jc w:val="center"/>
              <w:rPr>
                <w:sz w:val="20"/>
              </w:rPr>
            </w:pPr>
            <w:r>
              <w:rPr>
                <w:sz w:val="20"/>
              </w:rPr>
              <w:sym w:font="Wingdings" w:char="F0FC"/>
            </w:r>
          </w:p>
        </w:tc>
        <w:tc>
          <w:tcPr>
            <w:tcW w:w="992" w:type="dxa"/>
          </w:tcPr>
          <w:p w:rsidR="007D69C3" w:rsidRPr="007D69C3" w:rsidRDefault="007D69C3" w:rsidP="003D3E7A">
            <w:pPr>
              <w:jc w:val="center"/>
              <w:rPr>
                <w:sz w:val="20"/>
              </w:rPr>
            </w:pPr>
          </w:p>
        </w:tc>
        <w:tc>
          <w:tcPr>
            <w:tcW w:w="941" w:type="dxa"/>
          </w:tcPr>
          <w:p w:rsidR="007D69C3" w:rsidRPr="007D69C3" w:rsidRDefault="007D69C3" w:rsidP="00372DE8">
            <w:pP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Landscape amenity</w:t>
            </w:r>
          </w:p>
        </w:tc>
        <w:tc>
          <w:tcPr>
            <w:tcW w:w="1134" w:type="dxa"/>
          </w:tcPr>
          <w:p w:rsidR="007D69C3" w:rsidRPr="007D69C3" w:rsidRDefault="007D69C3" w:rsidP="003D3E7A">
            <w:pPr>
              <w:jc w:val="center"/>
              <w:rPr>
                <w:sz w:val="20"/>
              </w:rPr>
            </w:pPr>
          </w:p>
        </w:tc>
        <w:tc>
          <w:tcPr>
            <w:tcW w:w="1275" w:type="dxa"/>
          </w:tcPr>
          <w:p w:rsidR="007D69C3" w:rsidRPr="007D69C3" w:rsidRDefault="007D69C3" w:rsidP="003D3E7A">
            <w:pPr>
              <w:jc w:val="center"/>
              <w:rPr>
                <w:sz w:val="20"/>
              </w:rPr>
            </w:pPr>
          </w:p>
        </w:tc>
        <w:tc>
          <w:tcPr>
            <w:tcW w:w="851" w:type="dxa"/>
          </w:tcPr>
          <w:p w:rsidR="007D69C3" w:rsidRPr="007D69C3" w:rsidRDefault="007D69C3" w:rsidP="003D3E7A">
            <w:pPr>
              <w:jc w:val="center"/>
              <w:rPr>
                <w:sz w:val="20"/>
              </w:rPr>
            </w:pPr>
          </w:p>
        </w:tc>
        <w:tc>
          <w:tcPr>
            <w:tcW w:w="1134" w:type="dxa"/>
          </w:tcPr>
          <w:p w:rsidR="007D69C3" w:rsidRPr="007D69C3" w:rsidRDefault="007D69C3" w:rsidP="003D3E7A">
            <w:pPr>
              <w:jc w:val="center"/>
              <w:rPr>
                <w:sz w:val="20"/>
              </w:rPr>
            </w:pPr>
          </w:p>
        </w:tc>
        <w:tc>
          <w:tcPr>
            <w:tcW w:w="992" w:type="dxa"/>
          </w:tcPr>
          <w:p w:rsidR="007D69C3" w:rsidRPr="007D69C3" w:rsidRDefault="007D69C3" w:rsidP="003D3E7A">
            <w:pPr>
              <w:jc w:val="center"/>
              <w:rPr>
                <w:sz w:val="20"/>
              </w:rPr>
            </w:pPr>
          </w:p>
        </w:tc>
        <w:tc>
          <w:tcPr>
            <w:tcW w:w="941" w:type="dxa"/>
          </w:tcPr>
          <w:p w:rsidR="007D69C3" w:rsidRPr="007D69C3" w:rsidRDefault="007D69C3" w:rsidP="00372DE8">
            <w:pPr>
              <w:rPr>
                <w:sz w:val="20"/>
              </w:rPr>
            </w:pPr>
          </w:p>
        </w:tc>
      </w:tr>
      <w:tr w:rsidR="004C280C" w:rsidTr="004C280C">
        <w:tc>
          <w:tcPr>
            <w:tcW w:w="2689" w:type="dxa"/>
            <w:shd w:val="clear" w:color="auto" w:fill="E2EFD9" w:themeFill="accent6" w:themeFillTint="33"/>
          </w:tcPr>
          <w:p w:rsidR="007D69C3" w:rsidRPr="007D69C3" w:rsidRDefault="007D69C3" w:rsidP="007D69C3">
            <w:pPr>
              <w:jc w:val="left"/>
              <w:rPr>
                <w:sz w:val="20"/>
              </w:rPr>
            </w:pPr>
            <w:r w:rsidRPr="007D69C3">
              <w:rPr>
                <w:sz w:val="20"/>
              </w:rPr>
              <w:t xml:space="preserve">Archaeological preservation </w:t>
            </w:r>
          </w:p>
        </w:tc>
        <w:tc>
          <w:tcPr>
            <w:tcW w:w="1134" w:type="dxa"/>
          </w:tcPr>
          <w:p w:rsidR="007D69C3" w:rsidRPr="007D69C3" w:rsidRDefault="007D69C3" w:rsidP="00372DE8">
            <w:pPr>
              <w:rPr>
                <w:sz w:val="20"/>
              </w:rPr>
            </w:pPr>
          </w:p>
        </w:tc>
        <w:tc>
          <w:tcPr>
            <w:tcW w:w="1275" w:type="dxa"/>
          </w:tcPr>
          <w:p w:rsidR="007D69C3" w:rsidRPr="007D69C3" w:rsidRDefault="007D69C3" w:rsidP="00372DE8">
            <w:pPr>
              <w:rPr>
                <w:sz w:val="20"/>
              </w:rPr>
            </w:pPr>
          </w:p>
        </w:tc>
        <w:tc>
          <w:tcPr>
            <w:tcW w:w="851" w:type="dxa"/>
          </w:tcPr>
          <w:p w:rsidR="007D69C3" w:rsidRPr="007D69C3" w:rsidRDefault="007D69C3" w:rsidP="00372DE8">
            <w:pPr>
              <w:rPr>
                <w:sz w:val="20"/>
              </w:rPr>
            </w:pPr>
          </w:p>
        </w:tc>
        <w:tc>
          <w:tcPr>
            <w:tcW w:w="1134" w:type="dxa"/>
          </w:tcPr>
          <w:p w:rsidR="007D69C3" w:rsidRPr="007D69C3" w:rsidRDefault="007D69C3" w:rsidP="00372DE8">
            <w:pPr>
              <w:rPr>
                <w:sz w:val="20"/>
              </w:rPr>
            </w:pPr>
          </w:p>
        </w:tc>
        <w:tc>
          <w:tcPr>
            <w:tcW w:w="992" w:type="dxa"/>
          </w:tcPr>
          <w:p w:rsidR="007D69C3" w:rsidRPr="007D69C3" w:rsidRDefault="007D69C3" w:rsidP="00372DE8">
            <w:pPr>
              <w:rPr>
                <w:sz w:val="20"/>
              </w:rPr>
            </w:pPr>
          </w:p>
        </w:tc>
        <w:tc>
          <w:tcPr>
            <w:tcW w:w="941" w:type="dxa"/>
          </w:tcPr>
          <w:p w:rsidR="007D69C3" w:rsidRPr="007D69C3" w:rsidRDefault="007D69C3" w:rsidP="00372DE8">
            <w:pPr>
              <w:rPr>
                <w:sz w:val="20"/>
              </w:rPr>
            </w:pPr>
          </w:p>
        </w:tc>
      </w:tr>
    </w:tbl>
    <w:p w:rsidR="00F45027" w:rsidRDefault="00F45027" w:rsidP="00150812">
      <w:pPr>
        <w:rPr>
          <w:b/>
          <w:u w:val="single"/>
        </w:rPr>
      </w:pPr>
    </w:p>
    <w:p w:rsidR="00892AB4" w:rsidRDefault="00892AB4" w:rsidP="00150812">
      <w:pPr>
        <w:rPr>
          <w:b/>
          <w:u w:val="single"/>
        </w:rPr>
      </w:pPr>
    </w:p>
    <w:p w:rsidR="00892AB4" w:rsidRDefault="00892AB4" w:rsidP="00150812">
      <w:pPr>
        <w:rPr>
          <w:b/>
          <w:u w:val="single"/>
        </w:rPr>
      </w:pPr>
    </w:p>
    <w:p w:rsidR="00892AB4" w:rsidRDefault="00892AB4" w:rsidP="00150812">
      <w:pPr>
        <w:rPr>
          <w:b/>
          <w:u w:val="single"/>
        </w:rPr>
      </w:pPr>
    </w:p>
    <w:p w:rsidR="00892AB4" w:rsidRDefault="00892AB4" w:rsidP="00150812">
      <w:pPr>
        <w:rPr>
          <w:b/>
          <w:u w:val="single"/>
        </w:rPr>
      </w:pPr>
    </w:p>
    <w:p w:rsidR="00892AB4" w:rsidRDefault="00892AB4" w:rsidP="00150812">
      <w:pPr>
        <w:rPr>
          <w:b/>
          <w:u w:val="single"/>
        </w:rPr>
      </w:pPr>
    </w:p>
    <w:p w:rsidR="00892AB4" w:rsidRDefault="00892AB4" w:rsidP="00150812">
      <w:pPr>
        <w:rPr>
          <w:b/>
          <w:u w:val="single"/>
        </w:rPr>
      </w:pPr>
    </w:p>
    <w:p w:rsidR="00892AB4" w:rsidRDefault="00892AB4" w:rsidP="00150812">
      <w:pPr>
        <w:rPr>
          <w:b/>
          <w:u w:val="single"/>
        </w:rPr>
      </w:pPr>
    </w:p>
    <w:p w:rsidR="00892AB4" w:rsidRDefault="00150812" w:rsidP="00150812">
      <w:pPr>
        <w:rPr>
          <w:b/>
          <w:u w:val="single"/>
        </w:rPr>
      </w:pPr>
      <w:r w:rsidRPr="000228C3">
        <w:rPr>
          <w:b/>
          <w:u w:val="single"/>
        </w:rPr>
        <w:lastRenderedPageBreak/>
        <w:t>Germany</w:t>
      </w:r>
    </w:p>
    <w:p w:rsidR="00331279" w:rsidRPr="00892AB4" w:rsidRDefault="00331279" w:rsidP="00150812">
      <w:pPr>
        <w:rPr>
          <w:b/>
          <w:u w:val="single"/>
        </w:rPr>
      </w:pPr>
      <w:r>
        <w:rPr>
          <w:noProof/>
          <w:lang w:eastAsia="en-GB"/>
        </w:rPr>
        <w:drawing>
          <wp:anchor distT="0" distB="0" distL="114300" distR="114300" simplePos="0" relativeHeight="251658240" behindDoc="1" locked="0" layoutInCell="1" allowOverlap="1" wp14:anchorId="22A4039F" wp14:editId="092BA882">
            <wp:simplePos x="0" y="0"/>
            <wp:positionH relativeFrom="margin">
              <wp:posOffset>-66675</wp:posOffset>
            </wp:positionH>
            <wp:positionV relativeFrom="paragraph">
              <wp:posOffset>1115695</wp:posOffset>
            </wp:positionV>
            <wp:extent cx="6334125" cy="6324600"/>
            <wp:effectExtent l="19050" t="19050" r="28575" b="19050"/>
            <wp:wrapTight wrapText="bothSides">
              <wp:wrapPolygon edited="0">
                <wp:start x="-65" y="-65"/>
                <wp:lineTo x="-65" y="21600"/>
                <wp:lineTo x="21632" y="21600"/>
                <wp:lineTo x="21632" y="-65"/>
                <wp:lineTo x="-65" y="-65"/>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30459" t="17366" r="27290" b="7524"/>
                    <a:stretch/>
                  </pic:blipFill>
                  <pic:spPr bwMode="auto">
                    <a:xfrm>
                      <a:off x="0" y="0"/>
                      <a:ext cx="6334125" cy="6324600"/>
                    </a:xfrm>
                    <a:prstGeom prst="rect">
                      <a:avLst/>
                    </a:prstGeom>
                    <a:ln w="9525" cap="flat" cmpd="sng" algn="ctr">
                      <a:solidFill>
                        <a:schemeClr val="bg1">
                          <a:lumMod val="50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0" distB="0" distL="114300" distR="114300" simplePos="0" relativeHeight="251660288" behindDoc="1" locked="0" layoutInCell="1" allowOverlap="1" wp14:anchorId="6AEC2A1D" wp14:editId="01187ECB">
                <wp:simplePos x="0" y="0"/>
                <wp:positionH relativeFrom="margin">
                  <wp:posOffset>-57150</wp:posOffset>
                </wp:positionH>
                <wp:positionV relativeFrom="paragraph">
                  <wp:posOffset>814705</wp:posOffset>
                </wp:positionV>
                <wp:extent cx="6334125" cy="266700"/>
                <wp:effectExtent l="0" t="0" r="9525" b="0"/>
                <wp:wrapTight wrapText="bothSides">
                  <wp:wrapPolygon edited="0">
                    <wp:start x="0" y="0"/>
                    <wp:lineTo x="0" y="20057"/>
                    <wp:lineTo x="21568" y="20057"/>
                    <wp:lineTo x="21568"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6334125" cy="266700"/>
                        </a:xfrm>
                        <a:prstGeom prst="rect">
                          <a:avLst/>
                        </a:prstGeom>
                        <a:solidFill>
                          <a:prstClr val="white"/>
                        </a:solidFill>
                        <a:ln>
                          <a:noFill/>
                        </a:ln>
                        <a:effectLst/>
                      </wps:spPr>
                      <wps:txbx>
                        <w:txbxContent>
                          <w:p w:rsidR="00331279" w:rsidRPr="00407607" w:rsidRDefault="00331279" w:rsidP="00331279">
                            <w:pPr>
                              <w:pStyle w:val="Caption"/>
                              <w:rPr>
                                <w:noProof/>
                              </w:rPr>
                            </w:pPr>
                            <w:r>
                              <w:t xml:space="preserve">Table </w:t>
                            </w:r>
                            <w:fldSimple w:instr=" SEQ Table \* ARABIC ">
                              <w:r w:rsidR="00372DE8">
                                <w:rPr>
                                  <w:noProof/>
                                </w:rPr>
                                <w:t>4</w:t>
                              </w:r>
                            </w:fldSimple>
                            <w:r>
                              <w:t xml:space="preserve"> national ecosystem service indicators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AEC2A1D" id="_x0000_t202" coordsize="21600,21600" o:spt="202" path="m,l,21600r21600,l21600,xe">
                <v:stroke joinstyle="miter"/>
                <v:path gradientshapeok="t" o:connecttype="rect"/>
              </v:shapetype>
              <v:shape id="Text Box 5" o:spid="_x0000_s1026" type="#_x0000_t202" style="position:absolute;left:0;text-align:left;margin-left:-4.5pt;margin-top:64.15pt;width:498.75pt;height:21pt;z-index:-2516561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nVfNQIAAG4EAAAOAAAAZHJzL2Uyb0RvYy54bWysVN9v2jAQfp+0/8Hy+wjQlVURoWJUTJNQ&#10;WwmmPhvHJpZsn2cbEvbX7+wQunV7mvbinO/O9+P77jK/74wmJ+GDAlvRyWhMibAcamUPFf22W3+4&#10;oyREZmumwYqKnkWg94v37+atK8UUGtC18ASD2FC2rqJNjK4sisAbYVgYgRMWjRK8YRGv/lDUnrUY&#10;3ehiOh7PihZ87TxwEQJqH3ojXeT4Ugoen6QMIhJdUawt5tPnc5/OYjFn5cEz1yh+KYP9QxWGKYtJ&#10;r6EeWGTk6NUfoYziHgLIOOJgCpBScZF7wG4m4zfdbBvmRO4FwQnuClP4f2H54+nZE1VX9JYSywxS&#10;tBNdJJ+hI7cJndaFEp22Dt1ih2pkedAHVKamO+lN+mI7BO2I8/mKbQrGUTm7ufk4mWISjrbpbPZp&#10;nMEvXl87H+IXAYYkoaIeucuQstMmRKwEXQeXlCyAVvVaaZ0uybDSnpwY8tw2KopUI774zUvb5Gsh&#10;verNvUbkQblkSQ33jSUpdvvugsIe6jOC4KEfouD4WmHaDQvxmXmcGuwbNyE+4SE1tBWFi0RJA/7H&#10;3/TJH8lEKyUtTmFFw/cj84IS/dUizWlkB8EPwn4Q7NGsABue4I45nkV84KMeROnBvOCCLFMWNDHL&#10;MVdF4yCuYr8LuGBcLJfZCQfTsbixW8dT6AHeXffCvLuQE5HWRxjmk5VvOOp9e7CXxwhSZQIToD2K&#10;yE264FBnli4LmLbm13v2ev1NLH4CAAD//wMAUEsDBBQABgAIAAAAIQAOsEtC4AAAAAoBAAAPAAAA&#10;ZHJzL2Rvd25yZXYueG1sTI/BTsMwEETvSPyDtUhcUOuQipKGOBW0cINDS9XzNjZJRLyObKdJ/57l&#10;BMedHc28KdaT7cTZ+NA6UnA/T0AYqpxuqVZw+HybZSBCRNLYOTIKLibAury+KjDXbqSdOe9jLTiE&#10;Qo4Kmhj7XMpQNcZimLveEP++nLcY+fS11B5HDredTJNkKS22xA0N9mbTmOp7P1gFy60fxh1t7raH&#10;13f86Ov0+HI5KnV7Mz0/gYhmin9m+MVndCiZ6eQG0kF0CmYrnhJZT7MFCDassuwBxImVx2QBsizk&#10;/wnlDwAAAP//AwBQSwECLQAUAAYACAAAACEAtoM4kv4AAADhAQAAEwAAAAAAAAAAAAAAAAAAAAAA&#10;W0NvbnRlbnRfVHlwZXNdLnhtbFBLAQItABQABgAIAAAAIQA4/SH/1gAAAJQBAAALAAAAAAAAAAAA&#10;AAAAAC8BAABfcmVscy8ucmVsc1BLAQItABQABgAIAAAAIQBQgnVfNQIAAG4EAAAOAAAAAAAAAAAA&#10;AAAAAC4CAABkcnMvZTJvRG9jLnhtbFBLAQItABQABgAIAAAAIQAOsEtC4AAAAAoBAAAPAAAAAAAA&#10;AAAAAAAAAI8EAABkcnMvZG93bnJldi54bWxQSwUGAAAAAAQABADzAAAAnAUAAAAA&#10;" stroked="f">
                <v:textbox inset="0,0,0,0">
                  <w:txbxContent>
                    <w:p w:rsidR="00331279" w:rsidRPr="00407607" w:rsidRDefault="00331279" w:rsidP="00331279">
                      <w:pPr>
                        <w:pStyle w:val="Caption"/>
                        <w:rPr>
                          <w:noProof/>
                        </w:rPr>
                      </w:pPr>
                      <w:r>
                        <w:t xml:space="preserve">Table </w:t>
                      </w:r>
                      <w:fldSimple w:instr=" SEQ Table \* ARABIC ">
                        <w:r w:rsidR="00372DE8">
                          <w:rPr>
                            <w:noProof/>
                          </w:rPr>
                          <w:t>4</w:t>
                        </w:r>
                      </w:fldSimple>
                      <w:r>
                        <w:t xml:space="preserve"> national ecosystem service indicators</w:t>
                      </w:r>
                    </w:p>
                  </w:txbxContent>
                </v:textbox>
                <w10:wrap type="tight" anchorx="margin"/>
              </v:shape>
            </w:pict>
          </mc:Fallback>
        </mc:AlternateContent>
      </w:r>
      <w:r w:rsidR="0018074D" w:rsidRPr="0018074D">
        <w:rPr>
          <w:szCs w:val="23"/>
          <w:lang w:val="en-US"/>
        </w:rPr>
        <w:t>As part of the project “National Indicators for Ecosystem Services”, led by the IOER Dresden</w:t>
      </w:r>
      <w:r w:rsidR="00B3390C">
        <w:rPr>
          <w:szCs w:val="23"/>
          <w:lang w:val="en-US"/>
        </w:rPr>
        <w:t xml:space="preserve"> ‘(</w:t>
      </w:r>
      <w:r w:rsidR="00B3390C">
        <w:t>Leibniz Institute of Ecological Urban and Regional Development’)</w:t>
      </w:r>
      <w:r w:rsidR="0018074D" w:rsidRPr="0018074D">
        <w:rPr>
          <w:szCs w:val="23"/>
          <w:lang w:val="en-US"/>
        </w:rPr>
        <w:t xml:space="preserve">, Germany has </w:t>
      </w:r>
      <w:r w:rsidR="00B3390C">
        <w:rPr>
          <w:szCs w:val="23"/>
          <w:lang w:val="en-US"/>
        </w:rPr>
        <w:t>developed</w:t>
      </w:r>
      <w:r w:rsidR="0018074D" w:rsidRPr="0018074D">
        <w:rPr>
          <w:szCs w:val="23"/>
          <w:lang w:val="en-US"/>
        </w:rPr>
        <w:t xml:space="preserve"> a set of national indicators for ecosystem services.</w:t>
      </w:r>
      <w:r w:rsidR="0018074D">
        <w:rPr>
          <w:szCs w:val="23"/>
          <w:lang w:val="en-US"/>
        </w:rPr>
        <w:t xml:space="preserve"> </w:t>
      </w:r>
      <w:r w:rsidR="005A593D">
        <w:rPr>
          <w:szCs w:val="23"/>
          <w:lang w:val="en-US"/>
        </w:rPr>
        <w:t>The table below shows indicators for ecosystem services, categorized in the CICES sections p</w:t>
      </w:r>
      <w:r w:rsidR="00B3390C">
        <w:rPr>
          <w:szCs w:val="23"/>
          <w:lang w:val="en-US"/>
        </w:rPr>
        <w:t>rovisioning services, regulation &amp; maintenance</w:t>
      </w:r>
      <w:r>
        <w:rPr>
          <w:szCs w:val="23"/>
          <w:lang w:val="en-US"/>
        </w:rPr>
        <w:t xml:space="preserve"> services and cultural services.</w:t>
      </w:r>
    </w:p>
    <w:p w:rsidR="00331279" w:rsidRDefault="00331279" w:rsidP="00150812">
      <w:pPr>
        <w:rPr>
          <w:szCs w:val="23"/>
          <w:lang w:val="en-US"/>
        </w:rPr>
      </w:pPr>
    </w:p>
    <w:p w:rsidR="005A593D" w:rsidRPr="00331279" w:rsidRDefault="005A593D" w:rsidP="00150812">
      <w:pPr>
        <w:rPr>
          <w:szCs w:val="23"/>
          <w:lang w:val="en-US"/>
        </w:rPr>
      </w:pPr>
      <w:r>
        <w:rPr>
          <w:szCs w:val="23"/>
          <w:lang w:val="en-US"/>
        </w:rPr>
        <w:t>Please see the following paper for more information</w:t>
      </w:r>
      <w:r w:rsidR="00D610B7">
        <w:rPr>
          <w:szCs w:val="23"/>
          <w:lang w:val="en-US"/>
        </w:rPr>
        <w:t xml:space="preserve"> on the development of national indicators for ecosystem services in Germany</w:t>
      </w:r>
      <w:r>
        <w:rPr>
          <w:szCs w:val="23"/>
          <w:lang w:val="en-US"/>
        </w:rPr>
        <w:t xml:space="preserve">: </w:t>
      </w:r>
      <w:hyperlink r:id="rId11" w:history="1">
        <w:r w:rsidRPr="00CF2270">
          <w:rPr>
            <w:rStyle w:val="Hyperlink"/>
            <w:szCs w:val="23"/>
            <w:lang w:val="en-US"/>
          </w:rPr>
          <w:t>http://ac.els-cdn.com/S1470160X15004823/1-s2.0-S1470160X15004823-main.pdf?_tid=8729382a-32ff-11e6-8c7f-00000aacb35e&amp;acdnat=1465998554_e6e9d64544cc90817c8f5abb919a3027</w:t>
        </w:r>
      </w:hyperlink>
      <w:r>
        <w:rPr>
          <w:szCs w:val="23"/>
          <w:lang w:val="en-US"/>
        </w:rPr>
        <w:t>.</w:t>
      </w:r>
    </w:p>
    <w:p w:rsidR="00150812" w:rsidRDefault="00150812" w:rsidP="00150812"/>
    <w:p w:rsidR="00787A2B" w:rsidRDefault="00787A2B" w:rsidP="00150812">
      <w:pPr>
        <w:rPr>
          <w:b/>
          <w:u w:val="single"/>
        </w:rPr>
      </w:pPr>
      <w:r w:rsidRPr="00787A2B">
        <w:rPr>
          <w:b/>
          <w:u w:val="single"/>
        </w:rPr>
        <w:lastRenderedPageBreak/>
        <w:t>Finland:</w:t>
      </w:r>
    </w:p>
    <w:p w:rsidR="00787A2B" w:rsidRPr="00B11036" w:rsidRDefault="00F905B2" w:rsidP="00150812">
      <w:r>
        <w:t>The Finish Environment Institut</w:t>
      </w:r>
      <w:r w:rsidR="00ED72A3" w:rsidRPr="00ED72A3">
        <w:t>e has been developing national ecosystem service indicators</w:t>
      </w:r>
      <w:r w:rsidR="00ED72A3">
        <w:t xml:space="preserve"> for</w:t>
      </w:r>
      <w:r>
        <w:t xml:space="preserve"> nationally important</w:t>
      </w:r>
      <w:r w:rsidR="00ED72A3">
        <w:t xml:space="preserve"> provisioning services, regulating services and cultural services</w:t>
      </w:r>
      <w:r w:rsidR="000776CE">
        <w:t>. The indicator framework was developed using CICES for classifying the ecosystem services</w:t>
      </w:r>
      <w:r>
        <w:t>:</w:t>
      </w:r>
    </w:p>
    <w:p w:rsidR="00F905B2" w:rsidRDefault="00F905B2" w:rsidP="00F905B2">
      <w:pPr>
        <w:pStyle w:val="Caption"/>
        <w:keepNext/>
      </w:pPr>
      <w:r>
        <w:t xml:space="preserve">Table </w:t>
      </w:r>
      <w:fldSimple w:instr=" SEQ Table \* ARABIC ">
        <w:r w:rsidR="00372DE8">
          <w:rPr>
            <w:noProof/>
          </w:rPr>
          <w:t>5</w:t>
        </w:r>
      </w:fldSimple>
      <w:r>
        <w:t xml:space="preserve"> indicators for provisioning services</w:t>
      </w:r>
    </w:p>
    <w:p w:rsidR="00787A2B" w:rsidRDefault="00787A2B" w:rsidP="00150812">
      <w:r>
        <w:rPr>
          <w:noProof/>
          <w:lang w:eastAsia="en-GB"/>
        </w:rPr>
        <w:drawing>
          <wp:inline distT="0" distB="0" distL="0" distR="0" wp14:anchorId="1FF8C13F" wp14:editId="7CDE53D6">
            <wp:extent cx="6152515" cy="440055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937" t="12704" r="30534" b="26858"/>
                    <a:stretch/>
                  </pic:blipFill>
                  <pic:spPr bwMode="auto">
                    <a:xfrm>
                      <a:off x="0" y="0"/>
                      <a:ext cx="6152593" cy="4400606"/>
                    </a:xfrm>
                    <a:prstGeom prst="rect">
                      <a:avLst/>
                    </a:prstGeom>
                    <a:ln>
                      <a:noFill/>
                    </a:ln>
                    <a:extLst>
                      <a:ext uri="{53640926-AAD7-44D8-BBD7-CCE9431645EC}">
                        <a14:shadowObscured xmlns:a14="http://schemas.microsoft.com/office/drawing/2010/main"/>
                      </a:ext>
                    </a:extLst>
                  </pic:spPr>
                </pic:pic>
              </a:graphicData>
            </a:graphic>
          </wp:inline>
        </w:drawing>
      </w:r>
    </w:p>
    <w:p w:rsidR="00787A2B" w:rsidRPr="00787A2B" w:rsidRDefault="00787A2B" w:rsidP="00787A2B"/>
    <w:p w:rsidR="00787A2B" w:rsidRDefault="00787A2B" w:rsidP="00787A2B"/>
    <w:p w:rsidR="00F905B2" w:rsidRDefault="00F905B2" w:rsidP="00F905B2">
      <w:pPr>
        <w:pStyle w:val="Caption"/>
        <w:keepNext/>
      </w:pPr>
      <w:r>
        <w:lastRenderedPageBreak/>
        <w:t xml:space="preserve">Table </w:t>
      </w:r>
      <w:fldSimple w:instr=" SEQ Table \* ARABIC ">
        <w:r w:rsidR="00372DE8">
          <w:rPr>
            <w:noProof/>
          </w:rPr>
          <w:t>6</w:t>
        </w:r>
      </w:fldSimple>
      <w:r>
        <w:t xml:space="preserve"> indicators for regulating services</w:t>
      </w:r>
    </w:p>
    <w:p w:rsidR="00787A2B" w:rsidRDefault="00787A2B" w:rsidP="00787A2B">
      <w:r>
        <w:rPr>
          <w:noProof/>
          <w:lang w:eastAsia="en-GB"/>
        </w:rPr>
        <w:drawing>
          <wp:inline distT="0" distB="0" distL="0" distR="0" wp14:anchorId="15A13FF5" wp14:editId="74ACFEC3">
            <wp:extent cx="6076950" cy="5501239"/>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1770" t="15068" r="30866" b="8705"/>
                    <a:stretch/>
                  </pic:blipFill>
                  <pic:spPr bwMode="auto">
                    <a:xfrm>
                      <a:off x="0" y="0"/>
                      <a:ext cx="6086623" cy="5509995"/>
                    </a:xfrm>
                    <a:prstGeom prst="rect">
                      <a:avLst/>
                    </a:prstGeom>
                    <a:ln>
                      <a:noFill/>
                    </a:ln>
                    <a:extLst>
                      <a:ext uri="{53640926-AAD7-44D8-BBD7-CCE9431645EC}">
                        <a14:shadowObscured xmlns:a14="http://schemas.microsoft.com/office/drawing/2010/main"/>
                      </a:ext>
                    </a:extLst>
                  </pic:spPr>
                </pic:pic>
              </a:graphicData>
            </a:graphic>
          </wp:inline>
        </w:drawing>
      </w:r>
    </w:p>
    <w:p w:rsidR="00787A2B" w:rsidRPr="00787A2B" w:rsidRDefault="00787A2B" w:rsidP="00787A2B"/>
    <w:p w:rsidR="00787A2B" w:rsidRDefault="00787A2B" w:rsidP="00787A2B"/>
    <w:p w:rsidR="00F905B2" w:rsidRDefault="00F905B2" w:rsidP="00F905B2">
      <w:pPr>
        <w:pStyle w:val="Caption"/>
        <w:keepNext/>
      </w:pPr>
      <w:r>
        <w:lastRenderedPageBreak/>
        <w:t xml:space="preserve">Table </w:t>
      </w:r>
      <w:fldSimple w:instr=" SEQ Table \* ARABIC ">
        <w:r w:rsidR="00372DE8">
          <w:rPr>
            <w:noProof/>
          </w:rPr>
          <w:t>7</w:t>
        </w:r>
      </w:fldSimple>
      <w:r>
        <w:t xml:space="preserve"> indicators for cultural services</w:t>
      </w:r>
    </w:p>
    <w:p w:rsidR="00232D55" w:rsidRDefault="00787A2B" w:rsidP="00787A2B">
      <w:r>
        <w:rPr>
          <w:noProof/>
          <w:lang w:eastAsia="en-GB"/>
        </w:rPr>
        <w:drawing>
          <wp:inline distT="0" distB="0" distL="0" distR="0" wp14:anchorId="524E1321" wp14:editId="399C11B0">
            <wp:extent cx="6036716" cy="27241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602" t="28068" r="31365" b="35001"/>
                    <a:stretch/>
                  </pic:blipFill>
                  <pic:spPr bwMode="auto">
                    <a:xfrm>
                      <a:off x="0" y="0"/>
                      <a:ext cx="6046300" cy="2728475"/>
                    </a:xfrm>
                    <a:prstGeom prst="rect">
                      <a:avLst/>
                    </a:prstGeom>
                    <a:ln>
                      <a:noFill/>
                    </a:ln>
                    <a:extLst>
                      <a:ext uri="{53640926-AAD7-44D8-BBD7-CCE9431645EC}">
                        <a14:shadowObscured xmlns:a14="http://schemas.microsoft.com/office/drawing/2010/main"/>
                      </a:ext>
                    </a:extLst>
                  </pic:spPr>
                </pic:pic>
              </a:graphicData>
            </a:graphic>
          </wp:inline>
        </w:drawing>
      </w:r>
    </w:p>
    <w:p w:rsidR="00B11036" w:rsidRDefault="00B11036" w:rsidP="00232D55"/>
    <w:p w:rsidR="00150812" w:rsidRDefault="00232D55" w:rsidP="00232D55">
      <w:r>
        <w:t xml:space="preserve">Please see the paper </w:t>
      </w:r>
      <w:r w:rsidRPr="00232D55">
        <w:rPr>
          <w:szCs w:val="22"/>
        </w:rPr>
        <w:t>‘National ecosystem service indicators: Measures of social–ecological sustainability‘</w:t>
      </w:r>
      <w:r w:rsidRPr="00232D55">
        <w:rPr>
          <w:sz w:val="18"/>
        </w:rPr>
        <w:t xml:space="preserve"> </w:t>
      </w:r>
      <w:r>
        <w:t xml:space="preserve">by Mononen et al, 2014 for more information: </w:t>
      </w:r>
      <w:hyperlink r:id="rId15" w:history="1">
        <w:r w:rsidRPr="00CF2270">
          <w:rPr>
            <w:rStyle w:val="Hyperlink"/>
          </w:rPr>
          <w:t>http://ac.els-cdn.com/S1470160X15001715/1-s2.0-S1470160X15001715-main.pdf?_tid=5714a8ca-3301-11e6-a429-00000aacb35e&amp;acdnat=1465999334_968f0c4af46b3fde7a08cff0282a2090</w:t>
        </w:r>
      </w:hyperlink>
    </w:p>
    <w:p w:rsidR="00232D55" w:rsidRPr="00232D55" w:rsidRDefault="00232D55" w:rsidP="00232D55"/>
    <w:sectPr w:rsidR="00232D55" w:rsidRPr="00232D5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53D3" w:rsidRDefault="00C453D3" w:rsidP="00150812">
      <w:pPr>
        <w:spacing w:after="0"/>
      </w:pPr>
      <w:r>
        <w:separator/>
      </w:r>
    </w:p>
  </w:endnote>
  <w:endnote w:type="continuationSeparator" w:id="0">
    <w:p w:rsidR="00C453D3" w:rsidRDefault="00C453D3" w:rsidP="001508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53D3" w:rsidRDefault="00C453D3" w:rsidP="00150812">
      <w:pPr>
        <w:spacing w:after="0"/>
      </w:pPr>
      <w:r>
        <w:separator/>
      </w:r>
    </w:p>
  </w:footnote>
  <w:footnote w:type="continuationSeparator" w:id="0">
    <w:p w:rsidR="00C453D3" w:rsidRDefault="00C453D3" w:rsidP="00150812">
      <w:pPr>
        <w:spacing w:after="0"/>
      </w:pPr>
      <w:r>
        <w:continuationSeparator/>
      </w:r>
    </w:p>
  </w:footnote>
  <w:footnote w:id="1">
    <w:p w:rsidR="00150812" w:rsidRPr="000350E9" w:rsidRDefault="00150812" w:rsidP="00150812">
      <w:pPr>
        <w:pStyle w:val="FootnoteText"/>
      </w:pPr>
      <w:r>
        <w:rPr>
          <w:rStyle w:val="FootnoteReference"/>
        </w:rPr>
        <w:footnoteRef/>
      </w:r>
      <w:r>
        <w:t xml:space="preserve"> Schulp et al. (2014) Uncertainties in Ecosystem Service Maps: A Comparison on the European Scale. Plos One.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E161D"/>
    <w:multiLevelType w:val="hybridMultilevel"/>
    <w:tmpl w:val="10A03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2D3ADD"/>
    <w:multiLevelType w:val="hybridMultilevel"/>
    <w:tmpl w:val="E97487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F772E24"/>
    <w:multiLevelType w:val="multilevel"/>
    <w:tmpl w:val="BF8A8752"/>
    <w:lvl w:ilvl="0">
      <w:numFmt w:val="decimal"/>
      <w:pStyle w:val="Heading1"/>
      <w:suff w:val="space"/>
      <w:lvlText w:val="%1."/>
      <w:lvlJc w:val="left"/>
      <w:pPr>
        <w:ind w:left="0" w:firstLine="0"/>
      </w:pPr>
      <w:rPr>
        <w:rFonts w:hint="default"/>
        <w:i w:val="0"/>
      </w:rPr>
    </w:lvl>
    <w:lvl w:ilvl="1">
      <w:start w:val="1"/>
      <w:numFmt w:val="decimal"/>
      <w:pStyle w:val="Heading2"/>
      <w:suff w:val="space"/>
      <w:lvlText w:val="%1.%2."/>
      <w:lvlJc w:val="left"/>
      <w:pPr>
        <w:ind w:left="0" w:firstLine="0"/>
      </w:pPr>
      <w:rPr>
        <w:rFonts w:hint="default"/>
        <w:i w:val="0"/>
      </w:rPr>
    </w:lvl>
    <w:lvl w:ilvl="2">
      <w:start w:val="1"/>
      <w:numFmt w:val="decimal"/>
      <w:pStyle w:val="Heading3"/>
      <w:suff w:val="space"/>
      <w:lvlText w:val="%1.%2.%3."/>
      <w:lvlJc w:val="left"/>
      <w:pPr>
        <w:ind w:left="156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lowerRoman"/>
      <w:lvlText w:val="%9."/>
      <w:lvlJc w:val="left"/>
      <w:pPr>
        <w:tabs>
          <w:tab w:val="num" w:pos="3240"/>
        </w:tabs>
        <w:ind w:left="3240" w:hanging="36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0812"/>
    <w:rsid w:val="000228C3"/>
    <w:rsid w:val="00050127"/>
    <w:rsid w:val="000776CE"/>
    <w:rsid w:val="001125CB"/>
    <w:rsid w:val="00150812"/>
    <w:rsid w:val="0018074D"/>
    <w:rsid w:val="00232D55"/>
    <w:rsid w:val="00331279"/>
    <w:rsid w:val="00372DE8"/>
    <w:rsid w:val="003D3E7A"/>
    <w:rsid w:val="00403120"/>
    <w:rsid w:val="004231DC"/>
    <w:rsid w:val="004C280C"/>
    <w:rsid w:val="00504AD2"/>
    <w:rsid w:val="005115AD"/>
    <w:rsid w:val="005A593D"/>
    <w:rsid w:val="00787A2B"/>
    <w:rsid w:val="007D69C3"/>
    <w:rsid w:val="00810702"/>
    <w:rsid w:val="0084327B"/>
    <w:rsid w:val="00892AB4"/>
    <w:rsid w:val="008C6F7D"/>
    <w:rsid w:val="00A51012"/>
    <w:rsid w:val="00A86215"/>
    <w:rsid w:val="00AD339C"/>
    <w:rsid w:val="00AD675E"/>
    <w:rsid w:val="00B11036"/>
    <w:rsid w:val="00B3390C"/>
    <w:rsid w:val="00C453D3"/>
    <w:rsid w:val="00C671EA"/>
    <w:rsid w:val="00CE1E96"/>
    <w:rsid w:val="00D44AB4"/>
    <w:rsid w:val="00D610B7"/>
    <w:rsid w:val="00D7394C"/>
    <w:rsid w:val="00ED72A3"/>
    <w:rsid w:val="00F45027"/>
    <w:rsid w:val="00F905B2"/>
    <w:rsid w:val="00FB3731"/>
    <w:rsid w:val="00FF0AA8"/>
    <w:rsid w:val="00FF22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A5B70E-8512-468A-9740-5DDA15504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0812"/>
    <w:pPr>
      <w:spacing w:after="120" w:line="240" w:lineRule="auto"/>
      <w:jc w:val="both"/>
    </w:pPr>
    <w:rPr>
      <w:rFonts w:ascii="Times New Roman" w:eastAsia="Times New Roman" w:hAnsi="Times New Roman" w:cs="Times New Roman"/>
      <w:szCs w:val="20"/>
    </w:rPr>
  </w:style>
  <w:style w:type="paragraph" w:styleId="Heading1">
    <w:name w:val="heading 1"/>
    <w:basedOn w:val="Normal"/>
    <w:next w:val="Normal"/>
    <w:link w:val="Heading1Char"/>
    <w:qFormat/>
    <w:rsid w:val="00150812"/>
    <w:pPr>
      <w:keepNext/>
      <w:numPr>
        <w:numId w:val="2"/>
      </w:numPr>
      <w:spacing w:before="240" w:after="240"/>
      <w:outlineLvl w:val="0"/>
    </w:pPr>
    <w:rPr>
      <w:b/>
      <w:smallCaps/>
      <w:sz w:val="24"/>
    </w:rPr>
  </w:style>
  <w:style w:type="paragraph" w:styleId="Heading2">
    <w:name w:val="heading 2"/>
    <w:basedOn w:val="Normal"/>
    <w:next w:val="Normal"/>
    <w:link w:val="Heading2Char"/>
    <w:qFormat/>
    <w:rsid w:val="00150812"/>
    <w:pPr>
      <w:keepNext/>
      <w:numPr>
        <w:ilvl w:val="1"/>
        <w:numId w:val="2"/>
      </w:numPr>
      <w:spacing w:before="240" w:after="240"/>
      <w:outlineLvl w:val="1"/>
    </w:pPr>
    <w:rPr>
      <w:b/>
      <w:sz w:val="24"/>
    </w:rPr>
  </w:style>
  <w:style w:type="paragraph" w:styleId="Heading3">
    <w:name w:val="heading 3"/>
    <w:basedOn w:val="Normal"/>
    <w:next w:val="Normal"/>
    <w:link w:val="Heading3Char"/>
    <w:qFormat/>
    <w:rsid w:val="00150812"/>
    <w:pPr>
      <w:keepNext/>
      <w:numPr>
        <w:ilvl w:val="2"/>
        <w:numId w:val="2"/>
      </w:numPr>
      <w:spacing w:before="60"/>
      <w:ind w:left="8222" w:hanging="8222"/>
      <w:outlineLvl w:val="2"/>
    </w:pPr>
    <w:rPr>
      <w:i/>
      <w:sz w:val="24"/>
    </w:rPr>
  </w:style>
  <w:style w:type="paragraph" w:styleId="Heading4">
    <w:name w:val="heading 4"/>
    <w:basedOn w:val="Normal"/>
    <w:next w:val="Normal"/>
    <w:link w:val="Heading4Char"/>
    <w:autoRedefine/>
    <w:qFormat/>
    <w:rsid w:val="00150812"/>
    <w:pPr>
      <w:keepNext/>
      <w:numPr>
        <w:ilvl w:val="3"/>
        <w:numId w:val="2"/>
      </w:numPr>
      <w:spacing w:before="60"/>
      <w:outlineLvl w:val="3"/>
    </w:pPr>
    <w:rPr>
      <w:i/>
      <w:sz w:val="24"/>
    </w:rPr>
  </w:style>
  <w:style w:type="paragraph" w:styleId="Heading5">
    <w:name w:val="heading 5"/>
    <w:basedOn w:val="Normal"/>
    <w:next w:val="Normal"/>
    <w:link w:val="Heading5Char"/>
    <w:qFormat/>
    <w:rsid w:val="00150812"/>
    <w:pPr>
      <w:numPr>
        <w:ilvl w:val="4"/>
        <w:numId w:val="2"/>
      </w:numPr>
      <w:spacing w:before="40"/>
      <w:outlineLvl w:val="4"/>
    </w:pPr>
  </w:style>
  <w:style w:type="paragraph" w:styleId="Heading6">
    <w:name w:val="heading 6"/>
    <w:basedOn w:val="Normal"/>
    <w:next w:val="Normal"/>
    <w:link w:val="Heading6Char"/>
    <w:qFormat/>
    <w:rsid w:val="00150812"/>
    <w:pPr>
      <w:numPr>
        <w:ilvl w:val="5"/>
        <w:numId w:val="2"/>
      </w:numPr>
      <w:spacing w:before="40"/>
      <w:outlineLvl w:val="5"/>
    </w:pPr>
  </w:style>
  <w:style w:type="paragraph" w:styleId="Heading7">
    <w:name w:val="heading 7"/>
    <w:basedOn w:val="Normal"/>
    <w:next w:val="Normal"/>
    <w:link w:val="Heading7Char"/>
    <w:qFormat/>
    <w:rsid w:val="00150812"/>
    <w:pPr>
      <w:numPr>
        <w:ilvl w:val="6"/>
        <w:numId w:val="2"/>
      </w:numPr>
      <w:spacing w:before="40"/>
      <w:outlineLvl w:val="6"/>
    </w:pPr>
  </w:style>
  <w:style w:type="paragraph" w:styleId="Heading8">
    <w:name w:val="heading 8"/>
    <w:basedOn w:val="Normal"/>
    <w:next w:val="Normal"/>
    <w:link w:val="Heading8Char"/>
    <w:qFormat/>
    <w:rsid w:val="00150812"/>
    <w:pPr>
      <w:numPr>
        <w:ilvl w:val="7"/>
        <w:numId w:val="2"/>
      </w:numPr>
      <w:spacing w:before="40"/>
      <w:outlineLvl w:val="7"/>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50812"/>
    <w:rPr>
      <w:rFonts w:ascii="Times New Roman" w:eastAsia="Times New Roman" w:hAnsi="Times New Roman" w:cs="Times New Roman"/>
      <w:b/>
      <w:smallCaps/>
      <w:sz w:val="24"/>
      <w:szCs w:val="20"/>
    </w:rPr>
  </w:style>
  <w:style w:type="character" w:customStyle="1" w:styleId="Heading2Char">
    <w:name w:val="Heading 2 Char"/>
    <w:basedOn w:val="DefaultParagraphFont"/>
    <w:link w:val="Heading2"/>
    <w:rsid w:val="00150812"/>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150812"/>
    <w:rPr>
      <w:rFonts w:ascii="Times New Roman" w:eastAsia="Times New Roman" w:hAnsi="Times New Roman" w:cs="Times New Roman"/>
      <w:i/>
      <w:sz w:val="24"/>
      <w:szCs w:val="20"/>
    </w:rPr>
  </w:style>
  <w:style w:type="character" w:customStyle="1" w:styleId="Heading4Char">
    <w:name w:val="Heading 4 Char"/>
    <w:basedOn w:val="DefaultParagraphFont"/>
    <w:link w:val="Heading4"/>
    <w:rsid w:val="00150812"/>
    <w:rPr>
      <w:rFonts w:ascii="Times New Roman" w:eastAsia="Times New Roman" w:hAnsi="Times New Roman" w:cs="Times New Roman"/>
      <w:i/>
      <w:sz w:val="24"/>
      <w:szCs w:val="20"/>
    </w:rPr>
  </w:style>
  <w:style w:type="character" w:customStyle="1" w:styleId="Heading5Char">
    <w:name w:val="Heading 5 Char"/>
    <w:basedOn w:val="DefaultParagraphFont"/>
    <w:link w:val="Heading5"/>
    <w:rsid w:val="00150812"/>
    <w:rPr>
      <w:rFonts w:ascii="Times New Roman" w:eastAsia="Times New Roman" w:hAnsi="Times New Roman" w:cs="Times New Roman"/>
      <w:szCs w:val="20"/>
    </w:rPr>
  </w:style>
  <w:style w:type="character" w:customStyle="1" w:styleId="Heading6Char">
    <w:name w:val="Heading 6 Char"/>
    <w:basedOn w:val="DefaultParagraphFont"/>
    <w:link w:val="Heading6"/>
    <w:rsid w:val="00150812"/>
    <w:rPr>
      <w:rFonts w:ascii="Times New Roman" w:eastAsia="Times New Roman" w:hAnsi="Times New Roman" w:cs="Times New Roman"/>
      <w:szCs w:val="20"/>
    </w:rPr>
  </w:style>
  <w:style w:type="character" w:customStyle="1" w:styleId="Heading7Char">
    <w:name w:val="Heading 7 Char"/>
    <w:basedOn w:val="DefaultParagraphFont"/>
    <w:link w:val="Heading7"/>
    <w:rsid w:val="00150812"/>
    <w:rPr>
      <w:rFonts w:ascii="Times New Roman" w:eastAsia="Times New Roman" w:hAnsi="Times New Roman" w:cs="Times New Roman"/>
      <w:szCs w:val="20"/>
    </w:rPr>
  </w:style>
  <w:style w:type="character" w:customStyle="1" w:styleId="Heading8Char">
    <w:name w:val="Heading 8 Char"/>
    <w:basedOn w:val="DefaultParagraphFont"/>
    <w:link w:val="Heading8"/>
    <w:rsid w:val="00150812"/>
    <w:rPr>
      <w:rFonts w:ascii="Times New Roman" w:eastAsia="Times New Roman" w:hAnsi="Times New Roman" w:cs="Times New Roman"/>
      <w:szCs w:val="20"/>
    </w:rPr>
  </w:style>
  <w:style w:type="paragraph" w:styleId="Caption">
    <w:name w:val="caption"/>
    <w:basedOn w:val="Normal"/>
    <w:next w:val="Normal"/>
    <w:uiPriority w:val="35"/>
    <w:qFormat/>
    <w:rsid w:val="00150812"/>
    <w:pPr>
      <w:spacing w:before="120"/>
    </w:pPr>
    <w:rPr>
      <w:b/>
      <w:sz w:val="20"/>
    </w:rPr>
  </w:style>
  <w:style w:type="paragraph" w:styleId="FootnoteText">
    <w:name w:val="footnote text"/>
    <w:aliases w:val="Footnote,Footnote Text Char1 Char,Footnote Text Char Char Char,Footnote Text Char1 Char Char Char,Footnote Text Char Char Char Char Char,Footnote Text Char1 Char1 Char,Footnote Text Char Char Char1 Char,single space,fn,ft,Текст сноски-FN,f"/>
    <w:basedOn w:val="Normal"/>
    <w:link w:val="FootnoteTextChar"/>
    <w:uiPriority w:val="99"/>
    <w:qFormat/>
    <w:rsid w:val="00150812"/>
    <w:pPr>
      <w:ind w:left="357" w:hanging="357"/>
    </w:pPr>
    <w:rPr>
      <w:sz w:val="20"/>
    </w:rPr>
  </w:style>
  <w:style w:type="character" w:customStyle="1" w:styleId="FootnoteTextChar">
    <w:name w:val="Footnote Text Char"/>
    <w:aliases w:val="Footnote Char,Footnote Text Char1 Char Char,Footnote Text Char Char Char Char,Footnote Text Char1 Char Char Char Char,Footnote Text Char Char Char Char Char Char,Footnote Text Char1 Char1 Char Char,single space Char,fn Char,ft Char"/>
    <w:basedOn w:val="DefaultParagraphFont"/>
    <w:link w:val="FootnoteText"/>
    <w:uiPriority w:val="99"/>
    <w:rsid w:val="00150812"/>
    <w:rPr>
      <w:rFonts w:ascii="Times New Roman" w:eastAsia="Times New Roman" w:hAnsi="Times New Roman" w:cs="Times New Roman"/>
      <w:sz w:val="20"/>
      <w:szCs w:val="20"/>
    </w:rPr>
  </w:style>
  <w:style w:type="character" w:styleId="FootnoteReference">
    <w:name w:val="footnote reference"/>
    <w:aliases w:val="ftref,ftref Char,BVI fnr Char,BVI fnr Car Char,Char Char Car Char,Char Char Char Char Char Char Char Char Char Char Char Char Char Char Char Char Char Char Char Char Car Char,16 Point Char,Footnotes refss,Ref,de nota al pie,BVI fnr,fr"/>
    <w:basedOn w:val="DefaultParagraphFont"/>
    <w:uiPriority w:val="99"/>
    <w:rsid w:val="00150812"/>
    <w:rPr>
      <w:vertAlign w:val="superscript"/>
    </w:rPr>
  </w:style>
  <w:style w:type="character" w:styleId="Hyperlink">
    <w:name w:val="Hyperlink"/>
    <w:basedOn w:val="DefaultParagraphFont"/>
    <w:uiPriority w:val="99"/>
    <w:unhideWhenUsed/>
    <w:rsid w:val="0018074D"/>
    <w:rPr>
      <w:color w:val="0563C1" w:themeColor="hyperlink"/>
      <w:u w:val="single"/>
    </w:rPr>
  </w:style>
  <w:style w:type="paragraph" w:styleId="ListParagraph">
    <w:name w:val="List Paragraph"/>
    <w:basedOn w:val="Normal"/>
    <w:uiPriority w:val="34"/>
    <w:qFormat/>
    <w:rsid w:val="00F45027"/>
    <w:pPr>
      <w:ind w:left="720"/>
      <w:contextualSpacing/>
    </w:pPr>
  </w:style>
  <w:style w:type="paragraph" w:styleId="BalloonText">
    <w:name w:val="Balloon Text"/>
    <w:basedOn w:val="Normal"/>
    <w:link w:val="BalloonTextChar"/>
    <w:uiPriority w:val="99"/>
    <w:semiHidden/>
    <w:unhideWhenUsed/>
    <w:rsid w:val="00372DE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2DE8"/>
    <w:rPr>
      <w:rFonts w:ascii="Segoe UI" w:eastAsia="Times New Roman" w:hAnsi="Segoe UI" w:cs="Segoe UI"/>
      <w:sz w:val="18"/>
      <w:szCs w:val="18"/>
    </w:rPr>
  </w:style>
  <w:style w:type="character" w:styleId="FollowedHyperlink">
    <w:name w:val="FollowedHyperlink"/>
    <w:basedOn w:val="DefaultParagraphFont"/>
    <w:uiPriority w:val="99"/>
    <w:semiHidden/>
    <w:unhideWhenUsed/>
    <w:rsid w:val="00D44AB4"/>
    <w:rPr>
      <w:color w:val="954F72" w:themeColor="followedHyperlink"/>
      <w:u w:val="single"/>
    </w:rPr>
  </w:style>
  <w:style w:type="table" w:styleId="TableGrid">
    <w:name w:val="Table Grid"/>
    <w:basedOn w:val="TableNormal"/>
    <w:uiPriority w:val="39"/>
    <w:rsid w:val="007D69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https://www.cbs.nl/nl-nl/publicatie/2016/09/maatwerk-rapport-natuurlijk-kapitaalrekeningen"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c.els-cdn.com/S1470160X15004823/1-s2.0-S1470160X15004823-main.pdf?_tid=8729382a-32ff-11e6-8c7f-00000aacb35e&amp;acdnat=1465998554_e6e9d64544cc90817c8f5abb919a3027" TargetMode="External"/><Relationship Id="rId5" Type="http://schemas.openxmlformats.org/officeDocument/2006/relationships/footnotes" Target="footnotes.xml"/><Relationship Id="rId15" Type="http://schemas.openxmlformats.org/officeDocument/2006/relationships/hyperlink" Target="http://ac.els-cdn.com/S1470160X15001715/1-s2.0-S1470160X15001715-main.pdf?_tid=5714a8ca-3301-11e6-a429-00000aacb35e&amp;acdnat=1465999334_968f0c4af46b3fde7a08cff0282a2090"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webarchive.nationalarchives.gov.uk/20160105160709/http://www.ons.gov.uk/ons/rel/environmental/uk-natural-capital/natural-capital-accounting-2020-roadmap--interim-review-and-forward-look/index.html"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1557</Words>
  <Characters>8878</Characters>
  <Application>Microsoft Office Word</Application>
  <DocSecurity>0</DocSecurity>
  <Lines>73</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European Environment Agency</Company>
  <LinksUpToDate>false</LinksUpToDate>
  <CharactersWithSpaces>10415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Jan-Erik Petersen</dc:creator>
  <cp:lastModifiedBy>Jan-Erik Petersen</cp:lastModifiedBy>
  <cp:revision>3</cp:revision>
  <cp:lastPrinted>2016-06-15T15:05:00Z</cp:lastPrinted>
  <dcterms:created xsi:type="dcterms:W3CDTF">2016-06-17T13:58:00Z</dcterms:created>
  <dcterms:modified xsi:type="dcterms:W3CDTF">2016-06-17T14:57:00Z</dcterms:modified>
</cp:coreProperties>
</file>