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8F08E6" w14:textId="77777777" w:rsidR="00C842B9" w:rsidRPr="00C842B9" w:rsidRDefault="00C842B9" w:rsidP="00C842B9">
      <w:pPr>
        <w:rPr>
          <w:color w:val="auto"/>
          <w:u w:val="single"/>
          <w:lang w:val="en-GB"/>
        </w:rPr>
      </w:pPr>
      <w:r w:rsidRPr="00C842B9">
        <w:rPr>
          <w:color w:val="auto"/>
          <w:u w:val="single"/>
          <w:lang w:val="en-GB"/>
        </w:rPr>
        <w:t>Comparative diagrams that aim to show links and differences between the three systems:</w:t>
      </w:r>
    </w:p>
    <w:p w14:paraId="3B554C0D" w14:textId="77777777" w:rsidR="00C842B9" w:rsidRPr="00C842B9" w:rsidRDefault="00C842B9" w:rsidP="00C842B9">
      <w:pPr>
        <w:rPr>
          <w:color w:val="auto"/>
          <w:lang w:val="en-GB"/>
        </w:rPr>
      </w:pPr>
    </w:p>
    <w:p w14:paraId="52536929" w14:textId="77777777" w:rsidR="005C0253" w:rsidRDefault="005C0253" w:rsidP="00C842B9">
      <w:pPr>
        <w:jc w:val="both"/>
        <w:rPr>
          <w:color w:val="auto"/>
          <w:lang w:val="en-GB"/>
        </w:rPr>
      </w:pPr>
      <w:r>
        <w:rPr>
          <w:b/>
          <w:color w:val="auto"/>
          <w:lang w:val="en-GB"/>
        </w:rPr>
        <w:t xml:space="preserve">Comments by </w:t>
      </w:r>
      <w:r w:rsidR="00C842B9" w:rsidRPr="00C842B9">
        <w:rPr>
          <w:b/>
          <w:color w:val="auto"/>
          <w:lang w:val="en-GB"/>
        </w:rPr>
        <w:t>Carl Obst:</w:t>
      </w:r>
      <w:r w:rsidR="00C842B9" w:rsidRPr="00C842B9">
        <w:rPr>
          <w:color w:val="auto"/>
          <w:lang w:val="en-GB"/>
        </w:rPr>
        <w:t xml:space="preserve"> </w:t>
      </w:r>
    </w:p>
    <w:p w14:paraId="64F62CF3" w14:textId="77777777" w:rsidR="005C0253" w:rsidRDefault="005C0253" w:rsidP="00C842B9">
      <w:pPr>
        <w:jc w:val="both"/>
        <w:rPr>
          <w:color w:val="auto"/>
          <w:lang w:val="en-GB"/>
        </w:rPr>
      </w:pPr>
    </w:p>
    <w:p w14:paraId="53274510" w14:textId="77777777" w:rsidR="00C842B9" w:rsidRPr="00C842B9" w:rsidRDefault="00C842B9" w:rsidP="00C842B9">
      <w:pPr>
        <w:jc w:val="both"/>
        <w:rPr>
          <w:color w:val="auto"/>
          <w:lang w:val="en-GB"/>
        </w:rPr>
      </w:pPr>
      <w:r w:rsidRPr="00C842B9">
        <w:rPr>
          <w:color w:val="auto"/>
          <w:lang w:val="en-GB"/>
        </w:rPr>
        <w:t>This series of figures is useful in demonstrating the potential connections between the various approaches. On viewing these (again) and having recently read again through the comments on the EEA Technical Recommendations I think a distinction is not being made clearly enough among (i) the design of a classification for ES flows, (ii) the associated framework that articulates the connections between the ES flows, ecosystem assets and beneficiaries, and finally (iii) the way in which the information on ES flows might be compiled.</w:t>
      </w:r>
    </w:p>
    <w:p w14:paraId="24914809" w14:textId="77777777" w:rsidR="00C842B9" w:rsidRPr="00C842B9" w:rsidRDefault="00C842B9" w:rsidP="00C842B9">
      <w:pPr>
        <w:jc w:val="both"/>
        <w:rPr>
          <w:color w:val="auto"/>
          <w:lang w:val="en-GB"/>
        </w:rPr>
      </w:pPr>
    </w:p>
    <w:p w14:paraId="74855736" w14:textId="77777777" w:rsidR="00C842B9" w:rsidRPr="00C842B9" w:rsidRDefault="00C842B9" w:rsidP="00C842B9">
      <w:pPr>
        <w:jc w:val="both"/>
        <w:rPr>
          <w:color w:val="auto"/>
          <w:lang w:val="en-GB"/>
        </w:rPr>
      </w:pPr>
      <w:r w:rsidRPr="00C842B9">
        <w:rPr>
          <w:color w:val="auto"/>
          <w:lang w:val="en-GB"/>
        </w:rPr>
        <w:t>For me, the CICES sitting within the broader cascade model and the NESCS have a very similar sense of the broader framework even though the cascade model does not explicitly mention beneficiaries. The FEGCS is also quite similar although does not appear to make a distinction between ES and benefits as articulated clearly in the cascade model and as implied in the NESCS (by its use of the term “ecological end products”). So in broad terms I think all three framings of ES can potentially work for SEEA EEA but there is work to do on agreeing on a boundary for ES. (not a small task notwithstanding ongoing efforts)</w:t>
      </w:r>
    </w:p>
    <w:p w14:paraId="3A6F9992" w14:textId="77777777" w:rsidR="00C842B9" w:rsidRPr="00C842B9" w:rsidRDefault="00C842B9" w:rsidP="00C842B9">
      <w:pPr>
        <w:jc w:val="both"/>
        <w:rPr>
          <w:color w:val="auto"/>
          <w:lang w:val="en-GB"/>
        </w:rPr>
      </w:pPr>
    </w:p>
    <w:p w14:paraId="66633FB1" w14:textId="77777777" w:rsidR="00C842B9" w:rsidRPr="00C842B9" w:rsidRDefault="00C842B9" w:rsidP="00C842B9">
      <w:pPr>
        <w:jc w:val="both"/>
        <w:rPr>
          <w:color w:val="auto"/>
          <w:lang w:val="en-GB"/>
        </w:rPr>
      </w:pPr>
      <w:r w:rsidRPr="00C842B9">
        <w:rPr>
          <w:color w:val="auto"/>
          <w:lang w:val="en-GB"/>
        </w:rPr>
        <w:t xml:space="preserve">On the design of the classification, it seems to me that the main issue is the way in which the set of ES might be best broken up. CICES follows the MA starting point which is sort of purpose based and NESCS has what seems like an environmental asset type breakdown. I’m going to assume that within these classification structures the actual ES that are being measured, even where different terms are used, are the same thing and will cover the types of ecosystem services that are measured in the literature. I presume too that these same types of ES are included in FEGS. </w:t>
      </w:r>
    </w:p>
    <w:p w14:paraId="088F5859" w14:textId="77777777" w:rsidR="00C842B9" w:rsidRPr="00C842B9" w:rsidRDefault="00C842B9" w:rsidP="00C842B9">
      <w:pPr>
        <w:jc w:val="both"/>
        <w:rPr>
          <w:color w:val="auto"/>
          <w:lang w:val="en-GB"/>
        </w:rPr>
      </w:pPr>
    </w:p>
    <w:p w14:paraId="7E3D0926" w14:textId="77777777" w:rsidR="00C842B9" w:rsidRPr="00C842B9" w:rsidRDefault="00C842B9" w:rsidP="00C842B9">
      <w:pPr>
        <w:jc w:val="both"/>
        <w:rPr>
          <w:color w:val="auto"/>
          <w:lang w:val="en-GB"/>
        </w:rPr>
      </w:pPr>
      <w:r w:rsidRPr="00C842B9">
        <w:rPr>
          <w:color w:val="auto"/>
          <w:lang w:val="en-GB"/>
        </w:rPr>
        <w:t>From a national accounting perspective having different organisations of the same set of flows is absolutely NOT a problem. For example, household consumption can be presented according to the central product classification or using the Classification of Individual Consumption by Purpose (COICOP) – two classifications for exactly the same set of goods and services. I can see we may be in a similar space here with the different structures being considered good or bad for ecosystem accounting when in fact both might be quite useful or appropriate. It might be lovely if there was an easy nested or simple concordance but this needn’t be a requirement at this stage. Effectively different structure might be developed for different presentations of information. Which presentation suits ecosystem accounting best is not clear to me – the main thing for me is that a complete set of ES (effectively a list) can be determined – how these are then grouped is a secondary step. In short we should worry more at the moment as to whether the complete set of ES within the current CICES or NESCS is agreed – which links clearly to the framing point above but also to the next point.</w:t>
      </w:r>
    </w:p>
    <w:p w14:paraId="0694E733" w14:textId="77777777" w:rsidR="00C842B9" w:rsidRPr="00C842B9" w:rsidRDefault="00C842B9" w:rsidP="00C842B9">
      <w:pPr>
        <w:jc w:val="both"/>
        <w:rPr>
          <w:color w:val="auto"/>
          <w:lang w:val="en-GB"/>
        </w:rPr>
      </w:pPr>
    </w:p>
    <w:p w14:paraId="197654B0" w14:textId="77777777" w:rsidR="00C842B9" w:rsidRPr="00C842B9" w:rsidRDefault="00C842B9" w:rsidP="00C842B9">
      <w:pPr>
        <w:jc w:val="both"/>
        <w:rPr>
          <w:color w:val="auto"/>
          <w:lang w:val="en-GB"/>
        </w:rPr>
      </w:pPr>
      <w:r w:rsidRPr="00C842B9">
        <w:rPr>
          <w:color w:val="auto"/>
          <w:lang w:val="en-GB"/>
        </w:rPr>
        <w:t xml:space="preserve">CICES is a classification that seems to stand alone albeit within the conceptual framing of the cascade model. An apparent advantage of the FEGS CS and NESCS is that the classification of ES is integrated with classifications of ecosystem types and beneficiaries. From an accounting perspective I think this advantage is somewhat overstated with respect to defining a classification of ES. </w:t>
      </w:r>
    </w:p>
    <w:p w14:paraId="6B9BB083" w14:textId="77777777" w:rsidR="00C842B9" w:rsidRPr="00C842B9" w:rsidRDefault="00C842B9" w:rsidP="00C842B9">
      <w:pPr>
        <w:jc w:val="both"/>
        <w:rPr>
          <w:color w:val="auto"/>
          <w:lang w:val="en-GB"/>
        </w:rPr>
      </w:pPr>
    </w:p>
    <w:p w14:paraId="4ECF83DB" w14:textId="77777777" w:rsidR="00C842B9" w:rsidRDefault="00C842B9" w:rsidP="00C842B9">
      <w:pPr>
        <w:jc w:val="both"/>
        <w:rPr>
          <w:color w:val="auto"/>
          <w:lang w:val="en-GB"/>
        </w:rPr>
      </w:pPr>
      <w:r w:rsidRPr="00C842B9">
        <w:rPr>
          <w:color w:val="auto"/>
          <w:lang w:val="en-GB"/>
        </w:rPr>
        <w:lastRenderedPageBreak/>
        <w:t>Put differently, I can see that the CICES classification might work effectively with different classifications of ecosystem type and different types of beneficiaries. By way of analogy, the CPC can stand alone from the classification of industries (ISIC) and the classification of institutional sectors.</w:t>
      </w:r>
    </w:p>
    <w:p w14:paraId="0A02428D" w14:textId="77777777" w:rsidR="009173BC" w:rsidRDefault="009173BC" w:rsidP="00C842B9">
      <w:pPr>
        <w:jc w:val="both"/>
        <w:rPr>
          <w:color w:val="auto"/>
          <w:lang w:val="en-GB"/>
        </w:rPr>
      </w:pPr>
    </w:p>
    <w:p w14:paraId="6256DB3F" w14:textId="77777777" w:rsidR="00C842B9" w:rsidRPr="00C842B9" w:rsidRDefault="00C842B9" w:rsidP="00C842B9">
      <w:pPr>
        <w:jc w:val="both"/>
        <w:rPr>
          <w:color w:val="auto"/>
          <w:lang w:val="en-GB"/>
        </w:rPr>
      </w:pPr>
      <w:r w:rsidRPr="00C842B9">
        <w:rPr>
          <w:color w:val="auto"/>
          <w:lang w:val="en-GB"/>
        </w:rPr>
        <w:t xml:space="preserve">At the same time, in practice, in putting the detail together and assessing whether we have all of the ES in scope, the process developed in the FEGS CS and NESCS of articulating linkages between these three aspects seems particularly useful. But this is a question of implementation rather than concept and I think it is on this distinction that things are getting a bit confused. </w:t>
      </w:r>
    </w:p>
    <w:p w14:paraId="3925E484" w14:textId="77777777" w:rsidR="00C842B9" w:rsidRPr="00C842B9" w:rsidRDefault="00C842B9" w:rsidP="00C842B9">
      <w:pPr>
        <w:jc w:val="both"/>
        <w:rPr>
          <w:color w:val="auto"/>
          <w:lang w:val="en-GB"/>
        </w:rPr>
      </w:pPr>
    </w:p>
    <w:p w14:paraId="0D3EE982" w14:textId="2C68861B" w:rsidR="00C842B9" w:rsidRPr="00C842B9" w:rsidRDefault="00C842B9" w:rsidP="00C842B9">
      <w:pPr>
        <w:jc w:val="both"/>
        <w:rPr>
          <w:color w:val="auto"/>
          <w:lang w:val="en-GB"/>
        </w:rPr>
      </w:pPr>
      <w:r w:rsidRPr="00C842B9">
        <w:rPr>
          <w:color w:val="auto"/>
          <w:lang w:val="en-GB"/>
        </w:rPr>
        <w:t xml:space="preserve">Given all of this, I can see that (i) the three classifications of ES remain complementary and (ii) that the largest challenge is agreeing on the precise conceptual scope of ES to be included. Once this is determined the steps of finalising the appropriate organisation/structure of the classification and the connections to be made to surrounding classifications (ecosystem type and beneficiaries) can be finalised. I use the word finalised very deliberately as it is likely that all of the steps will need to be iterated through multiple times to reach a conclusion (and in fact, unless I’m mistaken, it is this ongoing process of iteration that has framed the current version of the NESCS and its chosen classification of ES/ecological end products). </w:t>
      </w:r>
    </w:p>
    <w:p w14:paraId="4190EA8E" w14:textId="77777777" w:rsidR="00C842B9" w:rsidRPr="00C842B9" w:rsidRDefault="00C842B9" w:rsidP="00C842B9">
      <w:pPr>
        <w:jc w:val="both"/>
        <w:rPr>
          <w:color w:val="auto"/>
          <w:lang w:val="en-GB"/>
        </w:rPr>
      </w:pPr>
    </w:p>
    <w:p w14:paraId="6F832A9E" w14:textId="77777777" w:rsidR="005C0253" w:rsidRDefault="005C0253" w:rsidP="00C842B9">
      <w:pPr>
        <w:jc w:val="both"/>
        <w:rPr>
          <w:color w:val="auto"/>
          <w:lang w:val="en-GB"/>
        </w:rPr>
      </w:pPr>
    </w:p>
    <w:p w14:paraId="1606D1DB" w14:textId="77777777" w:rsidR="00C842B9" w:rsidRPr="00C842B9" w:rsidRDefault="00C842B9" w:rsidP="00C842B9">
      <w:pPr>
        <w:jc w:val="both"/>
        <w:rPr>
          <w:color w:val="auto"/>
          <w:lang w:val="en-GB"/>
        </w:rPr>
      </w:pPr>
      <w:r w:rsidRPr="00C842B9">
        <w:rPr>
          <w:color w:val="auto"/>
          <w:lang w:val="en-GB"/>
        </w:rPr>
        <w:t>Some specific comments on NESCS:</w:t>
      </w:r>
    </w:p>
    <w:p w14:paraId="1EAD8C1D" w14:textId="77777777" w:rsidR="00C842B9" w:rsidRPr="00C842B9" w:rsidRDefault="00C842B9" w:rsidP="00C842B9">
      <w:pPr>
        <w:pStyle w:val="ListParagraph"/>
        <w:numPr>
          <w:ilvl w:val="0"/>
          <w:numId w:val="1"/>
        </w:numPr>
        <w:jc w:val="both"/>
        <w:rPr>
          <w:color w:val="auto"/>
          <w:lang w:val="en-GB"/>
        </w:rPr>
      </w:pPr>
      <w:r w:rsidRPr="00C842B9">
        <w:rPr>
          <w:color w:val="auto"/>
          <w:lang w:val="en-GB"/>
        </w:rPr>
        <w:t xml:space="preserve">From an accounting perspective in the blue-green diagram (which I’m very comfortable with) it might be worth noting that the economic supply side will include households </w:t>
      </w:r>
    </w:p>
    <w:p w14:paraId="02E4E7F1" w14:textId="77777777" w:rsidR="00C842B9" w:rsidRPr="00C842B9" w:rsidRDefault="00C842B9" w:rsidP="00C842B9">
      <w:pPr>
        <w:pStyle w:val="ListParagraph"/>
        <w:numPr>
          <w:ilvl w:val="0"/>
          <w:numId w:val="1"/>
        </w:numPr>
        <w:jc w:val="both"/>
        <w:rPr>
          <w:color w:val="auto"/>
          <w:lang w:val="en-GB"/>
        </w:rPr>
      </w:pPr>
      <w:r w:rsidRPr="00C842B9">
        <w:rPr>
          <w:color w:val="auto"/>
          <w:lang w:val="en-GB"/>
        </w:rPr>
        <w:t>and that for all of the entries in the middle blue section there will be matching entries for economic production and consumption.</w:t>
      </w:r>
    </w:p>
    <w:p w14:paraId="22A2ACE5" w14:textId="77777777" w:rsidR="00C842B9" w:rsidRPr="00C842B9" w:rsidRDefault="00C842B9" w:rsidP="00C842B9">
      <w:pPr>
        <w:pStyle w:val="ListParagraph"/>
        <w:numPr>
          <w:ilvl w:val="0"/>
          <w:numId w:val="1"/>
        </w:numPr>
        <w:jc w:val="both"/>
        <w:rPr>
          <w:color w:val="auto"/>
          <w:lang w:val="en-GB"/>
        </w:rPr>
      </w:pPr>
      <w:r w:rsidRPr="00C842B9">
        <w:rPr>
          <w:color w:val="auto"/>
          <w:lang w:val="en-GB"/>
        </w:rPr>
        <w:t xml:space="preserve">With this in mind the third flow of ecological end products direct to the household utility function will be somewhat problematic for the SEEA to include. I suspect that some of the ES being considered in that flow can be captured by recognising the two dot points above but there will be some non-use flows (and associated values) that are not included. </w:t>
      </w:r>
    </w:p>
    <w:p w14:paraId="55CF8457" w14:textId="77777777" w:rsidR="00C842B9" w:rsidRPr="00C842B9" w:rsidRDefault="00C842B9" w:rsidP="00C842B9">
      <w:pPr>
        <w:pStyle w:val="ListParagraph"/>
        <w:numPr>
          <w:ilvl w:val="0"/>
          <w:numId w:val="1"/>
        </w:numPr>
        <w:jc w:val="both"/>
        <w:rPr>
          <w:color w:val="auto"/>
          <w:lang w:val="en-GB"/>
        </w:rPr>
      </w:pPr>
      <w:r w:rsidRPr="00C842B9">
        <w:rPr>
          <w:color w:val="auto"/>
          <w:lang w:val="en-GB"/>
        </w:rPr>
        <w:t>This issue goes directly to the issue of the scope of the classification and definition of ES noted above.</w:t>
      </w:r>
    </w:p>
    <w:p w14:paraId="1514E276" w14:textId="77777777" w:rsidR="00C842B9" w:rsidRPr="00C842B9" w:rsidRDefault="00C842B9" w:rsidP="00C842B9">
      <w:pPr>
        <w:pStyle w:val="ListParagraph"/>
        <w:numPr>
          <w:ilvl w:val="0"/>
          <w:numId w:val="1"/>
        </w:numPr>
        <w:jc w:val="both"/>
        <w:rPr>
          <w:color w:val="auto"/>
          <w:lang w:val="en-GB"/>
        </w:rPr>
      </w:pPr>
      <w:r w:rsidRPr="00C842B9">
        <w:rPr>
          <w:color w:val="auto"/>
          <w:lang w:val="en-GB"/>
        </w:rPr>
        <w:t>On the NESCS four group structure it would be interesting to clarify if the third group (use / non-use) is a classification of benefits in some way. Put differently, in a SEEA/SNA sense could this be seen to encompass the current CPC (as well as other “things”)</w:t>
      </w:r>
    </w:p>
    <w:p w14:paraId="5D408F13" w14:textId="77777777" w:rsidR="00C842B9" w:rsidRPr="00C842B9" w:rsidRDefault="00C842B9" w:rsidP="00C842B9">
      <w:pPr>
        <w:jc w:val="both"/>
        <w:rPr>
          <w:color w:val="auto"/>
          <w:lang w:val="en-GB"/>
        </w:rPr>
      </w:pPr>
    </w:p>
    <w:p w14:paraId="10BDAD50" w14:textId="77777777" w:rsidR="00C842B9" w:rsidRPr="00C842B9" w:rsidRDefault="00C842B9" w:rsidP="00C842B9">
      <w:pPr>
        <w:jc w:val="both"/>
        <w:rPr>
          <w:color w:val="auto"/>
          <w:lang w:val="en-GB"/>
        </w:rPr>
      </w:pPr>
    </w:p>
    <w:p w14:paraId="57AE8EA2" w14:textId="77777777" w:rsidR="00C842B9" w:rsidRPr="00C842B9" w:rsidRDefault="00C842B9" w:rsidP="00C842B9">
      <w:pPr>
        <w:jc w:val="both"/>
        <w:rPr>
          <w:b/>
          <w:color w:val="auto"/>
          <w:lang w:val="en-GB"/>
        </w:rPr>
      </w:pPr>
      <w:r w:rsidRPr="00C842B9">
        <w:rPr>
          <w:b/>
          <w:color w:val="auto"/>
          <w:lang w:val="en-GB"/>
        </w:rPr>
        <w:t>Modular diagrams ..</w:t>
      </w:r>
    </w:p>
    <w:p w14:paraId="5EA2BC02" w14:textId="77777777" w:rsidR="00C842B9" w:rsidRPr="00C842B9" w:rsidRDefault="00C842B9" w:rsidP="00C842B9">
      <w:pPr>
        <w:jc w:val="both"/>
        <w:rPr>
          <w:color w:val="auto"/>
          <w:lang w:val="en-GB"/>
        </w:rPr>
      </w:pPr>
    </w:p>
    <w:p w14:paraId="24138CCB" w14:textId="77777777" w:rsidR="00C842B9" w:rsidRPr="00C842B9" w:rsidRDefault="00C842B9" w:rsidP="00C842B9">
      <w:pPr>
        <w:pStyle w:val="ListParagraph"/>
        <w:jc w:val="both"/>
        <w:rPr>
          <w:color w:val="auto"/>
          <w:lang w:val="en-GB"/>
        </w:rPr>
      </w:pPr>
      <w:r w:rsidRPr="00C842B9">
        <w:rPr>
          <w:color w:val="auto"/>
          <w:lang w:val="en-GB"/>
        </w:rPr>
        <w:t>Carl Obst: In relation to the diagrams above I would point to my earlier comments on the distinct steps of framing the scope of ES, structuring the set of ES and understanding the connections between classifications. Both the CICES and the second group of the NESCS appear to me to be potentially multi-purpose classifications of ES – i.e. they are groupings of types of ES that might be used in different situations. Which one is best for ecosystem accounting I can’t say but I think both are multi-purpose.</w:t>
      </w:r>
    </w:p>
    <w:p w14:paraId="1D0D0916" w14:textId="77777777" w:rsidR="00C842B9" w:rsidRPr="00C842B9" w:rsidRDefault="00C842B9" w:rsidP="00C842B9">
      <w:pPr>
        <w:pStyle w:val="ListParagraph"/>
        <w:jc w:val="both"/>
        <w:rPr>
          <w:color w:val="auto"/>
          <w:lang w:val="en-GB"/>
        </w:rPr>
      </w:pPr>
    </w:p>
    <w:p w14:paraId="18225375" w14:textId="77777777" w:rsidR="00C842B9" w:rsidRPr="00C842B9" w:rsidRDefault="00C842B9" w:rsidP="00C842B9">
      <w:pPr>
        <w:pStyle w:val="ListParagraph"/>
        <w:jc w:val="both"/>
        <w:rPr>
          <w:color w:val="auto"/>
          <w:lang w:val="en-GB"/>
        </w:rPr>
      </w:pPr>
      <w:r w:rsidRPr="00C842B9">
        <w:rPr>
          <w:color w:val="auto"/>
          <w:lang w:val="en-GB"/>
        </w:rPr>
        <w:t xml:space="preserve">The different parts of the NESCS are clearly modular but the CICES could easily fit into a modular approach that combines the SEEA land cover class and the ISIC industries, for example. The use of a modular approach to determining final ES seems to me to be a useful one but I can’t see that the development of CICES must be, at least implicitly somewhat modular. For example, determining which ES are in scope must have some consideration of types of beneficiaries even if not articulated. </w:t>
      </w:r>
    </w:p>
    <w:p w14:paraId="77E86766" w14:textId="77777777" w:rsidR="00C842B9" w:rsidRPr="00C842B9" w:rsidRDefault="00C842B9" w:rsidP="00C842B9">
      <w:pPr>
        <w:pStyle w:val="ListParagraph"/>
        <w:jc w:val="both"/>
        <w:rPr>
          <w:color w:val="auto"/>
          <w:lang w:val="en-GB"/>
        </w:rPr>
      </w:pPr>
    </w:p>
    <w:p w14:paraId="29D3A13A" w14:textId="77777777" w:rsidR="00C842B9" w:rsidRDefault="00C842B9" w:rsidP="00C842B9">
      <w:pPr>
        <w:pStyle w:val="ListParagraph"/>
        <w:jc w:val="both"/>
        <w:rPr>
          <w:color w:val="auto"/>
          <w:lang w:val="en-GB"/>
        </w:rPr>
      </w:pPr>
      <w:r w:rsidRPr="00C842B9">
        <w:rPr>
          <w:color w:val="auto"/>
          <w:lang w:val="en-GB"/>
        </w:rPr>
        <w:t xml:space="preserve">Overall, the terms multi-purpose and modular are interesting ones but I can’t see they can be applied in the way envisaged in the figures above. </w:t>
      </w:r>
    </w:p>
    <w:p w14:paraId="730732D7" w14:textId="77777777" w:rsidR="00326816" w:rsidRPr="00C842B9" w:rsidRDefault="00326816" w:rsidP="00C842B9">
      <w:pPr>
        <w:pStyle w:val="ListParagraph"/>
        <w:jc w:val="both"/>
        <w:rPr>
          <w:color w:val="auto"/>
          <w:lang w:val="en-GB"/>
        </w:rPr>
      </w:pPr>
      <w:bookmarkStart w:id="0" w:name="_GoBack"/>
      <w:bookmarkEnd w:id="0"/>
    </w:p>
    <w:p w14:paraId="36DCFA93" w14:textId="77777777" w:rsidR="00C842B9" w:rsidRPr="00C842B9" w:rsidRDefault="00C842B9" w:rsidP="00C842B9">
      <w:pPr>
        <w:pStyle w:val="ListParagraph"/>
        <w:jc w:val="both"/>
        <w:rPr>
          <w:b/>
          <w:color w:val="auto"/>
          <w:lang w:val="en-GB"/>
        </w:rPr>
      </w:pPr>
    </w:p>
    <w:p w14:paraId="56859E56" w14:textId="77777777" w:rsidR="00C410DD" w:rsidRPr="00C842B9" w:rsidRDefault="00C842B9">
      <w:pPr>
        <w:rPr>
          <w:b/>
          <w:color w:val="auto"/>
        </w:rPr>
      </w:pPr>
      <w:r w:rsidRPr="00C842B9">
        <w:rPr>
          <w:b/>
          <w:color w:val="auto"/>
        </w:rPr>
        <w:t xml:space="preserve">Production Functions: </w:t>
      </w:r>
    </w:p>
    <w:p w14:paraId="5F182747" w14:textId="77777777" w:rsidR="00C842B9" w:rsidRPr="00C842B9" w:rsidRDefault="00C842B9">
      <w:pPr>
        <w:rPr>
          <w:color w:val="auto"/>
        </w:rPr>
      </w:pPr>
    </w:p>
    <w:p w14:paraId="3CA7A70F" w14:textId="77777777" w:rsidR="00C842B9" w:rsidRPr="00C842B9" w:rsidRDefault="00C842B9" w:rsidP="00C842B9">
      <w:pPr>
        <w:pStyle w:val="ListParagraph"/>
        <w:jc w:val="both"/>
        <w:rPr>
          <w:color w:val="auto"/>
          <w:lang w:val="en-GB"/>
        </w:rPr>
      </w:pPr>
      <w:r w:rsidRPr="00C842B9">
        <w:rPr>
          <w:b/>
          <w:color w:val="auto"/>
          <w:lang w:val="en-GB"/>
        </w:rPr>
        <w:t>Carl Obst:</w:t>
      </w:r>
      <w:r w:rsidRPr="00C842B9">
        <w:rPr>
          <w:color w:val="auto"/>
          <w:lang w:val="en-GB"/>
        </w:rPr>
        <w:t xml:space="preserve"> After reading these points above and the note in the annex I think I can see where things have gone a bit “pear-shaped” here (nothing against pears just an expression that things haven’t gone to plan, I don’t know the history). Anyway, from an economic accounting point of view the idea of a production function is quite straightforward in that you take labour, capital and some other inputs and produce goods and services. Every time you produce something there must be a revealed production function and economic statistics and accounts are means to record the relative contributions of the different inputs. The production function in my mind can exist as a more conceptual description of the different inputs but also some that is “parameterised” i.e. with actual estimates of inputs. Economic modeller will often take the estimates for their parameters of production functions from national accounts and input-output tables to estimate economic output and growth.- but that is a separate task of projection.</w:t>
      </w:r>
    </w:p>
    <w:p w14:paraId="06C0C33E" w14:textId="77777777" w:rsidR="00C842B9" w:rsidRPr="00C842B9" w:rsidRDefault="00C842B9" w:rsidP="00C842B9">
      <w:pPr>
        <w:pStyle w:val="ListParagraph"/>
        <w:jc w:val="both"/>
        <w:rPr>
          <w:color w:val="auto"/>
          <w:lang w:val="en-GB"/>
        </w:rPr>
      </w:pPr>
    </w:p>
    <w:p w14:paraId="2C0EDE5E" w14:textId="77777777" w:rsidR="00C842B9" w:rsidRPr="00C842B9" w:rsidRDefault="00C842B9" w:rsidP="00C842B9">
      <w:pPr>
        <w:pStyle w:val="ListParagraph"/>
        <w:jc w:val="both"/>
        <w:rPr>
          <w:color w:val="auto"/>
          <w:lang w:val="en-GB"/>
        </w:rPr>
      </w:pPr>
      <w:r w:rsidRPr="00C842B9">
        <w:rPr>
          <w:color w:val="auto"/>
          <w:lang w:val="en-GB"/>
        </w:rPr>
        <w:t>In a SEEA EEA context I can now see that the concept of a production function has been applied in two ways. The first is that this standard economic production function might be “extended” to incorporate an additional input of ecosystem services. As recognised actually recording the inputs is difficult but if we imagine that we can measure the ES flows (defined as contributions to the production of benefits) as is the aim in the SEEA then estimating the production function should be feasible. In this sense, I get a bit confused if people say we cannot measure the contribution since for me this means we cannot measure the ES either – they are the same thing. But it may be the reality that we need to deal with. In any event, even if the parameters of this extended production function cannot be measured I still think we can talk about an extended economic production function.</w:t>
      </w:r>
    </w:p>
    <w:p w14:paraId="51758281" w14:textId="77777777" w:rsidR="00C842B9" w:rsidRPr="00C842B9" w:rsidRDefault="00C842B9" w:rsidP="00C842B9">
      <w:pPr>
        <w:pStyle w:val="ListParagraph"/>
        <w:jc w:val="both"/>
        <w:rPr>
          <w:color w:val="auto"/>
          <w:lang w:val="en-GB"/>
        </w:rPr>
      </w:pPr>
    </w:p>
    <w:p w14:paraId="241C7E35" w14:textId="77777777" w:rsidR="00C842B9" w:rsidRPr="00C842B9" w:rsidRDefault="00C842B9" w:rsidP="00C842B9">
      <w:pPr>
        <w:pStyle w:val="ListParagraph"/>
        <w:jc w:val="both"/>
        <w:rPr>
          <w:color w:val="auto"/>
          <w:lang w:val="en-GB"/>
        </w:rPr>
      </w:pPr>
      <w:r w:rsidRPr="00C842B9">
        <w:rPr>
          <w:color w:val="auto"/>
          <w:lang w:val="en-GB"/>
        </w:rPr>
        <w:t xml:space="preserve">The second way of using the term is as seems to be applied in the NESCS wherein the idea of producing ES (ecological outputs) is that it reflects a range of contributions from different “parts” or “components” of ecosystem assets. This could then be called an ecological production function. The estimation of these parameters would seem to be even more difficult that working out the contribution of ES to existing production of goods and services. </w:t>
      </w:r>
    </w:p>
    <w:p w14:paraId="74228DF1" w14:textId="77777777" w:rsidR="00C842B9" w:rsidRPr="00C842B9" w:rsidRDefault="00C842B9" w:rsidP="00C842B9">
      <w:pPr>
        <w:pStyle w:val="ListParagraph"/>
        <w:jc w:val="both"/>
        <w:rPr>
          <w:color w:val="auto"/>
          <w:lang w:val="en-GB"/>
        </w:rPr>
      </w:pPr>
    </w:p>
    <w:p w14:paraId="6CAC5CD2" w14:textId="77777777" w:rsidR="00C842B9" w:rsidRDefault="00C842B9" w:rsidP="00C842B9">
      <w:pPr>
        <w:pStyle w:val="ListParagraph"/>
        <w:jc w:val="both"/>
        <w:rPr>
          <w:color w:val="auto"/>
          <w:lang w:val="en-GB"/>
        </w:rPr>
      </w:pPr>
      <w:r w:rsidRPr="00C842B9">
        <w:rPr>
          <w:color w:val="auto"/>
          <w:lang w:val="en-GB"/>
        </w:rPr>
        <w:lastRenderedPageBreak/>
        <w:t>So, in answer to some of the questions above – my impression is that it is not essential to understand the second form of production function in order to estimate the first. It may be ideal but it seems unlikely.</w:t>
      </w:r>
    </w:p>
    <w:p w14:paraId="2B71D150" w14:textId="77777777" w:rsidR="006F0CEB" w:rsidRDefault="006F0CEB" w:rsidP="00C842B9">
      <w:pPr>
        <w:pStyle w:val="ListParagraph"/>
        <w:jc w:val="both"/>
        <w:rPr>
          <w:color w:val="auto"/>
          <w:lang w:val="en-GB"/>
        </w:rPr>
      </w:pPr>
    </w:p>
    <w:sectPr w:rsidR="006F0CEB">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Palatino Linotype">
    <w:panose1 w:val="02040502050505030304"/>
    <w:charset w:val="00"/>
    <w:family w:val="roman"/>
    <w:pitch w:val="variable"/>
    <w:sig w:usb0="E0000287" w:usb1="40000013" w:usb2="00000000" w:usb3="00000000" w:csb0="000001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B77ECF"/>
    <w:multiLevelType w:val="hybridMultilevel"/>
    <w:tmpl w:val="6430F8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42B9"/>
    <w:rsid w:val="00326816"/>
    <w:rsid w:val="005C0253"/>
    <w:rsid w:val="006F0CEB"/>
    <w:rsid w:val="009173BC"/>
    <w:rsid w:val="00AD339C"/>
    <w:rsid w:val="00C842B9"/>
    <w:rsid w:val="00FF0AA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1883DD"/>
  <w15:chartTrackingRefBased/>
  <w15:docId w15:val="{46204CDC-2CD5-4817-B5DC-5E48411540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842B9"/>
    <w:pPr>
      <w:spacing w:after="0" w:line="240" w:lineRule="auto"/>
    </w:pPr>
    <w:rPr>
      <w:rFonts w:ascii="Palatino Linotype" w:eastAsia="Times New Roman" w:hAnsi="Palatino Linotype" w:cstheme="majorBidi"/>
      <w:color w:val="2E74B5" w:themeColor="accent1" w:themeShade="BF"/>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C842B9"/>
    <w:pPr>
      <w:ind w:left="720"/>
      <w:contextualSpacing/>
    </w:pPr>
  </w:style>
  <w:style w:type="character" w:customStyle="1" w:styleId="ListParagraphChar">
    <w:name w:val="List Paragraph Char"/>
    <w:basedOn w:val="DefaultParagraphFont"/>
    <w:link w:val="ListParagraph"/>
    <w:uiPriority w:val="34"/>
    <w:rsid w:val="00C842B9"/>
    <w:rPr>
      <w:rFonts w:ascii="Palatino Linotype" w:eastAsia="Times New Roman" w:hAnsi="Palatino Linotype" w:cstheme="majorBidi"/>
      <w:color w:val="2E74B5" w:themeColor="accent1" w:themeShade="BF"/>
      <w:lang w:val="en-US"/>
    </w:rPr>
  </w:style>
  <w:style w:type="paragraph" w:styleId="BalloonText">
    <w:name w:val="Balloon Text"/>
    <w:basedOn w:val="Normal"/>
    <w:link w:val="BalloonTextChar"/>
    <w:uiPriority w:val="99"/>
    <w:semiHidden/>
    <w:unhideWhenUsed/>
    <w:rsid w:val="006F0CE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F0CEB"/>
    <w:rPr>
      <w:rFonts w:ascii="Segoe UI" w:eastAsia="Times New Roman" w:hAnsi="Segoe UI" w:cs="Segoe UI"/>
      <w:color w:val="2E74B5" w:themeColor="accent1" w:themeShade="BF"/>
      <w:sz w:val="18"/>
      <w:szCs w:val="18"/>
      <w:lang w:val="en-US"/>
    </w:rPr>
  </w:style>
  <w:style w:type="character" w:styleId="CommentReference">
    <w:name w:val="annotation reference"/>
    <w:basedOn w:val="DefaultParagraphFont"/>
    <w:uiPriority w:val="99"/>
    <w:semiHidden/>
    <w:unhideWhenUsed/>
    <w:rsid w:val="005C0253"/>
    <w:rPr>
      <w:sz w:val="16"/>
      <w:szCs w:val="16"/>
    </w:rPr>
  </w:style>
  <w:style w:type="paragraph" w:styleId="CommentText">
    <w:name w:val="annotation text"/>
    <w:basedOn w:val="Normal"/>
    <w:link w:val="CommentTextChar"/>
    <w:uiPriority w:val="99"/>
    <w:semiHidden/>
    <w:unhideWhenUsed/>
    <w:rsid w:val="005C0253"/>
    <w:rPr>
      <w:sz w:val="20"/>
      <w:szCs w:val="20"/>
    </w:rPr>
  </w:style>
  <w:style w:type="character" w:customStyle="1" w:styleId="CommentTextChar">
    <w:name w:val="Comment Text Char"/>
    <w:basedOn w:val="DefaultParagraphFont"/>
    <w:link w:val="CommentText"/>
    <w:uiPriority w:val="99"/>
    <w:semiHidden/>
    <w:rsid w:val="005C0253"/>
    <w:rPr>
      <w:rFonts w:ascii="Palatino Linotype" w:eastAsia="Times New Roman" w:hAnsi="Palatino Linotype" w:cstheme="majorBidi"/>
      <w:color w:val="2E74B5" w:themeColor="accent1" w:themeShade="BF"/>
      <w:sz w:val="20"/>
      <w:szCs w:val="20"/>
      <w:lang w:val="en-US"/>
    </w:rPr>
  </w:style>
  <w:style w:type="paragraph" w:styleId="CommentSubject">
    <w:name w:val="annotation subject"/>
    <w:basedOn w:val="CommentText"/>
    <w:next w:val="CommentText"/>
    <w:link w:val="CommentSubjectChar"/>
    <w:uiPriority w:val="99"/>
    <w:semiHidden/>
    <w:unhideWhenUsed/>
    <w:rsid w:val="005C0253"/>
    <w:rPr>
      <w:b/>
      <w:bCs/>
    </w:rPr>
  </w:style>
  <w:style w:type="character" w:customStyle="1" w:styleId="CommentSubjectChar">
    <w:name w:val="Comment Subject Char"/>
    <w:basedOn w:val="CommentTextChar"/>
    <w:link w:val="CommentSubject"/>
    <w:uiPriority w:val="99"/>
    <w:semiHidden/>
    <w:rsid w:val="005C0253"/>
    <w:rPr>
      <w:rFonts w:ascii="Palatino Linotype" w:eastAsia="Times New Roman" w:hAnsi="Palatino Linotype" w:cstheme="majorBidi"/>
      <w:b/>
      <w:bCs/>
      <w:color w:val="2E74B5" w:themeColor="accent1" w:themeShade="BF"/>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2102766">
      <w:bodyDiv w:val="1"/>
      <w:marLeft w:val="0"/>
      <w:marRight w:val="0"/>
      <w:marTop w:val="0"/>
      <w:marBottom w:val="0"/>
      <w:divBdr>
        <w:top w:val="none" w:sz="0" w:space="0" w:color="auto"/>
        <w:left w:val="none" w:sz="0" w:space="0" w:color="auto"/>
        <w:bottom w:val="none" w:sz="0" w:space="0" w:color="auto"/>
        <w:right w:val="none" w:sz="0" w:space="0" w:color="auto"/>
      </w:divBdr>
    </w:div>
    <w:div w:id="1943410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1447</Words>
  <Characters>8251</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European Environment Agency</Company>
  <LinksUpToDate>false</LinksUpToDate>
  <CharactersWithSpaces>9679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Jan-Erik Petersen</dc:creator>
  <cp:keywords/>
  <dc:description/>
  <cp:lastModifiedBy>Jan-Erik Petersen</cp:lastModifiedBy>
  <cp:revision>2</cp:revision>
  <cp:lastPrinted>2016-11-11T11:44:00Z</cp:lastPrinted>
  <dcterms:created xsi:type="dcterms:W3CDTF">2016-11-15T00:02:00Z</dcterms:created>
  <dcterms:modified xsi:type="dcterms:W3CDTF">2016-11-15T00:02:00Z</dcterms:modified>
</cp:coreProperties>
</file>