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C36032" w14:textId="53C383C0" w:rsidR="00D024E7" w:rsidRPr="00D024E7" w:rsidRDefault="00D024E7" w:rsidP="00D024E7">
      <w:pPr>
        <w:jc w:val="center"/>
        <w:rPr>
          <w:rFonts w:ascii="Calibri" w:eastAsia="Calibri" w:hAnsi="Calibri" w:cs="Calibri"/>
          <w:b/>
          <w:sz w:val="32"/>
        </w:rPr>
      </w:pPr>
      <w:bookmarkStart w:id="0" w:name="_GoBack"/>
      <w:bookmarkEnd w:id="0"/>
      <w:r w:rsidRPr="00D024E7">
        <w:rPr>
          <w:rFonts w:ascii="Calibri" w:eastAsia="Calibri" w:hAnsi="Calibri" w:cs="Calibri"/>
          <w:b/>
          <w:sz w:val="32"/>
        </w:rPr>
        <w:t xml:space="preserve">KIP-INCA </w:t>
      </w:r>
      <w:r w:rsidR="005175DA">
        <w:rPr>
          <w:rFonts w:ascii="Calibri" w:eastAsia="Calibri" w:hAnsi="Calibri" w:cs="Calibri"/>
          <w:b/>
          <w:sz w:val="32"/>
        </w:rPr>
        <w:t xml:space="preserve">Workshop on developing </w:t>
      </w:r>
      <w:r w:rsidR="00A17F76">
        <w:rPr>
          <w:rFonts w:ascii="Calibri" w:eastAsia="Calibri" w:hAnsi="Calibri" w:cs="Calibri"/>
          <w:b/>
          <w:sz w:val="32"/>
        </w:rPr>
        <w:t>proposals on potential use of Copernicus for Ecosystem Accounting</w:t>
      </w:r>
    </w:p>
    <w:p w14:paraId="354E5D51" w14:textId="1D417EDA" w:rsidR="00382C3A" w:rsidRDefault="005175DA" w:rsidP="00D024E7">
      <w:pPr>
        <w:jc w:val="center"/>
        <w:rPr>
          <w:rFonts w:ascii="Calibri" w:eastAsia="Calibri" w:hAnsi="Calibri" w:cs="Calibri"/>
          <w:b/>
          <w:sz w:val="32"/>
        </w:rPr>
      </w:pPr>
      <w:r>
        <w:rPr>
          <w:rFonts w:ascii="Calibri" w:eastAsia="Calibri" w:hAnsi="Calibri" w:cs="Calibri"/>
          <w:b/>
          <w:sz w:val="32"/>
        </w:rPr>
        <w:t xml:space="preserve">EEA, </w:t>
      </w:r>
      <w:r w:rsidR="00ED3D93">
        <w:rPr>
          <w:rFonts w:ascii="Calibri" w:eastAsia="Calibri" w:hAnsi="Calibri" w:cs="Calibri"/>
          <w:b/>
          <w:sz w:val="32"/>
        </w:rPr>
        <w:t>16</w:t>
      </w:r>
      <w:r w:rsidR="006301BE">
        <w:rPr>
          <w:rFonts w:ascii="Calibri" w:eastAsia="Calibri" w:hAnsi="Calibri" w:cs="Calibri"/>
          <w:b/>
          <w:sz w:val="32"/>
        </w:rPr>
        <w:t xml:space="preserve"> </w:t>
      </w:r>
      <w:r w:rsidR="00ED3D93">
        <w:rPr>
          <w:rFonts w:ascii="Calibri" w:eastAsia="Calibri" w:hAnsi="Calibri" w:cs="Calibri"/>
          <w:b/>
          <w:sz w:val="32"/>
        </w:rPr>
        <w:t>April</w:t>
      </w:r>
      <w:r>
        <w:rPr>
          <w:rFonts w:ascii="Calibri" w:eastAsia="Calibri" w:hAnsi="Calibri" w:cs="Calibri"/>
          <w:b/>
          <w:sz w:val="32"/>
        </w:rPr>
        <w:t xml:space="preserve"> 2018</w:t>
      </w:r>
    </w:p>
    <w:p w14:paraId="3AF24E23" w14:textId="77777777" w:rsidR="003609F3" w:rsidRDefault="003609F3" w:rsidP="00D024E7">
      <w:pPr>
        <w:jc w:val="center"/>
        <w:rPr>
          <w:rFonts w:ascii="Calibri" w:eastAsia="Calibri" w:hAnsi="Calibri" w:cs="Calibri"/>
          <w:b/>
          <w:sz w:val="32"/>
        </w:rPr>
      </w:pPr>
    </w:p>
    <w:p w14:paraId="4737109D" w14:textId="69488179" w:rsidR="003609F3" w:rsidRPr="003609F3" w:rsidRDefault="005175DA" w:rsidP="00D024E7">
      <w:pPr>
        <w:jc w:val="center"/>
        <w:rPr>
          <w:sz w:val="28"/>
          <w:szCs w:val="28"/>
        </w:rPr>
      </w:pPr>
      <w:r>
        <w:rPr>
          <w:rFonts w:ascii="Calibri" w:eastAsia="Calibri" w:hAnsi="Calibri" w:cs="Calibri"/>
          <w:b/>
          <w:sz w:val="28"/>
          <w:szCs w:val="28"/>
        </w:rPr>
        <w:t xml:space="preserve">Background paper, </w:t>
      </w:r>
      <w:r w:rsidR="005F093A" w:rsidRPr="00636121">
        <w:rPr>
          <w:rFonts w:ascii="Calibri" w:eastAsia="Calibri" w:hAnsi="Calibri" w:cs="Calibri"/>
          <w:b/>
          <w:color w:val="auto"/>
          <w:sz w:val="28"/>
          <w:szCs w:val="28"/>
        </w:rPr>
        <w:t xml:space="preserve">final </w:t>
      </w:r>
      <w:r w:rsidRPr="00636121">
        <w:rPr>
          <w:rFonts w:ascii="Calibri" w:eastAsia="Calibri" w:hAnsi="Calibri" w:cs="Calibri"/>
          <w:b/>
          <w:color w:val="auto"/>
          <w:sz w:val="28"/>
          <w:szCs w:val="28"/>
        </w:rPr>
        <w:t>draft</w:t>
      </w:r>
      <w:r w:rsidR="003609F3" w:rsidRPr="00636121">
        <w:rPr>
          <w:rFonts w:ascii="Calibri" w:eastAsia="Calibri" w:hAnsi="Calibri" w:cs="Calibri"/>
          <w:b/>
          <w:color w:val="auto"/>
          <w:sz w:val="28"/>
          <w:szCs w:val="28"/>
        </w:rPr>
        <w:t xml:space="preserve"> </w:t>
      </w:r>
    </w:p>
    <w:p w14:paraId="1A5ECFB5" w14:textId="77777777" w:rsidR="00382C3A" w:rsidRDefault="00382C3A" w:rsidP="00D024E7">
      <w:pPr>
        <w:jc w:val="both"/>
      </w:pPr>
    </w:p>
    <w:p w14:paraId="42532015" w14:textId="7968D8A6" w:rsidR="00382C3A" w:rsidRPr="00FB516F" w:rsidRDefault="00D024E7" w:rsidP="00D024E7">
      <w:pPr>
        <w:jc w:val="both"/>
      </w:pPr>
      <w:r w:rsidRPr="00FB516F">
        <w:rPr>
          <w:rFonts w:ascii="Calibri" w:eastAsia="Calibri" w:hAnsi="Calibri" w:cs="Calibri"/>
          <w:b/>
        </w:rPr>
        <w:t xml:space="preserve">1. </w:t>
      </w:r>
      <w:r w:rsidR="00EA3960">
        <w:rPr>
          <w:rFonts w:ascii="Calibri" w:eastAsia="Calibri" w:hAnsi="Calibri" w:cs="Calibri"/>
          <w:b/>
        </w:rPr>
        <w:t>Background</w:t>
      </w:r>
    </w:p>
    <w:p w14:paraId="0A028A7E" w14:textId="037D8C7A" w:rsidR="00171742" w:rsidRPr="00FB516F" w:rsidRDefault="00171742" w:rsidP="00171742">
      <w:pPr>
        <w:jc w:val="both"/>
        <w:rPr>
          <w:rFonts w:ascii="Calibri" w:eastAsia="Calibri" w:hAnsi="Calibri" w:cs="Calibri"/>
        </w:rPr>
      </w:pPr>
    </w:p>
    <w:p w14:paraId="0C87F910" w14:textId="7D29B224" w:rsidR="00EB6C17" w:rsidRDefault="00EB6C17">
      <w:pPr>
        <w:jc w:val="both"/>
        <w:rPr>
          <w:rFonts w:ascii="Calibri" w:eastAsia="Calibri" w:hAnsi="Calibri" w:cs="Calibri"/>
        </w:rPr>
      </w:pPr>
      <w:r w:rsidRPr="00EB6C17">
        <w:rPr>
          <w:rFonts w:ascii="Calibri" w:eastAsia="Calibri" w:hAnsi="Calibri" w:cs="Calibri"/>
        </w:rPr>
        <w:t xml:space="preserve">Measuring and accounting for natural capital is </w:t>
      </w:r>
      <w:r>
        <w:rPr>
          <w:rFonts w:ascii="Calibri" w:eastAsia="Calibri" w:hAnsi="Calibri" w:cs="Calibri"/>
        </w:rPr>
        <w:t>a key objective of the EU biodiversity strategy and its 7</w:t>
      </w:r>
      <w:r w:rsidRPr="00EB6C17">
        <w:rPr>
          <w:rFonts w:ascii="Calibri" w:eastAsia="Calibri" w:hAnsi="Calibri" w:cs="Calibri"/>
          <w:vertAlign w:val="superscript"/>
        </w:rPr>
        <w:t>th</w:t>
      </w:r>
      <w:r w:rsidR="006301BE">
        <w:rPr>
          <w:rFonts w:ascii="Calibri" w:eastAsia="Calibri" w:hAnsi="Calibri" w:cs="Calibri"/>
        </w:rPr>
        <w:t xml:space="preserve"> Environmental Action Programme</w:t>
      </w:r>
      <w:r>
        <w:rPr>
          <w:rFonts w:ascii="Calibri" w:eastAsia="Calibri" w:hAnsi="Calibri" w:cs="Calibri"/>
        </w:rPr>
        <w:t xml:space="preserve">.  </w:t>
      </w:r>
      <w:r w:rsidR="00DC38DE">
        <w:rPr>
          <w:rFonts w:ascii="Calibri" w:eastAsia="Calibri" w:hAnsi="Calibri" w:cs="Calibri"/>
        </w:rPr>
        <w:t>To meet this objective, a</w:t>
      </w:r>
      <w:r>
        <w:rPr>
          <w:rFonts w:ascii="Calibri" w:eastAsia="Calibri" w:hAnsi="Calibri" w:cs="Calibri"/>
        </w:rPr>
        <w:t xml:space="preserve"> </w:t>
      </w:r>
      <w:r w:rsidR="004E3AD8" w:rsidRPr="004E3AD8">
        <w:rPr>
          <w:rFonts w:ascii="Calibri" w:eastAsia="Calibri" w:hAnsi="Calibri" w:cs="Calibri"/>
        </w:rPr>
        <w:t xml:space="preserve">natural </w:t>
      </w:r>
      <w:r w:rsidR="00DC38DE">
        <w:rPr>
          <w:rFonts w:ascii="Calibri" w:eastAsia="Calibri" w:hAnsi="Calibri" w:cs="Calibri"/>
        </w:rPr>
        <w:t xml:space="preserve">capital </w:t>
      </w:r>
      <w:r w:rsidR="004E3AD8" w:rsidRPr="004E3AD8">
        <w:rPr>
          <w:rFonts w:ascii="Calibri" w:eastAsia="Calibri" w:hAnsi="Calibri" w:cs="Calibri"/>
        </w:rPr>
        <w:t xml:space="preserve">accounting system is being developed by the Knowledge Innovation Project (KIP INCA). </w:t>
      </w:r>
      <w:r>
        <w:rPr>
          <w:rFonts w:ascii="Calibri" w:eastAsia="Calibri" w:hAnsi="Calibri" w:cs="Calibri"/>
        </w:rPr>
        <w:t xml:space="preserve">KIP-INCA </w:t>
      </w:r>
      <w:r w:rsidRPr="00EB6C17">
        <w:rPr>
          <w:rFonts w:ascii="Calibri" w:eastAsia="Calibri" w:hAnsi="Calibri" w:cs="Calibri"/>
        </w:rPr>
        <w:t>aims to design and implement an integrated accounting system for ecosystems and their</w:t>
      </w:r>
      <w:r>
        <w:rPr>
          <w:rFonts w:ascii="Calibri" w:eastAsia="Calibri" w:hAnsi="Calibri" w:cs="Calibri"/>
        </w:rPr>
        <w:t xml:space="preserve"> </w:t>
      </w:r>
      <w:r w:rsidRPr="00EB6C17">
        <w:rPr>
          <w:rFonts w:ascii="Calibri" w:eastAsia="Calibri" w:hAnsi="Calibri" w:cs="Calibri"/>
        </w:rPr>
        <w:t>services in the EU by connecting relevant existing projects and data collection exercises to build up a</w:t>
      </w:r>
      <w:r>
        <w:rPr>
          <w:rFonts w:ascii="Calibri" w:eastAsia="Calibri" w:hAnsi="Calibri" w:cs="Calibri"/>
        </w:rPr>
        <w:t xml:space="preserve"> </w:t>
      </w:r>
      <w:r w:rsidRPr="00EB6C17">
        <w:rPr>
          <w:rFonts w:ascii="Calibri" w:eastAsia="Calibri" w:hAnsi="Calibri" w:cs="Calibri"/>
        </w:rPr>
        <w:t xml:space="preserve">shared platform of geo-referenced information on ecosystems and their services. </w:t>
      </w:r>
    </w:p>
    <w:p w14:paraId="16092F7A" w14:textId="20BB1B78" w:rsidR="006221F3" w:rsidRPr="00ED3D93" w:rsidRDefault="006221F3" w:rsidP="00171742">
      <w:pPr>
        <w:jc w:val="both"/>
        <w:rPr>
          <w:rFonts w:ascii="Calibri" w:eastAsia="Calibri" w:hAnsi="Calibri" w:cs="Calibri"/>
          <w:highlight w:val="yellow"/>
        </w:rPr>
      </w:pPr>
    </w:p>
    <w:p w14:paraId="1BD9C898" w14:textId="61E5B2E1" w:rsidR="00EA3960" w:rsidRDefault="00EA3960" w:rsidP="00EA3960">
      <w:pPr>
        <w:jc w:val="both"/>
        <w:rPr>
          <w:rFonts w:ascii="Calibri" w:eastAsia="Calibri" w:hAnsi="Calibri" w:cs="Calibri"/>
          <w:b/>
        </w:rPr>
      </w:pPr>
      <w:r>
        <w:rPr>
          <w:rFonts w:ascii="Calibri" w:eastAsia="Calibri" w:hAnsi="Calibri" w:cs="Calibri"/>
          <w:b/>
        </w:rPr>
        <w:t>2</w:t>
      </w:r>
      <w:r w:rsidRPr="00FB516F">
        <w:rPr>
          <w:rFonts w:ascii="Calibri" w:eastAsia="Calibri" w:hAnsi="Calibri" w:cs="Calibri"/>
          <w:b/>
        </w:rPr>
        <w:t xml:space="preserve">. </w:t>
      </w:r>
      <w:r w:rsidR="00C86BEB">
        <w:rPr>
          <w:rFonts w:ascii="Calibri" w:eastAsia="Calibri" w:hAnsi="Calibri" w:cs="Calibri"/>
          <w:b/>
        </w:rPr>
        <w:t>The measurement framework</w:t>
      </w:r>
    </w:p>
    <w:p w14:paraId="045C4AEB" w14:textId="77777777" w:rsidR="00EA3960" w:rsidRDefault="00EA3960" w:rsidP="00EA3960">
      <w:pPr>
        <w:jc w:val="both"/>
        <w:rPr>
          <w:rFonts w:ascii="Calibri" w:eastAsia="Calibri" w:hAnsi="Calibri" w:cs="Calibri"/>
          <w:b/>
        </w:rPr>
      </w:pPr>
    </w:p>
    <w:p w14:paraId="3ADD0C93" w14:textId="7A45FC0F" w:rsidR="00EA3960" w:rsidRDefault="00EA3960" w:rsidP="00EA3960">
      <w:pPr>
        <w:jc w:val="both"/>
        <w:rPr>
          <w:rFonts w:ascii="Calibri" w:eastAsia="Calibri" w:hAnsi="Calibri" w:cs="Calibri"/>
        </w:rPr>
      </w:pPr>
      <w:r>
        <w:rPr>
          <w:rFonts w:ascii="Calibri" w:eastAsia="Calibri" w:hAnsi="Calibri" w:cs="Calibri"/>
        </w:rPr>
        <w:t xml:space="preserve">The System of Environmental-Economic Accounting - Experimental Ecosystem Accounting (SEEA-EEA) provides the measurement framework for building ecosystem accounts under KIP-INCA.  The SEEA-EEA has been produced jointly under the </w:t>
      </w:r>
      <w:r w:rsidR="005F093A">
        <w:rPr>
          <w:rFonts w:ascii="Calibri" w:eastAsia="Calibri" w:hAnsi="Calibri" w:cs="Calibri"/>
        </w:rPr>
        <w:t xml:space="preserve">coordination </w:t>
      </w:r>
      <w:r>
        <w:rPr>
          <w:rFonts w:ascii="Calibri" w:eastAsia="Calibri" w:hAnsi="Calibri" w:cs="Calibri"/>
        </w:rPr>
        <w:t xml:space="preserve">of the </w:t>
      </w:r>
      <w:r w:rsidR="005F093A">
        <w:rPr>
          <w:rFonts w:ascii="Calibri" w:eastAsia="Calibri" w:hAnsi="Calibri" w:cs="Calibri"/>
        </w:rPr>
        <w:t xml:space="preserve">United Nations Statistical Division with support from the </w:t>
      </w:r>
      <w:r>
        <w:rPr>
          <w:rFonts w:ascii="Calibri" w:eastAsia="Calibri" w:hAnsi="Calibri" w:cs="Calibri"/>
        </w:rPr>
        <w:t>European Commission, World Bank, FAO and OECD.</w:t>
      </w:r>
      <w:r w:rsidR="00C86BEB">
        <w:rPr>
          <w:rFonts w:ascii="Calibri" w:eastAsia="Calibri" w:hAnsi="Calibri" w:cs="Calibri"/>
        </w:rPr>
        <w:t xml:space="preserve"> </w:t>
      </w:r>
      <w:r w:rsidR="00C86BEB" w:rsidRPr="00C86BEB">
        <w:rPr>
          <w:rFonts w:ascii="Calibri" w:eastAsia="Calibri" w:hAnsi="Calibri" w:cs="Calibri"/>
        </w:rPr>
        <w:t>This experimental framework characterises ecosystem</w:t>
      </w:r>
      <w:r w:rsidR="00C86BEB">
        <w:rPr>
          <w:rFonts w:ascii="Calibri" w:eastAsia="Calibri" w:hAnsi="Calibri" w:cs="Calibri"/>
        </w:rPr>
        <w:t>s</w:t>
      </w:r>
      <w:r w:rsidR="00C86BEB" w:rsidRPr="00C86BEB">
        <w:rPr>
          <w:rFonts w:ascii="Calibri" w:eastAsia="Calibri" w:hAnsi="Calibri" w:cs="Calibri"/>
        </w:rPr>
        <w:t xml:space="preserve"> on the basis of their extent and a set of condition characteristics (stock) and their ability to deliver ecosystem services (flow)</w:t>
      </w:r>
      <w:r w:rsidR="00643ED3">
        <w:rPr>
          <w:rFonts w:ascii="Calibri" w:eastAsia="Calibri" w:hAnsi="Calibri" w:cs="Calibri"/>
        </w:rPr>
        <w:t xml:space="preserve"> at different points in time</w:t>
      </w:r>
      <w:r w:rsidR="00C86BEB" w:rsidRPr="00C86BEB">
        <w:rPr>
          <w:rFonts w:ascii="Calibri" w:eastAsia="Calibri" w:hAnsi="Calibri" w:cs="Calibri"/>
        </w:rPr>
        <w:t xml:space="preserve">. </w:t>
      </w:r>
      <w:r>
        <w:rPr>
          <w:rFonts w:ascii="Calibri" w:eastAsia="Calibri" w:hAnsi="Calibri" w:cs="Calibri"/>
        </w:rPr>
        <w:t>The figure below sets out the</w:t>
      </w:r>
      <w:r w:rsidR="00C86BEB">
        <w:rPr>
          <w:rFonts w:ascii="Calibri" w:eastAsia="Calibri" w:hAnsi="Calibri" w:cs="Calibri"/>
        </w:rPr>
        <w:t>se</w:t>
      </w:r>
      <w:r>
        <w:rPr>
          <w:rFonts w:ascii="Calibri" w:eastAsia="Calibri" w:hAnsi="Calibri" w:cs="Calibri"/>
        </w:rPr>
        <w:t xml:space="preserve"> core bio-physical ecosystem accounting modules (in green) and a set of associated accounting themes (in orange)</w:t>
      </w:r>
      <w:r w:rsidR="00C86BEB">
        <w:rPr>
          <w:rFonts w:ascii="Calibri" w:eastAsia="Calibri" w:hAnsi="Calibri" w:cs="Calibri"/>
        </w:rPr>
        <w:t xml:space="preserve"> of specific environmental management and policy interest</w:t>
      </w:r>
      <w:r>
        <w:rPr>
          <w:rFonts w:ascii="Calibri" w:eastAsia="Calibri" w:hAnsi="Calibri" w:cs="Calibri"/>
        </w:rPr>
        <w:t xml:space="preserve">. </w:t>
      </w:r>
    </w:p>
    <w:p w14:paraId="4D382856" w14:textId="77777777" w:rsidR="00EA3960" w:rsidRDefault="00EA3960" w:rsidP="00EA3960">
      <w:pPr>
        <w:jc w:val="both"/>
        <w:rPr>
          <w:rFonts w:ascii="Calibri" w:eastAsia="Calibri" w:hAnsi="Calibri" w:cs="Calibri"/>
        </w:rPr>
      </w:pPr>
    </w:p>
    <w:p w14:paraId="7E704946" w14:textId="77777777" w:rsidR="00EA3960" w:rsidRPr="005F3EA3" w:rsidRDefault="00EA3960" w:rsidP="00EA3960">
      <w:pPr>
        <w:jc w:val="both"/>
        <w:rPr>
          <w:rFonts w:ascii="Calibri" w:eastAsia="Calibri" w:hAnsi="Calibri" w:cs="Calibri"/>
        </w:rPr>
      </w:pPr>
      <w:r w:rsidRPr="00344A34">
        <w:rPr>
          <w:rFonts w:ascii="Calibri" w:eastAsia="Calibri" w:hAnsi="Calibri" w:cs="Calibri"/>
          <w:noProof/>
        </w:rPr>
        <w:drawing>
          <wp:inline distT="0" distB="0" distL="0" distR="0" wp14:anchorId="34B8010F" wp14:editId="120D7564">
            <wp:extent cx="5650302" cy="1373424"/>
            <wp:effectExtent l="0" t="0" r="0" b="0"/>
            <wp:docPr id="2" name="Picture 2" descr="C:\Users\stevenk\Desktop\Darwin Call\Stage 2\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esktop\Darwin Call\Stage 2\Framework.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49" t="291" r="20678" b="70022"/>
                    <a:stretch/>
                  </pic:blipFill>
                  <pic:spPr bwMode="auto">
                    <a:xfrm>
                      <a:off x="0" y="0"/>
                      <a:ext cx="5787968" cy="1406886"/>
                    </a:xfrm>
                    <a:prstGeom prst="rect">
                      <a:avLst/>
                    </a:prstGeom>
                    <a:noFill/>
                    <a:ln>
                      <a:noFill/>
                    </a:ln>
                    <a:extLst>
                      <a:ext uri="{53640926-AAD7-44D8-BBD7-CCE9431645EC}">
                        <a14:shadowObscured xmlns:a14="http://schemas.microsoft.com/office/drawing/2010/main"/>
                      </a:ext>
                    </a:extLst>
                  </pic:spPr>
                </pic:pic>
              </a:graphicData>
            </a:graphic>
          </wp:inline>
        </w:drawing>
      </w:r>
    </w:p>
    <w:p w14:paraId="5F6EDB39" w14:textId="77777777" w:rsidR="00EA3960" w:rsidRPr="00FB516F" w:rsidRDefault="00EA3960" w:rsidP="00EA3960">
      <w:pPr>
        <w:jc w:val="both"/>
      </w:pPr>
    </w:p>
    <w:p w14:paraId="7F8E8A3E" w14:textId="617EC935" w:rsidR="0064371F" w:rsidRDefault="00C86BEB" w:rsidP="00EA3960">
      <w:pPr>
        <w:jc w:val="both"/>
        <w:rPr>
          <w:rFonts w:ascii="Calibri" w:eastAsia="Calibri" w:hAnsi="Calibri" w:cs="Calibri"/>
        </w:rPr>
      </w:pPr>
      <w:r>
        <w:rPr>
          <w:rFonts w:ascii="Calibri" w:eastAsia="Calibri" w:hAnsi="Calibri" w:cs="Calibri"/>
        </w:rPr>
        <w:t xml:space="preserve">The SEEA-EEA </w:t>
      </w:r>
      <w:r w:rsidR="005F093A">
        <w:rPr>
          <w:rFonts w:ascii="Calibri" w:eastAsia="Calibri" w:hAnsi="Calibri" w:cs="Calibri"/>
        </w:rPr>
        <w:t>describes how to produce regular ecosystem accounts grounded</w:t>
      </w:r>
      <w:r>
        <w:rPr>
          <w:rFonts w:ascii="Calibri" w:eastAsia="Calibri" w:hAnsi="Calibri" w:cs="Calibri"/>
        </w:rPr>
        <w:t xml:space="preserve"> in a spatially explicit </w:t>
      </w:r>
      <w:r w:rsidR="00643ED3">
        <w:rPr>
          <w:rFonts w:ascii="Calibri" w:eastAsia="Calibri" w:hAnsi="Calibri" w:cs="Calibri"/>
        </w:rPr>
        <w:t xml:space="preserve">and time series </w:t>
      </w:r>
      <w:r>
        <w:rPr>
          <w:rFonts w:ascii="Calibri" w:eastAsia="Calibri" w:hAnsi="Calibri" w:cs="Calibri"/>
        </w:rPr>
        <w:t>approach. As such e</w:t>
      </w:r>
      <w:r w:rsidR="0064371F" w:rsidRPr="0064371F">
        <w:rPr>
          <w:rFonts w:ascii="Calibri" w:eastAsia="Calibri" w:hAnsi="Calibri" w:cs="Calibri"/>
        </w:rPr>
        <w:t xml:space="preserve">cosystem accounting depends on the availability of geospatial </w:t>
      </w:r>
      <w:r w:rsidR="00572A9D">
        <w:rPr>
          <w:rFonts w:ascii="Calibri" w:eastAsia="Calibri" w:hAnsi="Calibri" w:cs="Calibri"/>
        </w:rPr>
        <w:t xml:space="preserve">reference </w:t>
      </w:r>
      <w:r w:rsidR="0064371F" w:rsidRPr="0064371F">
        <w:rPr>
          <w:rFonts w:ascii="Calibri" w:eastAsia="Calibri" w:hAnsi="Calibri" w:cs="Calibri"/>
        </w:rPr>
        <w:t xml:space="preserve">data that accurately describe the distribution and condition of ecosystems </w:t>
      </w:r>
      <w:r w:rsidR="00DC38DE">
        <w:rPr>
          <w:rFonts w:ascii="Calibri" w:eastAsia="Calibri" w:hAnsi="Calibri" w:cs="Calibri"/>
        </w:rPr>
        <w:t xml:space="preserve">and the services they deliver </w:t>
      </w:r>
      <w:r w:rsidR="0064371F" w:rsidRPr="0064371F">
        <w:rPr>
          <w:rFonts w:ascii="Calibri" w:eastAsia="Calibri" w:hAnsi="Calibri" w:cs="Calibri"/>
        </w:rPr>
        <w:t xml:space="preserve">with sufficient resolution to capture </w:t>
      </w:r>
      <w:r w:rsidR="002F7B3B">
        <w:rPr>
          <w:rFonts w:ascii="Calibri" w:eastAsia="Calibri" w:hAnsi="Calibri" w:cs="Calibri"/>
        </w:rPr>
        <w:t xml:space="preserve">both large and </w:t>
      </w:r>
      <w:r w:rsidR="0064371F" w:rsidRPr="0064371F">
        <w:rPr>
          <w:rFonts w:ascii="Calibri" w:eastAsia="Calibri" w:hAnsi="Calibri" w:cs="Calibri"/>
        </w:rPr>
        <w:t>small ecosystems.</w:t>
      </w:r>
      <w:r w:rsidR="0064371F">
        <w:rPr>
          <w:rFonts w:ascii="Calibri" w:eastAsia="Calibri" w:hAnsi="Calibri" w:cs="Calibri"/>
        </w:rPr>
        <w:t xml:space="preserve"> </w:t>
      </w:r>
      <w:r w:rsidR="00643ED3">
        <w:rPr>
          <w:rFonts w:ascii="Calibri" w:eastAsia="Calibri" w:hAnsi="Calibri" w:cs="Calibri"/>
        </w:rPr>
        <w:t xml:space="preserve"> It also requires that this data is updated on a regular and reliable </w:t>
      </w:r>
      <w:r w:rsidR="00F575FA">
        <w:rPr>
          <w:rFonts w:ascii="Calibri" w:eastAsia="Calibri" w:hAnsi="Calibri" w:cs="Calibri"/>
        </w:rPr>
        <w:t xml:space="preserve">(assured) </w:t>
      </w:r>
      <w:r w:rsidR="00643ED3">
        <w:rPr>
          <w:rFonts w:ascii="Calibri" w:eastAsia="Calibri" w:hAnsi="Calibri" w:cs="Calibri"/>
        </w:rPr>
        <w:t xml:space="preserve">basis and that this data is consistent across both space and time. </w:t>
      </w:r>
    </w:p>
    <w:p w14:paraId="11E49DA3" w14:textId="77777777" w:rsidR="005808CA" w:rsidRDefault="005808CA" w:rsidP="00EA3960">
      <w:pPr>
        <w:jc w:val="both"/>
        <w:rPr>
          <w:rFonts w:ascii="Calibri" w:eastAsia="Calibri" w:hAnsi="Calibri" w:cs="Calibri"/>
        </w:rPr>
      </w:pPr>
    </w:p>
    <w:p w14:paraId="0A80231A" w14:textId="77777777" w:rsidR="005808CA" w:rsidRDefault="005808CA" w:rsidP="00EA3960">
      <w:pPr>
        <w:jc w:val="both"/>
        <w:rPr>
          <w:rFonts w:ascii="Calibri" w:eastAsia="Calibri" w:hAnsi="Calibri" w:cs="Calibri"/>
        </w:rPr>
      </w:pPr>
    </w:p>
    <w:p w14:paraId="13AF8B65" w14:textId="77777777" w:rsidR="00AC7ABB" w:rsidRDefault="00AC7ABB" w:rsidP="00623E78">
      <w:pPr>
        <w:jc w:val="both"/>
        <w:rPr>
          <w:rFonts w:ascii="Calibri" w:eastAsia="Calibri" w:hAnsi="Calibri" w:cs="Calibri"/>
          <w:b/>
        </w:rPr>
      </w:pPr>
    </w:p>
    <w:p w14:paraId="7F81815D" w14:textId="022C532B" w:rsidR="00623E78" w:rsidRDefault="005808CA" w:rsidP="00623E78">
      <w:pPr>
        <w:jc w:val="both"/>
        <w:rPr>
          <w:rFonts w:ascii="Calibri" w:eastAsia="Calibri" w:hAnsi="Calibri" w:cs="Calibri"/>
          <w:b/>
        </w:rPr>
      </w:pPr>
      <w:r>
        <w:rPr>
          <w:rFonts w:ascii="Calibri" w:eastAsia="Calibri" w:hAnsi="Calibri" w:cs="Calibri"/>
          <w:b/>
        </w:rPr>
        <w:lastRenderedPageBreak/>
        <w:t>3</w:t>
      </w:r>
      <w:r w:rsidR="00623E78" w:rsidRPr="00FB516F">
        <w:rPr>
          <w:rFonts w:ascii="Calibri" w:eastAsia="Calibri" w:hAnsi="Calibri" w:cs="Calibri"/>
          <w:b/>
        </w:rPr>
        <w:t xml:space="preserve">. </w:t>
      </w:r>
      <w:r w:rsidR="00482827">
        <w:rPr>
          <w:rFonts w:ascii="Calibri" w:eastAsia="Calibri" w:hAnsi="Calibri" w:cs="Calibri"/>
          <w:b/>
        </w:rPr>
        <w:t>Criteria for ecosystem accounting reference data</w:t>
      </w:r>
    </w:p>
    <w:p w14:paraId="264CB769" w14:textId="77777777" w:rsidR="00623E78" w:rsidRDefault="00623E78" w:rsidP="003E64AA">
      <w:pPr>
        <w:jc w:val="both"/>
        <w:rPr>
          <w:rFonts w:ascii="Calibri" w:eastAsia="Calibri" w:hAnsi="Calibri" w:cs="Calibri"/>
        </w:rPr>
      </w:pPr>
    </w:p>
    <w:p w14:paraId="5D2E8E84" w14:textId="684A2482" w:rsidR="00B83720" w:rsidRDefault="006301BE" w:rsidP="003E64AA">
      <w:pPr>
        <w:jc w:val="both"/>
        <w:rPr>
          <w:rFonts w:ascii="Calibri" w:eastAsia="Calibri" w:hAnsi="Calibri" w:cs="Calibri"/>
        </w:rPr>
      </w:pPr>
      <w:r>
        <w:rPr>
          <w:rFonts w:ascii="Calibri" w:eastAsia="Calibri" w:hAnsi="Calibri" w:cs="Calibri"/>
        </w:rPr>
        <w:t>From EU level experience on</w:t>
      </w:r>
      <w:r w:rsidR="003E64AA">
        <w:rPr>
          <w:rFonts w:ascii="Calibri" w:eastAsia="Calibri" w:hAnsi="Calibri" w:cs="Calibri"/>
        </w:rPr>
        <w:t xml:space="preserve"> ecosystem accounting </w:t>
      </w:r>
      <w:r>
        <w:rPr>
          <w:rFonts w:ascii="Calibri" w:eastAsia="Calibri" w:hAnsi="Calibri" w:cs="Calibri"/>
        </w:rPr>
        <w:t>over the last 10 years</w:t>
      </w:r>
      <w:r w:rsidR="00DC7882">
        <w:rPr>
          <w:rFonts w:ascii="Calibri" w:eastAsia="Calibri" w:hAnsi="Calibri" w:cs="Calibri"/>
        </w:rPr>
        <w:t xml:space="preserve"> some key tene</w:t>
      </w:r>
      <w:r w:rsidR="003E64AA">
        <w:rPr>
          <w:rFonts w:ascii="Calibri" w:eastAsia="Calibri" w:hAnsi="Calibri" w:cs="Calibri"/>
        </w:rPr>
        <w:t xml:space="preserve">ts in ecosystem accounting design </w:t>
      </w:r>
      <w:r>
        <w:rPr>
          <w:rFonts w:ascii="Calibri" w:eastAsia="Calibri" w:hAnsi="Calibri" w:cs="Calibri"/>
        </w:rPr>
        <w:t>can be</w:t>
      </w:r>
      <w:r w:rsidR="003E64AA">
        <w:rPr>
          <w:rFonts w:ascii="Calibri" w:eastAsia="Calibri" w:hAnsi="Calibri" w:cs="Calibri"/>
        </w:rPr>
        <w:t xml:space="preserve"> </w:t>
      </w:r>
      <w:r w:rsidR="00B83720">
        <w:rPr>
          <w:rFonts w:ascii="Calibri" w:eastAsia="Calibri" w:hAnsi="Calibri" w:cs="Calibri"/>
        </w:rPr>
        <w:t>learned</w:t>
      </w:r>
      <w:r w:rsidR="003E64AA">
        <w:rPr>
          <w:rFonts w:ascii="Calibri" w:eastAsia="Calibri" w:hAnsi="Calibri" w:cs="Calibri"/>
        </w:rPr>
        <w:t xml:space="preserve"> that help steer the identification of </w:t>
      </w:r>
      <w:r w:rsidR="00DC38DE">
        <w:rPr>
          <w:rFonts w:ascii="Calibri" w:eastAsia="Calibri" w:hAnsi="Calibri" w:cs="Calibri"/>
        </w:rPr>
        <w:t xml:space="preserve">the most promising </w:t>
      </w:r>
      <w:r w:rsidR="00482827">
        <w:rPr>
          <w:rFonts w:ascii="Calibri" w:eastAsia="Calibri" w:hAnsi="Calibri" w:cs="Calibri"/>
        </w:rPr>
        <w:t xml:space="preserve">data </w:t>
      </w:r>
      <w:r w:rsidR="00B83720">
        <w:rPr>
          <w:rFonts w:ascii="Calibri" w:eastAsia="Calibri" w:hAnsi="Calibri" w:cs="Calibri"/>
        </w:rPr>
        <w:t xml:space="preserve">products and services for </w:t>
      </w:r>
      <w:r w:rsidR="00DC38DE">
        <w:rPr>
          <w:rFonts w:ascii="Calibri" w:eastAsia="Calibri" w:hAnsi="Calibri" w:cs="Calibri"/>
        </w:rPr>
        <w:t xml:space="preserve">calculating the core bio-physical </w:t>
      </w:r>
      <w:r w:rsidR="00B83720">
        <w:rPr>
          <w:rFonts w:ascii="Calibri" w:eastAsia="Calibri" w:hAnsi="Calibri" w:cs="Calibri"/>
        </w:rPr>
        <w:t>ecosystem account</w:t>
      </w:r>
      <w:r w:rsidR="00DC38DE">
        <w:rPr>
          <w:rFonts w:ascii="Calibri" w:eastAsia="Calibri" w:hAnsi="Calibri" w:cs="Calibri"/>
        </w:rPr>
        <w:t xml:space="preserve">s described in Section 1 (relating to </w:t>
      </w:r>
      <w:r w:rsidR="005F093A">
        <w:rPr>
          <w:rFonts w:ascii="Calibri" w:eastAsia="Calibri" w:hAnsi="Calibri" w:cs="Calibri"/>
        </w:rPr>
        <w:t xml:space="preserve">ecosystem </w:t>
      </w:r>
      <w:r w:rsidR="00DC38DE">
        <w:rPr>
          <w:rFonts w:ascii="Calibri" w:eastAsia="Calibri" w:hAnsi="Calibri" w:cs="Calibri"/>
        </w:rPr>
        <w:t>extent, condition and services).</w:t>
      </w:r>
      <w:r w:rsidR="00B83720">
        <w:rPr>
          <w:rFonts w:ascii="Calibri" w:eastAsia="Calibri" w:hAnsi="Calibri" w:cs="Calibri"/>
        </w:rPr>
        <w:t xml:space="preserve">  In particular, </w:t>
      </w:r>
      <w:r w:rsidR="00DC38DE">
        <w:rPr>
          <w:rFonts w:ascii="Calibri" w:eastAsia="Calibri" w:hAnsi="Calibri" w:cs="Calibri"/>
        </w:rPr>
        <w:t xml:space="preserve">ecosystem accounting </w:t>
      </w:r>
      <w:r w:rsidR="006E6334">
        <w:rPr>
          <w:rFonts w:ascii="Calibri" w:eastAsia="Calibri" w:hAnsi="Calibri" w:cs="Calibri"/>
        </w:rPr>
        <w:t xml:space="preserve">reference data </w:t>
      </w:r>
      <w:r w:rsidR="00B83720">
        <w:rPr>
          <w:rFonts w:ascii="Calibri" w:eastAsia="Calibri" w:hAnsi="Calibri" w:cs="Calibri"/>
        </w:rPr>
        <w:t>should</w:t>
      </w:r>
      <w:r w:rsidR="00DC7882">
        <w:rPr>
          <w:rFonts w:ascii="Calibri" w:eastAsia="Calibri" w:hAnsi="Calibri" w:cs="Calibri"/>
        </w:rPr>
        <w:t xml:space="preserve"> </w:t>
      </w:r>
      <w:r w:rsidR="005F093A">
        <w:rPr>
          <w:rFonts w:ascii="Calibri" w:eastAsia="Calibri" w:hAnsi="Calibri" w:cs="Calibri"/>
        </w:rPr>
        <w:t xml:space="preserve">ideally </w:t>
      </w:r>
      <w:r w:rsidR="006E6334">
        <w:rPr>
          <w:rFonts w:ascii="Calibri" w:eastAsia="Calibri" w:hAnsi="Calibri" w:cs="Calibri"/>
        </w:rPr>
        <w:t>meet the following criteria</w:t>
      </w:r>
      <w:r w:rsidR="00B83720">
        <w:rPr>
          <w:rFonts w:ascii="Calibri" w:eastAsia="Calibri" w:hAnsi="Calibri" w:cs="Calibri"/>
        </w:rPr>
        <w:t>:</w:t>
      </w:r>
    </w:p>
    <w:p w14:paraId="1FA68E5F" w14:textId="77777777" w:rsidR="00B83720" w:rsidRDefault="00B83720" w:rsidP="003E64AA">
      <w:pPr>
        <w:jc w:val="both"/>
        <w:rPr>
          <w:rFonts w:ascii="Calibri" w:eastAsia="Calibri" w:hAnsi="Calibri" w:cs="Calibri"/>
        </w:rPr>
      </w:pPr>
    </w:p>
    <w:p w14:paraId="3DA0228A" w14:textId="77777777" w:rsidR="006E6334" w:rsidRDefault="006E6334" w:rsidP="006E6334">
      <w:pPr>
        <w:pStyle w:val="ListParagraph"/>
        <w:numPr>
          <w:ilvl w:val="0"/>
          <w:numId w:val="22"/>
        </w:numPr>
        <w:jc w:val="both"/>
        <w:rPr>
          <w:rFonts w:ascii="Calibri" w:eastAsia="Calibri" w:hAnsi="Calibri" w:cs="Calibri"/>
        </w:rPr>
      </w:pPr>
      <w:r w:rsidRPr="00581B33">
        <w:rPr>
          <w:rFonts w:ascii="Calibri" w:eastAsia="Calibri" w:hAnsi="Calibri" w:cs="Calibri"/>
        </w:rPr>
        <w:t xml:space="preserve">Follow an analytical approach aligned with the characteristics of the data (i.e., avoid analytical over-reach). </w:t>
      </w:r>
    </w:p>
    <w:p w14:paraId="1D3F7F5D" w14:textId="357B1908" w:rsidR="00DB111F" w:rsidRDefault="00DB111F" w:rsidP="006E6334">
      <w:pPr>
        <w:pStyle w:val="ListParagraph"/>
        <w:numPr>
          <w:ilvl w:val="0"/>
          <w:numId w:val="22"/>
        </w:numPr>
        <w:jc w:val="both"/>
        <w:rPr>
          <w:rFonts w:ascii="Calibri" w:eastAsia="Calibri" w:hAnsi="Calibri" w:cs="Calibri"/>
        </w:rPr>
      </w:pPr>
      <w:r>
        <w:rPr>
          <w:rFonts w:ascii="Calibri" w:eastAsia="Calibri" w:hAnsi="Calibri" w:cs="Calibri"/>
        </w:rPr>
        <w:t>Be relevant to ecosystem typologies used in Europe (e.g., the MAES Typology</w:t>
      </w:r>
      <w:r w:rsidR="00BF12AA">
        <w:rPr>
          <w:rFonts w:ascii="Calibri" w:eastAsia="Calibri" w:hAnsi="Calibri" w:cs="Calibri"/>
        </w:rPr>
        <w:t xml:space="preserve"> and EUNIS system</w:t>
      </w:r>
      <w:r>
        <w:rPr>
          <w:rFonts w:ascii="Calibri" w:eastAsia="Calibri" w:hAnsi="Calibri" w:cs="Calibri"/>
        </w:rPr>
        <w:t>)</w:t>
      </w:r>
    </w:p>
    <w:p w14:paraId="7E3C1447" w14:textId="57F9D2B7" w:rsidR="006E6334" w:rsidRPr="00CB51D7" w:rsidRDefault="006E6334" w:rsidP="006E6334">
      <w:pPr>
        <w:pStyle w:val="ListParagraph"/>
        <w:numPr>
          <w:ilvl w:val="0"/>
          <w:numId w:val="22"/>
        </w:numPr>
        <w:jc w:val="both"/>
        <w:rPr>
          <w:rFonts w:ascii="Calibri" w:eastAsia="Calibri" w:hAnsi="Calibri" w:cs="Calibri"/>
        </w:rPr>
      </w:pPr>
      <w:r>
        <w:rPr>
          <w:rFonts w:ascii="Calibri" w:eastAsia="Calibri" w:hAnsi="Calibri" w:cs="Calibri"/>
        </w:rPr>
        <w:t>M</w:t>
      </w:r>
      <w:r w:rsidRPr="00CB51D7">
        <w:rPr>
          <w:rFonts w:ascii="Calibri" w:eastAsia="Calibri" w:hAnsi="Calibri" w:cs="Calibri"/>
        </w:rPr>
        <w:t xml:space="preserve">atch </w:t>
      </w:r>
      <w:r w:rsidR="005F093A">
        <w:rPr>
          <w:rFonts w:ascii="Calibri" w:eastAsia="Calibri" w:hAnsi="Calibri" w:cs="Calibri"/>
        </w:rPr>
        <w:t xml:space="preserve">key indicators on </w:t>
      </w:r>
      <w:r w:rsidRPr="00CB51D7">
        <w:rPr>
          <w:rFonts w:ascii="Calibri" w:eastAsia="Calibri" w:hAnsi="Calibri" w:cs="Calibri"/>
        </w:rPr>
        <w:t xml:space="preserve">ecosystem condition identified in recent MAES work </w:t>
      </w:r>
    </w:p>
    <w:p w14:paraId="61E2F255" w14:textId="261595DE" w:rsidR="006E6334" w:rsidRDefault="00BF12AA" w:rsidP="006E6334">
      <w:pPr>
        <w:pStyle w:val="ListParagraph"/>
        <w:numPr>
          <w:ilvl w:val="0"/>
          <w:numId w:val="22"/>
        </w:numPr>
        <w:jc w:val="both"/>
        <w:rPr>
          <w:rFonts w:ascii="Calibri" w:eastAsia="Calibri" w:hAnsi="Calibri" w:cs="Calibri"/>
        </w:rPr>
      </w:pPr>
      <w:r>
        <w:rPr>
          <w:rFonts w:ascii="Calibri" w:eastAsia="Calibri" w:hAnsi="Calibri" w:cs="Calibri"/>
        </w:rPr>
        <w:t xml:space="preserve">Be </w:t>
      </w:r>
      <w:r w:rsidR="006E6334" w:rsidRPr="00CB51D7">
        <w:rPr>
          <w:rFonts w:ascii="Calibri" w:eastAsia="Calibri" w:hAnsi="Calibri" w:cs="Calibri"/>
        </w:rPr>
        <w:t xml:space="preserve">comparable across all MAES ecosystem types </w:t>
      </w:r>
      <w:r>
        <w:rPr>
          <w:rFonts w:ascii="Calibri" w:eastAsia="Calibri" w:hAnsi="Calibri" w:cs="Calibri"/>
        </w:rPr>
        <w:t xml:space="preserve">to which they are applicable </w:t>
      </w:r>
    </w:p>
    <w:p w14:paraId="1ADEE88A" w14:textId="2CFE4C35" w:rsidR="006E6334" w:rsidRPr="005F093A" w:rsidRDefault="00BF12AA" w:rsidP="006E6334">
      <w:pPr>
        <w:pStyle w:val="ListParagraph"/>
        <w:numPr>
          <w:ilvl w:val="0"/>
          <w:numId w:val="22"/>
        </w:numPr>
        <w:jc w:val="both"/>
        <w:rPr>
          <w:rFonts w:ascii="Calibri" w:eastAsia="Calibri" w:hAnsi="Calibri" w:cs="Calibri"/>
        </w:rPr>
      </w:pPr>
      <w:r>
        <w:rPr>
          <w:rFonts w:ascii="Calibri" w:eastAsia="Calibri" w:hAnsi="Calibri" w:cs="Calibri"/>
        </w:rPr>
        <w:t>Support an analysis of the link between</w:t>
      </w:r>
      <w:r w:rsidR="006E6334" w:rsidRPr="00CB51D7">
        <w:rPr>
          <w:rFonts w:ascii="Calibri" w:eastAsia="Calibri" w:hAnsi="Calibri" w:cs="Calibri"/>
        </w:rPr>
        <w:t xml:space="preserve"> ecosystem </w:t>
      </w:r>
      <w:r>
        <w:rPr>
          <w:rFonts w:ascii="Calibri" w:eastAsia="Calibri" w:hAnsi="Calibri" w:cs="Calibri"/>
        </w:rPr>
        <w:t xml:space="preserve">condition and </w:t>
      </w:r>
      <w:r w:rsidR="006E6334" w:rsidRPr="00CB51D7">
        <w:rPr>
          <w:rFonts w:ascii="Calibri" w:eastAsia="Calibri" w:hAnsi="Calibri" w:cs="Calibri"/>
        </w:rPr>
        <w:t xml:space="preserve">service delivery </w:t>
      </w:r>
    </w:p>
    <w:p w14:paraId="47C0DD7C" w14:textId="746BC5EB" w:rsidR="00B83720" w:rsidRDefault="006E6334" w:rsidP="00BF12AA">
      <w:pPr>
        <w:pStyle w:val="ListParagraph"/>
        <w:numPr>
          <w:ilvl w:val="0"/>
          <w:numId w:val="22"/>
        </w:numPr>
        <w:jc w:val="both"/>
        <w:rPr>
          <w:rFonts w:ascii="Calibri" w:eastAsia="Calibri" w:hAnsi="Calibri" w:cs="Calibri"/>
        </w:rPr>
      </w:pPr>
      <w:r>
        <w:rPr>
          <w:rFonts w:ascii="Calibri" w:eastAsia="Calibri" w:hAnsi="Calibri" w:cs="Calibri"/>
        </w:rPr>
        <w:t>Be able to o</w:t>
      </w:r>
      <w:r w:rsidR="00B83720">
        <w:rPr>
          <w:rFonts w:ascii="Calibri" w:eastAsia="Calibri" w:hAnsi="Calibri" w:cs="Calibri"/>
        </w:rPr>
        <w:t xml:space="preserve">rganise information at the scale of </w:t>
      </w:r>
      <w:r w:rsidR="00B83720" w:rsidRPr="00B83720">
        <w:rPr>
          <w:rFonts w:ascii="Calibri" w:eastAsia="Calibri" w:hAnsi="Calibri" w:cs="Calibri"/>
        </w:rPr>
        <w:t xml:space="preserve">functional ecological units (water basins, </w:t>
      </w:r>
      <w:r w:rsidR="00BF12AA">
        <w:rPr>
          <w:rFonts w:ascii="Calibri" w:eastAsia="Calibri" w:hAnsi="Calibri" w:cs="Calibri"/>
        </w:rPr>
        <w:t xml:space="preserve">mountain ranges, </w:t>
      </w:r>
      <w:r w:rsidR="00B83720" w:rsidRPr="00B83720">
        <w:rPr>
          <w:rFonts w:ascii="Calibri" w:eastAsia="Calibri" w:hAnsi="Calibri" w:cs="Calibri"/>
        </w:rPr>
        <w:t>ecosystem types, etc.)</w:t>
      </w:r>
      <w:r w:rsidR="00BF12AA">
        <w:rPr>
          <w:rFonts w:ascii="Calibri" w:eastAsia="Calibri" w:hAnsi="Calibri" w:cs="Calibri"/>
        </w:rPr>
        <w:t>, e.g. by linking to the</w:t>
      </w:r>
      <w:r w:rsidR="00BF12AA" w:rsidRPr="00195EA5">
        <w:rPr>
          <w:rFonts w:ascii="Calibri" w:eastAsia="Calibri" w:hAnsi="Calibri" w:cs="Calibri"/>
        </w:rPr>
        <w:t xml:space="preserve"> 1km grid </w:t>
      </w:r>
      <w:r w:rsidR="00BF12AA">
        <w:rPr>
          <w:rFonts w:ascii="Calibri" w:eastAsia="Calibri" w:hAnsi="Calibri" w:cs="Calibri"/>
        </w:rPr>
        <w:t xml:space="preserve">used by the EEA as </w:t>
      </w:r>
      <w:r w:rsidR="00BF12AA" w:rsidRPr="00195EA5">
        <w:rPr>
          <w:rFonts w:ascii="Calibri" w:eastAsia="Calibri" w:hAnsi="Calibri" w:cs="Calibri"/>
        </w:rPr>
        <w:t>core accounting grid</w:t>
      </w:r>
    </w:p>
    <w:p w14:paraId="45FD48BC" w14:textId="51EEF36A" w:rsidR="00BF12AA" w:rsidRDefault="00BF12AA" w:rsidP="00B83720">
      <w:pPr>
        <w:pStyle w:val="ListParagraph"/>
        <w:numPr>
          <w:ilvl w:val="0"/>
          <w:numId w:val="22"/>
        </w:numPr>
        <w:jc w:val="both"/>
        <w:rPr>
          <w:rFonts w:ascii="Calibri" w:eastAsia="Calibri" w:hAnsi="Calibri" w:cs="Calibri"/>
        </w:rPr>
      </w:pPr>
      <w:r>
        <w:rPr>
          <w:rFonts w:ascii="Calibri" w:eastAsia="Calibri" w:hAnsi="Calibri" w:cs="Calibri"/>
        </w:rPr>
        <w:t>Be well-suited to detecting signals of change</w:t>
      </w:r>
    </w:p>
    <w:p w14:paraId="7AA21CAC" w14:textId="7AF6E5AE" w:rsidR="006E6334" w:rsidRPr="00195EA5" w:rsidRDefault="006E6334" w:rsidP="006E6334">
      <w:pPr>
        <w:pStyle w:val="ListParagraph"/>
        <w:numPr>
          <w:ilvl w:val="0"/>
          <w:numId w:val="22"/>
        </w:numPr>
        <w:jc w:val="both"/>
        <w:rPr>
          <w:rFonts w:ascii="Calibri" w:eastAsia="Calibri" w:hAnsi="Calibri" w:cs="Calibri"/>
        </w:rPr>
      </w:pPr>
      <w:r>
        <w:rPr>
          <w:rFonts w:ascii="Calibri" w:eastAsia="Calibri" w:hAnsi="Calibri" w:cs="Calibri"/>
        </w:rPr>
        <w:t>Be h</w:t>
      </w:r>
      <w:r w:rsidRPr="00195EA5">
        <w:rPr>
          <w:rFonts w:ascii="Calibri" w:eastAsia="Calibri" w:hAnsi="Calibri" w:cs="Calibri"/>
        </w:rPr>
        <w:t>armonised, geo-referenced and quality assured</w:t>
      </w:r>
    </w:p>
    <w:p w14:paraId="411C6D83" w14:textId="3FF8BDE1" w:rsidR="006E6334" w:rsidRPr="00581B33" w:rsidRDefault="006E6334" w:rsidP="006E6334">
      <w:pPr>
        <w:pStyle w:val="ListParagraph"/>
        <w:numPr>
          <w:ilvl w:val="0"/>
          <w:numId w:val="22"/>
        </w:numPr>
        <w:jc w:val="both"/>
        <w:rPr>
          <w:rFonts w:ascii="Calibri" w:eastAsia="Calibri" w:hAnsi="Calibri" w:cs="Calibri"/>
        </w:rPr>
      </w:pPr>
      <w:r w:rsidRPr="00195EA5">
        <w:rPr>
          <w:rFonts w:ascii="Calibri" w:eastAsia="Calibri" w:hAnsi="Calibri" w:cs="Calibri"/>
        </w:rPr>
        <w:t>Updated</w:t>
      </w:r>
      <w:r>
        <w:rPr>
          <w:rFonts w:ascii="Calibri" w:eastAsia="Calibri" w:hAnsi="Calibri" w:cs="Calibri"/>
        </w:rPr>
        <w:t xml:space="preserve"> on a </w:t>
      </w:r>
      <w:r w:rsidRPr="00195EA5">
        <w:rPr>
          <w:rFonts w:ascii="Calibri" w:eastAsia="Calibri" w:hAnsi="Calibri" w:cs="Calibri"/>
        </w:rPr>
        <w:t>regular basis</w:t>
      </w:r>
      <w:r w:rsidR="00BF12AA">
        <w:rPr>
          <w:rFonts w:ascii="Calibri" w:eastAsia="Calibri" w:hAnsi="Calibri" w:cs="Calibri"/>
        </w:rPr>
        <w:t xml:space="preserve"> &amp; fully documented </w:t>
      </w:r>
    </w:p>
    <w:p w14:paraId="2CEC8DCF" w14:textId="77777777" w:rsidR="00F575FA" w:rsidRDefault="00F575FA" w:rsidP="002F7B3B">
      <w:pPr>
        <w:jc w:val="both"/>
        <w:rPr>
          <w:rFonts w:ascii="Calibri" w:eastAsia="Calibri" w:hAnsi="Calibri" w:cs="Calibri"/>
        </w:rPr>
      </w:pPr>
    </w:p>
    <w:p w14:paraId="6EF43626" w14:textId="0E22BFDE" w:rsidR="005808CA" w:rsidRDefault="005808CA" w:rsidP="005808CA">
      <w:pPr>
        <w:jc w:val="both"/>
        <w:rPr>
          <w:rFonts w:ascii="Calibri" w:eastAsia="Calibri" w:hAnsi="Calibri" w:cs="Calibri"/>
          <w:b/>
        </w:rPr>
      </w:pPr>
      <w:r>
        <w:rPr>
          <w:rFonts w:ascii="Calibri" w:eastAsia="Calibri" w:hAnsi="Calibri" w:cs="Calibri"/>
          <w:b/>
        </w:rPr>
        <w:t>4</w:t>
      </w:r>
      <w:r w:rsidRPr="00FB516F">
        <w:rPr>
          <w:rFonts w:ascii="Calibri" w:eastAsia="Calibri" w:hAnsi="Calibri" w:cs="Calibri"/>
          <w:b/>
        </w:rPr>
        <w:t>.</w:t>
      </w:r>
      <w:r>
        <w:rPr>
          <w:rFonts w:ascii="Calibri" w:eastAsia="Calibri" w:hAnsi="Calibri" w:cs="Calibri"/>
          <w:b/>
        </w:rPr>
        <w:t xml:space="preserve"> How can Copernicus data help?</w:t>
      </w:r>
    </w:p>
    <w:p w14:paraId="29CE3542" w14:textId="77777777" w:rsidR="005808CA" w:rsidRDefault="005808CA" w:rsidP="005808CA">
      <w:pPr>
        <w:jc w:val="both"/>
        <w:rPr>
          <w:rFonts w:ascii="Calibri" w:eastAsia="Calibri" w:hAnsi="Calibri" w:cs="Calibri"/>
          <w:b/>
        </w:rPr>
      </w:pPr>
    </w:p>
    <w:p w14:paraId="66DDFCB7" w14:textId="1E59A6AF" w:rsidR="005808CA" w:rsidRDefault="005808CA" w:rsidP="005808CA">
      <w:pPr>
        <w:jc w:val="both"/>
        <w:rPr>
          <w:rFonts w:ascii="Calibri" w:eastAsia="Calibri" w:hAnsi="Calibri" w:cs="Calibri"/>
        </w:rPr>
      </w:pPr>
      <w:r w:rsidRPr="00DB111F">
        <w:rPr>
          <w:rFonts w:ascii="Calibri" w:eastAsia="Calibri" w:hAnsi="Calibri" w:cs="Calibri"/>
        </w:rPr>
        <w:t>What sets the Coperni</w:t>
      </w:r>
      <w:r>
        <w:rPr>
          <w:rFonts w:ascii="Calibri" w:eastAsia="Calibri" w:hAnsi="Calibri" w:cs="Calibri"/>
        </w:rPr>
        <w:t>cus programme apart from other earth observation</w:t>
      </w:r>
      <w:r w:rsidRPr="00DB111F">
        <w:rPr>
          <w:rFonts w:ascii="Calibri" w:eastAsia="Calibri" w:hAnsi="Calibri" w:cs="Calibri"/>
        </w:rPr>
        <w:t xml:space="preserve"> programmes is that it is service-oriented and not experimental or focused on research and development. A service implies a specific customer with needs to be met, dependent on delivery on time and on budget. Therefore Copernicus is founded on the core principle of continuity of observation and free and open access for a set of core users in key thematic domains. The services provided consist of spatially continuous data products and the spatial data infrastructure to access them</w:t>
      </w:r>
      <w:r>
        <w:rPr>
          <w:rFonts w:ascii="Calibri" w:eastAsia="Calibri" w:hAnsi="Calibri" w:cs="Calibri"/>
        </w:rPr>
        <w:t>,</w:t>
      </w:r>
      <w:r w:rsidRPr="00DB111F">
        <w:rPr>
          <w:rFonts w:ascii="Calibri" w:eastAsia="Calibri" w:hAnsi="Calibri" w:cs="Calibri"/>
        </w:rPr>
        <w:t xml:space="preserve"> as well as supporting documentation to use them.</w:t>
      </w:r>
      <w:r w:rsidR="00BF12AA">
        <w:rPr>
          <w:rFonts w:ascii="Calibri" w:eastAsia="Calibri" w:hAnsi="Calibri" w:cs="Calibri"/>
        </w:rPr>
        <w:t xml:space="preserve"> Copernicus products are designed to be user-friendly and therefore do not require an ability to process primary satellite data sets. </w:t>
      </w:r>
      <w:r w:rsidRPr="00DB111F">
        <w:rPr>
          <w:rFonts w:ascii="Calibri" w:eastAsia="Calibri" w:hAnsi="Calibri" w:cs="Calibri"/>
        </w:rPr>
        <w:t>The spatial data products are routinely produced and come with well documented and, in some cases, peer-reviewed methodologies and validation protocols. Being an operational service, product validation is key to ensure product reliability and performance in real world applications.</w:t>
      </w:r>
    </w:p>
    <w:p w14:paraId="6D34ED37" w14:textId="77777777" w:rsidR="005808CA" w:rsidRDefault="005808CA" w:rsidP="005808CA">
      <w:pPr>
        <w:jc w:val="both"/>
        <w:rPr>
          <w:rFonts w:ascii="Calibri" w:eastAsia="Calibri" w:hAnsi="Calibri" w:cs="Calibri"/>
        </w:rPr>
      </w:pPr>
    </w:p>
    <w:p w14:paraId="1D06B156" w14:textId="77777777" w:rsidR="00AC7ABB" w:rsidRDefault="005808CA" w:rsidP="00DC38DE">
      <w:pPr>
        <w:jc w:val="both"/>
        <w:rPr>
          <w:rFonts w:ascii="Calibri" w:eastAsia="Calibri" w:hAnsi="Calibri" w:cs="Calibri"/>
          <w:b/>
        </w:rPr>
      </w:pPr>
      <w:r w:rsidRPr="00DB111F">
        <w:rPr>
          <w:rFonts w:ascii="Calibri" w:eastAsia="Calibri" w:hAnsi="Calibri" w:cs="Calibri"/>
        </w:rPr>
        <w:t xml:space="preserve">The accessibility and ability of Copernicus products and services to monitor ecosystem characteristics over space and time make them well-suited for supporting ecosystem accounting.  In particular, the land services theme of the Copernicus programme provides a strong data foundation for the terrestrial context. </w:t>
      </w:r>
      <w:r w:rsidRPr="00FB516F">
        <w:rPr>
          <w:rFonts w:ascii="Calibri" w:eastAsia="Calibri" w:hAnsi="Calibri" w:cs="Calibri"/>
          <w:b/>
        </w:rPr>
        <w:t xml:space="preserve"> </w:t>
      </w:r>
      <w:r w:rsidRPr="00783C98">
        <w:rPr>
          <w:rFonts w:ascii="Calibri" w:eastAsia="Calibri" w:hAnsi="Calibri" w:cs="Calibri"/>
        </w:rPr>
        <w:t>They provide robust, quality assured</w:t>
      </w:r>
      <w:r w:rsidR="00014408">
        <w:rPr>
          <w:rFonts w:ascii="Calibri" w:eastAsia="Calibri" w:hAnsi="Calibri" w:cs="Calibri"/>
        </w:rPr>
        <w:t>,</w:t>
      </w:r>
      <w:r w:rsidRPr="00783C98">
        <w:rPr>
          <w:rFonts w:ascii="Calibri" w:eastAsia="Calibri" w:hAnsi="Calibri" w:cs="Calibri"/>
        </w:rPr>
        <w:t xml:space="preserve"> regular and repeatable coverage of spatial data that is not only consistent over both space and time but also at the resolution required to support ecosystem accounting. Furthermore, the thematic breadth of the land service products is likely to yield spatial data </w:t>
      </w:r>
      <w:r w:rsidR="00014408">
        <w:rPr>
          <w:rFonts w:ascii="Calibri" w:eastAsia="Calibri" w:hAnsi="Calibri" w:cs="Calibri"/>
        </w:rPr>
        <w:t xml:space="preserve">that are </w:t>
      </w:r>
      <w:r w:rsidRPr="00783C98">
        <w:rPr>
          <w:rFonts w:ascii="Calibri" w:eastAsia="Calibri" w:hAnsi="Calibri" w:cs="Calibri"/>
        </w:rPr>
        <w:t xml:space="preserve">applicable to </w:t>
      </w:r>
      <w:r w:rsidR="00014408">
        <w:rPr>
          <w:rFonts w:ascii="Calibri" w:eastAsia="Calibri" w:hAnsi="Calibri" w:cs="Calibri"/>
        </w:rPr>
        <w:t>a wide range of the parameters required to establish the</w:t>
      </w:r>
      <w:r w:rsidRPr="00783C98">
        <w:rPr>
          <w:rFonts w:ascii="Calibri" w:eastAsia="Calibri" w:hAnsi="Calibri" w:cs="Calibri"/>
        </w:rPr>
        <w:t xml:space="preserve"> ecosystem extent, condition and services accounts of the SEEA EEA handbook</w:t>
      </w:r>
      <w:r w:rsidR="00014408">
        <w:rPr>
          <w:rFonts w:ascii="Calibri" w:eastAsia="Calibri" w:hAnsi="Calibri" w:cs="Calibri"/>
        </w:rPr>
        <w:t>.</w:t>
      </w:r>
    </w:p>
    <w:p w14:paraId="0B43C8E5" w14:textId="77777777" w:rsidR="00AC7ABB" w:rsidRDefault="00AC7ABB" w:rsidP="00DC38DE">
      <w:pPr>
        <w:jc w:val="both"/>
        <w:rPr>
          <w:rFonts w:ascii="Calibri" w:eastAsia="Calibri" w:hAnsi="Calibri" w:cs="Calibri"/>
          <w:b/>
        </w:rPr>
      </w:pPr>
    </w:p>
    <w:p w14:paraId="62E2A308" w14:textId="427EC099" w:rsidR="00DC38DE" w:rsidRDefault="00AC7ABB" w:rsidP="00DC38DE">
      <w:pPr>
        <w:jc w:val="both"/>
        <w:rPr>
          <w:rFonts w:ascii="Calibri" w:eastAsia="Calibri" w:hAnsi="Calibri" w:cs="Calibri"/>
          <w:b/>
        </w:rPr>
      </w:pPr>
      <w:r>
        <w:rPr>
          <w:rFonts w:ascii="Calibri" w:eastAsia="Calibri" w:hAnsi="Calibri" w:cs="Calibri"/>
          <w:b/>
        </w:rPr>
        <w:t>5</w:t>
      </w:r>
      <w:r w:rsidR="00DC38DE">
        <w:rPr>
          <w:rFonts w:ascii="Calibri" w:eastAsia="Calibri" w:hAnsi="Calibri" w:cs="Calibri"/>
          <w:b/>
        </w:rPr>
        <w:t>. Workshop objective</w:t>
      </w:r>
    </w:p>
    <w:p w14:paraId="2B9562B1" w14:textId="77777777" w:rsidR="00DC38DE" w:rsidRDefault="00DC38DE" w:rsidP="00DC38DE">
      <w:pPr>
        <w:jc w:val="both"/>
        <w:rPr>
          <w:rFonts w:ascii="Calibri" w:eastAsia="Calibri" w:hAnsi="Calibri" w:cs="Calibri"/>
          <w:b/>
        </w:rPr>
      </w:pPr>
    </w:p>
    <w:p w14:paraId="1CF7F2A6" w14:textId="7B10FD6B" w:rsidR="00DC38DE" w:rsidRDefault="00DC38DE" w:rsidP="00DC38DE">
      <w:pPr>
        <w:jc w:val="both"/>
        <w:rPr>
          <w:rFonts w:ascii="Calibri" w:eastAsia="Calibri" w:hAnsi="Calibri" w:cs="Calibri"/>
        </w:rPr>
      </w:pPr>
      <w:r>
        <w:rPr>
          <w:rFonts w:ascii="Calibri" w:eastAsia="Calibri" w:hAnsi="Calibri" w:cs="Calibri"/>
        </w:rPr>
        <w:t>T</w:t>
      </w:r>
      <w:r w:rsidRPr="00344A34">
        <w:rPr>
          <w:rFonts w:ascii="Calibri" w:eastAsia="Calibri" w:hAnsi="Calibri" w:cs="Calibri"/>
        </w:rPr>
        <w:t>h</w:t>
      </w:r>
      <w:r>
        <w:rPr>
          <w:rFonts w:ascii="Calibri" w:eastAsia="Calibri" w:hAnsi="Calibri" w:cs="Calibri"/>
        </w:rPr>
        <w:t>is</w:t>
      </w:r>
      <w:r w:rsidRPr="00344A34">
        <w:rPr>
          <w:rFonts w:ascii="Calibri" w:eastAsia="Calibri" w:hAnsi="Calibri" w:cs="Calibri"/>
        </w:rPr>
        <w:t xml:space="preserve"> workshop </w:t>
      </w:r>
      <w:r>
        <w:rPr>
          <w:rFonts w:ascii="Calibri" w:eastAsia="Calibri" w:hAnsi="Calibri" w:cs="Calibri"/>
        </w:rPr>
        <w:t>will</w:t>
      </w:r>
      <w:r w:rsidRPr="00344A34">
        <w:rPr>
          <w:rFonts w:ascii="Calibri" w:eastAsia="Calibri" w:hAnsi="Calibri" w:cs="Calibri"/>
        </w:rPr>
        <w:t xml:space="preserve"> </w:t>
      </w:r>
      <w:r>
        <w:rPr>
          <w:rFonts w:ascii="Calibri" w:eastAsia="Calibri" w:hAnsi="Calibri" w:cs="Calibri"/>
        </w:rPr>
        <w:t xml:space="preserve">bring together a small group (around 10 participants) of practitioners in Earth Observation, Ecosystem Accounting and Assessment </w:t>
      </w:r>
      <w:r w:rsidR="00014408">
        <w:rPr>
          <w:rFonts w:ascii="Calibri" w:eastAsia="Calibri" w:hAnsi="Calibri" w:cs="Calibri"/>
        </w:rPr>
        <w:t xml:space="preserve">to </w:t>
      </w:r>
      <w:r>
        <w:rPr>
          <w:rFonts w:ascii="Calibri" w:eastAsia="Calibri" w:hAnsi="Calibri" w:cs="Calibri"/>
        </w:rPr>
        <w:t>establish</w:t>
      </w:r>
      <w:r w:rsidRPr="005F3EA3">
        <w:rPr>
          <w:rFonts w:ascii="Calibri" w:eastAsia="Calibri" w:hAnsi="Calibri" w:cs="Calibri"/>
        </w:rPr>
        <w:t xml:space="preserve"> how Copernicus data can </w:t>
      </w:r>
      <w:r>
        <w:rPr>
          <w:rFonts w:ascii="Calibri" w:eastAsia="Calibri" w:hAnsi="Calibri" w:cs="Calibri"/>
        </w:rPr>
        <w:t>best support KIP-INCA and ecosystem accounting generally.  The</w:t>
      </w:r>
      <w:r w:rsidRPr="005F3EA3">
        <w:rPr>
          <w:rFonts w:ascii="Calibri" w:eastAsia="Calibri" w:hAnsi="Calibri" w:cs="Calibri"/>
        </w:rPr>
        <w:t xml:space="preserve"> objective </w:t>
      </w:r>
      <w:r>
        <w:rPr>
          <w:rFonts w:ascii="Calibri" w:eastAsia="Calibri" w:hAnsi="Calibri" w:cs="Calibri"/>
        </w:rPr>
        <w:t>is to</w:t>
      </w:r>
      <w:r w:rsidRPr="005F3EA3">
        <w:rPr>
          <w:rFonts w:ascii="Calibri" w:eastAsia="Calibri" w:hAnsi="Calibri" w:cs="Calibri"/>
        </w:rPr>
        <w:t xml:space="preserve"> identify</w:t>
      </w:r>
      <w:r>
        <w:rPr>
          <w:rFonts w:ascii="Calibri" w:eastAsia="Calibri" w:hAnsi="Calibri" w:cs="Calibri"/>
        </w:rPr>
        <w:t xml:space="preserve"> all</w:t>
      </w:r>
      <w:r w:rsidRPr="005F3EA3">
        <w:rPr>
          <w:rFonts w:ascii="Calibri" w:eastAsia="Calibri" w:hAnsi="Calibri" w:cs="Calibri"/>
        </w:rPr>
        <w:t xml:space="preserve"> Copernicus activities </w:t>
      </w:r>
      <w:r>
        <w:rPr>
          <w:rFonts w:ascii="Calibri" w:eastAsia="Calibri" w:hAnsi="Calibri" w:cs="Calibri"/>
        </w:rPr>
        <w:t xml:space="preserve">and ecosystem accounting reference data </w:t>
      </w:r>
      <w:r w:rsidRPr="005F3EA3">
        <w:rPr>
          <w:rFonts w:ascii="Calibri" w:eastAsia="Calibri" w:hAnsi="Calibri" w:cs="Calibri"/>
        </w:rPr>
        <w:t xml:space="preserve">that can inform </w:t>
      </w:r>
      <w:r>
        <w:rPr>
          <w:rFonts w:ascii="Calibri" w:eastAsia="Calibri" w:hAnsi="Calibri" w:cs="Calibri"/>
        </w:rPr>
        <w:t xml:space="preserve">the compilation of the </w:t>
      </w:r>
      <w:r w:rsidRPr="005F3EA3">
        <w:rPr>
          <w:rFonts w:ascii="Calibri" w:eastAsia="Calibri" w:hAnsi="Calibri" w:cs="Calibri"/>
        </w:rPr>
        <w:t xml:space="preserve">different </w:t>
      </w:r>
      <w:r>
        <w:rPr>
          <w:rFonts w:ascii="Calibri" w:eastAsia="Calibri" w:hAnsi="Calibri" w:cs="Calibri"/>
        </w:rPr>
        <w:t xml:space="preserve">core bio-physical </w:t>
      </w:r>
      <w:r w:rsidRPr="005F3EA3">
        <w:rPr>
          <w:rFonts w:ascii="Calibri" w:eastAsia="Calibri" w:hAnsi="Calibri" w:cs="Calibri"/>
        </w:rPr>
        <w:t>ecosystem accounting modules</w:t>
      </w:r>
      <w:r>
        <w:rPr>
          <w:rFonts w:ascii="Calibri" w:eastAsia="Calibri" w:hAnsi="Calibri" w:cs="Calibri"/>
        </w:rPr>
        <w:t xml:space="preserve"> (i.e., </w:t>
      </w:r>
      <w:r w:rsidRPr="005F3EA3">
        <w:rPr>
          <w:rFonts w:ascii="Calibri" w:eastAsia="Calibri" w:hAnsi="Calibri" w:cs="Calibri"/>
        </w:rPr>
        <w:t xml:space="preserve">ecosystem </w:t>
      </w:r>
      <w:r>
        <w:rPr>
          <w:rFonts w:ascii="Calibri" w:eastAsia="Calibri" w:hAnsi="Calibri" w:cs="Calibri"/>
        </w:rPr>
        <w:t>extent, condition and services) and how these can best be developed. To this end workshop participants will:</w:t>
      </w:r>
    </w:p>
    <w:p w14:paraId="6F2495AE" w14:textId="77777777" w:rsidR="00DC38DE" w:rsidRDefault="00DC38DE" w:rsidP="00DC38DE">
      <w:pPr>
        <w:jc w:val="both"/>
        <w:rPr>
          <w:rFonts w:ascii="Calibri" w:eastAsia="Calibri" w:hAnsi="Calibri" w:cs="Calibri"/>
        </w:rPr>
      </w:pPr>
    </w:p>
    <w:p w14:paraId="698F2A12" w14:textId="538448FD" w:rsidR="00DC38DE" w:rsidRDefault="00DC38DE" w:rsidP="00DC38DE">
      <w:pPr>
        <w:pStyle w:val="ListParagraph"/>
        <w:numPr>
          <w:ilvl w:val="0"/>
          <w:numId w:val="26"/>
        </w:numPr>
        <w:jc w:val="both"/>
        <w:rPr>
          <w:rFonts w:ascii="Calibri" w:eastAsia="Calibri" w:hAnsi="Calibri" w:cs="Calibri"/>
        </w:rPr>
      </w:pPr>
      <w:r>
        <w:rPr>
          <w:rFonts w:ascii="Calibri" w:eastAsia="Calibri" w:hAnsi="Calibri" w:cs="Calibri"/>
        </w:rPr>
        <w:t xml:space="preserve">Review </w:t>
      </w:r>
      <w:r w:rsidR="005808CA">
        <w:rPr>
          <w:rFonts w:ascii="Calibri" w:eastAsia="Calibri" w:hAnsi="Calibri" w:cs="Calibri"/>
        </w:rPr>
        <w:t>and develop</w:t>
      </w:r>
      <w:r w:rsidRPr="00623E78">
        <w:rPr>
          <w:rFonts w:ascii="Calibri" w:eastAsia="Calibri" w:hAnsi="Calibri" w:cs="Calibri"/>
        </w:rPr>
        <w:t xml:space="preserve"> a</w:t>
      </w:r>
      <w:r w:rsidR="005808CA">
        <w:rPr>
          <w:rFonts w:ascii="Calibri" w:eastAsia="Calibri" w:hAnsi="Calibri" w:cs="Calibri"/>
        </w:rPr>
        <w:t xml:space="preserve"> </w:t>
      </w:r>
      <w:r w:rsidRPr="00623E78">
        <w:rPr>
          <w:rFonts w:ascii="Calibri" w:eastAsia="Calibri" w:hAnsi="Calibri" w:cs="Calibri"/>
        </w:rPr>
        <w:t xml:space="preserve">database linking current and future Copernicus Earth Observation and </w:t>
      </w:r>
      <w:r w:rsidRPr="00623E78">
        <w:rPr>
          <w:rFonts w:ascii="Calibri" w:eastAsia="Calibri" w:hAnsi="Calibri" w:cs="Calibri"/>
          <w:i/>
        </w:rPr>
        <w:t xml:space="preserve">in-situ </w:t>
      </w:r>
      <w:r w:rsidRPr="00623E78">
        <w:rPr>
          <w:rFonts w:ascii="Calibri" w:eastAsia="Calibri" w:hAnsi="Calibri" w:cs="Calibri"/>
        </w:rPr>
        <w:t>products and services to different ecosystem accounting modules</w:t>
      </w:r>
      <w:r>
        <w:rPr>
          <w:rFonts w:ascii="Calibri" w:eastAsia="Calibri" w:hAnsi="Calibri" w:cs="Calibri"/>
        </w:rPr>
        <w:t xml:space="preserve"> (a </w:t>
      </w:r>
      <w:r w:rsidR="005808CA">
        <w:rPr>
          <w:rFonts w:ascii="Calibri" w:eastAsia="Calibri" w:hAnsi="Calibri" w:cs="Calibri"/>
        </w:rPr>
        <w:t xml:space="preserve">first </w:t>
      </w:r>
      <w:r>
        <w:rPr>
          <w:rFonts w:ascii="Calibri" w:eastAsia="Calibri" w:hAnsi="Calibri" w:cs="Calibri"/>
        </w:rPr>
        <w:t>draft is appended);</w:t>
      </w:r>
      <w:r w:rsidRPr="00623E78">
        <w:rPr>
          <w:rFonts w:ascii="Calibri" w:eastAsia="Calibri" w:hAnsi="Calibri" w:cs="Calibri"/>
        </w:rPr>
        <w:t xml:space="preserve"> and</w:t>
      </w:r>
      <w:r>
        <w:rPr>
          <w:rFonts w:ascii="Calibri" w:eastAsia="Calibri" w:hAnsi="Calibri" w:cs="Calibri"/>
        </w:rPr>
        <w:t>,</w:t>
      </w:r>
      <w:r w:rsidRPr="00623E78">
        <w:rPr>
          <w:rFonts w:ascii="Calibri" w:eastAsia="Calibri" w:hAnsi="Calibri" w:cs="Calibri"/>
        </w:rPr>
        <w:t xml:space="preserve"> </w:t>
      </w:r>
    </w:p>
    <w:p w14:paraId="344DEA1A" w14:textId="77777777" w:rsidR="00DC38DE" w:rsidRDefault="00DC38DE" w:rsidP="00DC38DE">
      <w:pPr>
        <w:pStyle w:val="ListParagraph"/>
        <w:numPr>
          <w:ilvl w:val="0"/>
          <w:numId w:val="26"/>
        </w:numPr>
        <w:jc w:val="both"/>
        <w:rPr>
          <w:rFonts w:ascii="Calibri" w:eastAsia="Calibri" w:hAnsi="Calibri" w:cs="Calibri"/>
        </w:rPr>
      </w:pPr>
      <w:r w:rsidRPr="00623E78">
        <w:rPr>
          <w:rFonts w:ascii="Calibri" w:eastAsia="Calibri" w:hAnsi="Calibri" w:cs="Calibri"/>
        </w:rPr>
        <w:t>Identify</w:t>
      </w:r>
      <w:r>
        <w:rPr>
          <w:rFonts w:ascii="Calibri" w:eastAsia="Calibri" w:hAnsi="Calibri" w:cs="Calibri"/>
        </w:rPr>
        <w:t xml:space="preserve"> the</w:t>
      </w:r>
      <w:r w:rsidRPr="00623E78">
        <w:rPr>
          <w:rFonts w:ascii="Calibri" w:eastAsia="Calibri" w:hAnsi="Calibri" w:cs="Calibri"/>
        </w:rPr>
        <w:t xml:space="preserve"> key opportunities to develop Copernicus activities and datasets to support ecosystem accounting.  </w:t>
      </w:r>
    </w:p>
    <w:p w14:paraId="2C1AC110" w14:textId="77777777" w:rsidR="00DC38DE" w:rsidRDefault="00DC38DE" w:rsidP="00195EA5">
      <w:pPr>
        <w:jc w:val="both"/>
        <w:rPr>
          <w:rFonts w:ascii="Calibri" w:eastAsia="Calibri" w:hAnsi="Calibri" w:cs="Calibri"/>
          <w:b/>
        </w:rPr>
      </w:pPr>
    </w:p>
    <w:p w14:paraId="13975AED" w14:textId="40449E21" w:rsidR="00195EA5" w:rsidRDefault="00DC38DE" w:rsidP="00195EA5">
      <w:pPr>
        <w:jc w:val="both"/>
        <w:rPr>
          <w:rFonts w:ascii="Calibri" w:eastAsia="Calibri" w:hAnsi="Calibri" w:cs="Calibri"/>
          <w:b/>
        </w:rPr>
      </w:pPr>
      <w:r>
        <w:rPr>
          <w:rFonts w:ascii="Calibri" w:eastAsia="Calibri" w:hAnsi="Calibri" w:cs="Calibri"/>
          <w:b/>
        </w:rPr>
        <w:t>6</w:t>
      </w:r>
      <w:r w:rsidR="00195EA5" w:rsidRPr="00FB516F">
        <w:rPr>
          <w:rFonts w:ascii="Calibri" w:eastAsia="Calibri" w:hAnsi="Calibri" w:cs="Calibri"/>
          <w:b/>
        </w:rPr>
        <w:t xml:space="preserve">. </w:t>
      </w:r>
      <w:r w:rsidR="00195EA5">
        <w:rPr>
          <w:rFonts w:ascii="Calibri" w:eastAsia="Calibri" w:hAnsi="Calibri" w:cs="Calibri"/>
          <w:b/>
        </w:rPr>
        <w:t>Supporting information and material</w:t>
      </w:r>
    </w:p>
    <w:p w14:paraId="7E710808" w14:textId="77777777" w:rsidR="00E23DAE" w:rsidRDefault="00E23DAE" w:rsidP="00195EA5">
      <w:pPr>
        <w:jc w:val="both"/>
        <w:rPr>
          <w:rFonts w:ascii="Calibri" w:eastAsia="Calibri" w:hAnsi="Calibri" w:cs="Calibri"/>
          <w:b/>
        </w:rPr>
      </w:pPr>
    </w:p>
    <w:p w14:paraId="6D8DE317" w14:textId="77777777" w:rsidR="00456313" w:rsidRDefault="00E23DAE" w:rsidP="00195EA5">
      <w:pPr>
        <w:jc w:val="both"/>
        <w:rPr>
          <w:rFonts w:ascii="Calibri" w:eastAsia="Calibri" w:hAnsi="Calibri" w:cs="Calibri"/>
        </w:rPr>
      </w:pPr>
      <w:r w:rsidRPr="00456313">
        <w:rPr>
          <w:rFonts w:ascii="Calibri" w:eastAsia="Calibri" w:hAnsi="Calibri" w:cs="Calibri"/>
        </w:rPr>
        <w:t xml:space="preserve">The workshop </w:t>
      </w:r>
      <w:r w:rsidR="00456313" w:rsidRPr="00456313">
        <w:rPr>
          <w:rFonts w:ascii="Calibri" w:eastAsia="Calibri" w:hAnsi="Calibri" w:cs="Calibri"/>
        </w:rPr>
        <w:t>is being co-organised</w:t>
      </w:r>
      <w:r w:rsidR="00456313">
        <w:rPr>
          <w:rFonts w:ascii="Calibri" w:eastAsia="Calibri" w:hAnsi="Calibri" w:cs="Calibri"/>
        </w:rPr>
        <w:t xml:space="preserve"> by</w:t>
      </w:r>
      <w:r w:rsidR="00456313" w:rsidRPr="00456313">
        <w:rPr>
          <w:rFonts w:ascii="Calibri" w:eastAsia="Calibri" w:hAnsi="Calibri" w:cs="Calibri"/>
        </w:rPr>
        <w:t xml:space="preserve"> the EEA</w:t>
      </w:r>
      <w:r w:rsidR="00456313">
        <w:rPr>
          <w:rFonts w:ascii="Calibri" w:eastAsia="Calibri" w:hAnsi="Calibri" w:cs="Calibri"/>
        </w:rPr>
        <w:t xml:space="preserve">, with support from </w:t>
      </w:r>
      <w:r w:rsidR="00456313" w:rsidRPr="00456313">
        <w:rPr>
          <w:rFonts w:ascii="Calibri" w:eastAsia="Calibri" w:hAnsi="Calibri" w:cs="Calibri"/>
        </w:rPr>
        <w:t>UNEP-WCMC</w:t>
      </w:r>
      <w:r w:rsidR="00456313">
        <w:rPr>
          <w:rFonts w:ascii="Calibri" w:eastAsia="Calibri" w:hAnsi="Calibri" w:cs="Calibri"/>
        </w:rPr>
        <w:t>.  For further information on the workshop and project please contact:</w:t>
      </w:r>
    </w:p>
    <w:p w14:paraId="03AF7D25" w14:textId="77777777" w:rsidR="00456313" w:rsidRDefault="00456313" w:rsidP="00195EA5">
      <w:pPr>
        <w:jc w:val="both"/>
        <w:rPr>
          <w:rFonts w:ascii="Calibri" w:eastAsia="Calibri" w:hAnsi="Calibri" w:cs="Calibri"/>
        </w:rPr>
      </w:pPr>
    </w:p>
    <w:p w14:paraId="514E1364" w14:textId="5E2ECF27" w:rsidR="00E23DAE" w:rsidRDefault="00456313" w:rsidP="00456313">
      <w:pPr>
        <w:pStyle w:val="ListParagraph"/>
        <w:numPr>
          <w:ilvl w:val="0"/>
          <w:numId w:val="24"/>
        </w:numPr>
        <w:jc w:val="both"/>
        <w:rPr>
          <w:rFonts w:ascii="Calibri" w:eastAsia="Calibri" w:hAnsi="Calibri" w:cs="Calibri"/>
        </w:rPr>
      </w:pPr>
      <w:r w:rsidRPr="00456313">
        <w:rPr>
          <w:rFonts w:ascii="Calibri" w:eastAsia="Calibri" w:hAnsi="Calibri" w:cs="Calibri"/>
        </w:rPr>
        <w:t xml:space="preserve">Jan-Erik Petersen </w:t>
      </w:r>
      <w:r>
        <w:rPr>
          <w:rFonts w:ascii="Calibri" w:eastAsia="Calibri" w:hAnsi="Calibri" w:cs="Calibri"/>
        </w:rPr>
        <w:t xml:space="preserve">(EEA) </w:t>
      </w:r>
      <w:r w:rsidRPr="00456313">
        <w:rPr>
          <w:rFonts w:ascii="Calibri" w:eastAsia="Calibri" w:hAnsi="Calibri" w:cs="Calibri"/>
        </w:rPr>
        <w:t xml:space="preserve">E-mail: </w:t>
      </w:r>
      <w:hyperlink r:id="rId9" w:history="1">
        <w:r w:rsidRPr="00AE3719">
          <w:rPr>
            <w:rStyle w:val="Hyperlink"/>
            <w:rFonts w:ascii="Calibri" w:eastAsia="Calibri" w:hAnsi="Calibri" w:cs="Calibri"/>
          </w:rPr>
          <w:t>Jan-Erik.Petersen@eea.europa.eu</w:t>
        </w:r>
      </w:hyperlink>
    </w:p>
    <w:p w14:paraId="7E1B88F5" w14:textId="4B5688B3" w:rsidR="00456313" w:rsidRDefault="00456313" w:rsidP="00456313">
      <w:pPr>
        <w:pStyle w:val="ListParagraph"/>
        <w:numPr>
          <w:ilvl w:val="0"/>
          <w:numId w:val="24"/>
        </w:numPr>
        <w:jc w:val="both"/>
        <w:rPr>
          <w:rFonts w:ascii="Calibri" w:eastAsia="Calibri" w:hAnsi="Calibri" w:cs="Calibri"/>
        </w:rPr>
      </w:pPr>
      <w:r>
        <w:rPr>
          <w:rFonts w:ascii="Calibri" w:eastAsia="Calibri" w:hAnsi="Calibri" w:cs="Calibri"/>
        </w:rPr>
        <w:t xml:space="preserve">Steven King (UNEP-WCMC) </w:t>
      </w:r>
      <w:r w:rsidRPr="00456313">
        <w:rPr>
          <w:rFonts w:ascii="Calibri" w:eastAsia="Calibri" w:hAnsi="Calibri" w:cs="Calibri"/>
        </w:rPr>
        <w:t xml:space="preserve">E-mail: </w:t>
      </w:r>
      <w:hyperlink r:id="rId10" w:history="1">
        <w:r w:rsidRPr="00AE3719">
          <w:rPr>
            <w:rStyle w:val="Hyperlink"/>
            <w:rFonts w:ascii="Calibri" w:eastAsia="Calibri" w:hAnsi="Calibri" w:cs="Calibri"/>
          </w:rPr>
          <w:t>steven.king@unep-wcmc.org</w:t>
        </w:r>
      </w:hyperlink>
    </w:p>
    <w:p w14:paraId="70C75C35" w14:textId="77777777" w:rsidR="000F72AD" w:rsidRDefault="000F72AD" w:rsidP="00171742">
      <w:pPr>
        <w:jc w:val="both"/>
        <w:rPr>
          <w:rFonts w:ascii="Calibri" w:eastAsia="Calibri" w:hAnsi="Calibri" w:cs="Calibri"/>
          <w:highlight w:val="yellow"/>
        </w:rPr>
      </w:pPr>
    </w:p>
    <w:p w14:paraId="341C064B" w14:textId="14F0E4DC" w:rsidR="00456313" w:rsidRDefault="005808CA" w:rsidP="00171742">
      <w:pPr>
        <w:jc w:val="both"/>
        <w:rPr>
          <w:rFonts w:ascii="Calibri" w:eastAsia="Calibri" w:hAnsi="Calibri" w:cs="Calibri"/>
        </w:rPr>
      </w:pPr>
      <w:r>
        <w:rPr>
          <w:rFonts w:ascii="Calibri" w:eastAsia="Calibri" w:hAnsi="Calibri" w:cs="Calibri"/>
        </w:rPr>
        <w:t>A</w:t>
      </w:r>
      <w:r w:rsidR="00ED24BB">
        <w:rPr>
          <w:rFonts w:ascii="Calibri" w:eastAsia="Calibri" w:hAnsi="Calibri" w:cs="Calibri"/>
        </w:rPr>
        <w:t xml:space="preserve"> </w:t>
      </w:r>
      <w:r w:rsidR="00456313">
        <w:rPr>
          <w:rFonts w:ascii="Calibri" w:eastAsia="Calibri" w:hAnsi="Calibri" w:cs="Calibri"/>
        </w:rPr>
        <w:t xml:space="preserve">draft structure for the database linking Copernicus products and services to ecosystem accounting </w:t>
      </w:r>
      <w:r w:rsidR="00014408">
        <w:rPr>
          <w:rFonts w:ascii="Calibri" w:eastAsia="Calibri" w:hAnsi="Calibri" w:cs="Calibri"/>
        </w:rPr>
        <w:t>mentione</w:t>
      </w:r>
      <w:r>
        <w:rPr>
          <w:rFonts w:ascii="Calibri" w:eastAsia="Calibri" w:hAnsi="Calibri" w:cs="Calibri"/>
        </w:rPr>
        <w:t xml:space="preserve">d in Section 5 is </w:t>
      </w:r>
      <w:r w:rsidR="005E25FB">
        <w:rPr>
          <w:rFonts w:ascii="Calibri" w:eastAsia="Calibri" w:hAnsi="Calibri" w:cs="Calibri"/>
        </w:rPr>
        <w:t>provided and a description of the database is given in Annex 1 herein</w:t>
      </w:r>
      <w:r w:rsidR="00EB03A0">
        <w:rPr>
          <w:rFonts w:ascii="Calibri" w:eastAsia="Calibri" w:hAnsi="Calibri" w:cs="Calibri"/>
        </w:rPr>
        <w:t xml:space="preserve"> (also provided in</w:t>
      </w:r>
      <w:r w:rsidR="00226FAA">
        <w:rPr>
          <w:rFonts w:ascii="Calibri" w:eastAsia="Calibri" w:hAnsi="Calibri" w:cs="Calibri"/>
        </w:rPr>
        <w:t xml:space="preserve"> the readme tab of the database)</w:t>
      </w:r>
      <w:r w:rsidR="005E25FB">
        <w:rPr>
          <w:rFonts w:ascii="Calibri" w:eastAsia="Calibri" w:hAnsi="Calibri" w:cs="Calibri"/>
        </w:rPr>
        <w:t>.</w:t>
      </w:r>
      <w:r w:rsidR="00456313">
        <w:rPr>
          <w:rFonts w:ascii="Calibri" w:eastAsia="Calibri" w:hAnsi="Calibri" w:cs="Calibri"/>
        </w:rPr>
        <w:t xml:space="preserve"> </w:t>
      </w:r>
    </w:p>
    <w:p w14:paraId="322A3953" w14:textId="77777777" w:rsidR="00456313" w:rsidRDefault="00456313" w:rsidP="00171742">
      <w:pPr>
        <w:jc w:val="both"/>
        <w:rPr>
          <w:rFonts w:ascii="Calibri" w:eastAsia="Calibri" w:hAnsi="Calibri" w:cs="Calibri"/>
        </w:rPr>
      </w:pPr>
    </w:p>
    <w:p w14:paraId="3DB7A2C6" w14:textId="4BF969BA" w:rsidR="00195EA5" w:rsidRDefault="00DC7882" w:rsidP="00171742">
      <w:pPr>
        <w:jc w:val="both"/>
        <w:rPr>
          <w:rFonts w:ascii="Calibri" w:eastAsia="Calibri" w:hAnsi="Calibri" w:cs="Calibri"/>
        </w:rPr>
      </w:pPr>
      <w:r>
        <w:rPr>
          <w:rFonts w:ascii="Calibri" w:eastAsia="Calibri" w:hAnsi="Calibri" w:cs="Calibri"/>
        </w:rPr>
        <w:t xml:space="preserve">Further information on the KIP </w:t>
      </w:r>
      <w:r w:rsidR="00195EA5" w:rsidRPr="00195EA5">
        <w:rPr>
          <w:rFonts w:ascii="Calibri" w:eastAsia="Calibri" w:hAnsi="Calibri" w:cs="Calibri"/>
        </w:rPr>
        <w:t xml:space="preserve">INCA project and progress to date is available from the European Commission: </w:t>
      </w:r>
      <w:hyperlink r:id="rId11" w:history="1">
        <w:r w:rsidR="00195EA5" w:rsidRPr="00AE3719">
          <w:rPr>
            <w:rStyle w:val="Hyperlink"/>
            <w:rFonts w:ascii="Calibri" w:eastAsia="Calibri" w:hAnsi="Calibri" w:cs="Calibri"/>
          </w:rPr>
          <w:t>http://ec.europa.eu/environment/nature/capital_accounting/index_en.htm</w:t>
        </w:r>
      </w:hyperlink>
    </w:p>
    <w:p w14:paraId="2DC9E9C2" w14:textId="77777777" w:rsidR="00195EA5" w:rsidRDefault="00195EA5" w:rsidP="00171742">
      <w:pPr>
        <w:jc w:val="both"/>
        <w:rPr>
          <w:rFonts w:ascii="Calibri" w:eastAsia="Calibri" w:hAnsi="Calibri" w:cs="Calibri"/>
          <w:highlight w:val="yellow"/>
        </w:rPr>
      </w:pPr>
    </w:p>
    <w:p w14:paraId="36198CAC" w14:textId="6A45F49E" w:rsidR="00195EA5" w:rsidRDefault="00195EA5" w:rsidP="00171742">
      <w:pPr>
        <w:jc w:val="both"/>
        <w:rPr>
          <w:rFonts w:ascii="Calibri" w:eastAsia="Calibri" w:hAnsi="Calibri" w:cs="Calibri"/>
        </w:rPr>
      </w:pPr>
      <w:r>
        <w:rPr>
          <w:rFonts w:ascii="Calibri" w:eastAsia="Calibri" w:hAnsi="Calibri" w:cs="Calibri"/>
        </w:rPr>
        <w:t xml:space="preserve">Detailed technical recommendations to support the SEEA-EEA are available from the UN SEEA website: </w:t>
      </w:r>
      <w:hyperlink r:id="rId12" w:history="1">
        <w:r w:rsidRPr="00AE3719">
          <w:rPr>
            <w:rStyle w:val="Hyperlink"/>
            <w:rFonts w:ascii="Calibri" w:eastAsia="Calibri" w:hAnsi="Calibri" w:cs="Calibri"/>
          </w:rPr>
          <w:t>https://seea.un.org/sites/seea.un.org/files/technical_recommendations_in_support_of_the_seea_eea_final_white_cover.pdf</w:t>
        </w:r>
      </w:hyperlink>
    </w:p>
    <w:p w14:paraId="44CDECA6" w14:textId="77777777" w:rsidR="00456313" w:rsidRDefault="00456313" w:rsidP="00171742">
      <w:pPr>
        <w:jc w:val="both"/>
        <w:rPr>
          <w:rFonts w:ascii="Calibri" w:eastAsia="Calibri" w:hAnsi="Calibri" w:cs="Calibri"/>
        </w:rPr>
      </w:pPr>
    </w:p>
    <w:p w14:paraId="2AFC8235" w14:textId="61D7AEFB" w:rsidR="005E25FB" w:rsidRDefault="005E25FB" w:rsidP="00171742">
      <w:pPr>
        <w:jc w:val="both"/>
        <w:rPr>
          <w:rFonts w:ascii="Calibri" w:eastAsia="Calibri" w:hAnsi="Calibri" w:cs="Calibri"/>
        </w:rPr>
      </w:pPr>
      <w:r>
        <w:rPr>
          <w:rFonts w:ascii="Calibri" w:eastAsia="Calibri" w:hAnsi="Calibri" w:cs="Calibri"/>
        </w:rPr>
        <w:br w:type="page"/>
      </w:r>
    </w:p>
    <w:p w14:paraId="2A60ADA0" w14:textId="77777777" w:rsidR="00456313" w:rsidRDefault="00456313" w:rsidP="00171742">
      <w:pPr>
        <w:jc w:val="both"/>
        <w:rPr>
          <w:rFonts w:ascii="Calibri" w:eastAsia="Calibri" w:hAnsi="Calibri" w:cs="Calibri"/>
        </w:rPr>
      </w:pPr>
    </w:p>
    <w:p w14:paraId="64576019" w14:textId="1B75BFDD" w:rsidR="00195EA5" w:rsidRDefault="005E25FB" w:rsidP="00171742">
      <w:pPr>
        <w:jc w:val="both"/>
        <w:rPr>
          <w:rFonts w:ascii="Calibri" w:eastAsia="Calibri" w:hAnsi="Calibri" w:cs="Calibri"/>
          <w:b/>
        </w:rPr>
      </w:pPr>
      <w:r>
        <w:rPr>
          <w:rFonts w:ascii="Calibri" w:eastAsia="Calibri" w:hAnsi="Calibri" w:cs="Calibri"/>
          <w:b/>
        </w:rPr>
        <w:t>Annex 1: Database description</w:t>
      </w:r>
    </w:p>
    <w:p w14:paraId="0F4E3E81" w14:textId="77777777" w:rsidR="005E25FB" w:rsidRDefault="005E25FB" w:rsidP="00171742">
      <w:pPr>
        <w:jc w:val="both"/>
        <w:rPr>
          <w:rFonts w:ascii="Calibri" w:eastAsia="Calibri" w:hAnsi="Calibri" w:cs="Calibri"/>
          <w:b/>
        </w:rPr>
      </w:pPr>
    </w:p>
    <w:p w14:paraId="436EB6C4" w14:textId="096655C6" w:rsidR="005E25FB" w:rsidRPr="005F093A" w:rsidRDefault="005E25FB" w:rsidP="00171742">
      <w:pPr>
        <w:jc w:val="both"/>
        <w:rPr>
          <w:rFonts w:ascii="Calibri" w:eastAsia="Calibri" w:hAnsi="Calibri" w:cs="Calibri"/>
          <w:u w:val="single"/>
        </w:rPr>
      </w:pPr>
      <w:r w:rsidRPr="005F093A">
        <w:rPr>
          <w:rFonts w:ascii="Calibri" w:eastAsia="Calibri" w:hAnsi="Calibri" w:cs="Calibri"/>
          <w:u w:val="single"/>
        </w:rPr>
        <w:t>Introduction</w:t>
      </w:r>
    </w:p>
    <w:p w14:paraId="47C09DB3" w14:textId="77777777" w:rsidR="005E25FB" w:rsidRDefault="005E25FB" w:rsidP="00171742">
      <w:pPr>
        <w:jc w:val="both"/>
        <w:rPr>
          <w:rFonts w:ascii="Calibri" w:eastAsia="Calibri" w:hAnsi="Calibri" w:cs="Calibri"/>
          <w:highlight w:val="yellow"/>
        </w:rPr>
      </w:pPr>
    </w:p>
    <w:p w14:paraId="35F534DE" w14:textId="5EB62CC8" w:rsidR="005E25FB" w:rsidRDefault="005E25FB" w:rsidP="00171742">
      <w:pPr>
        <w:jc w:val="both"/>
        <w:rPr>
          <w:rFonts w:ascii="Calibri" w:eastAsia="Calibri" w:hAnsi="Calibri" w:cs="Calibri"/>
        </w:rPr>
      </w:pPr>
      <w:r w:rsidRPr="005E25FB">
        <w:rPr>
          <w:rFonts w:ascii="Calibri" w:eastAsia="Calibri" w:hAnsi="Calibri" w:cs="Calibri"/>
        </w:rPr>
        <w:t>The accessibility and ability of Copernicus products and services to monitor ecosystem characteristics over space and time make them well-suited for supporting ecosystem accounting.  In particular, the land services theme of the Copernicus programme provides a strong data foundation for the terrestrial context. Across the EU, there are both pan-European as well as local components. The following is a summary of the suite of Copernicus Land Services across the different components:</w:t>
      </w:r>
    </w:p>
    <w:p w14:paraId="0DE0CCB3" w14:textId="77777777" w:rsidR="005E25FB" w:rsidRDefault="005E25FB" w:rsidP="00171742">
      <w:pPr>
        <w:jc w:val="both"/>
        <w:rPr>
          <w:rFonts w:ascii="Calibri" w:eastAsia="Calibri" w:hAnsi="Calibri" w:cs="Calibri"/>
        </w:rPr>
      </w:pPr>
    </w:p>
    <w:p w14:paraId="0419B2EB" w14:textId="6BE1DD47" w:rsidR="005E25FB" w:rsidRPr="005E25FB" w:rsidRDefault="005E25FB" w:rsidP="005F093A">
      <w:pPr>
        <w:pStyle w:val="ListParagraph"/>
        <w:numPr>
          <w:ilvl w:val="0"/>
          <w:numId w:val="27"/>
        </w:numPr>
        <w:jc w:val="both"/>
        <w:rPr>
          <w:rFonts w:ascii="Calibri" w:eastAsia="Calibri" w:hAnsi="Calibri" w:cs="Calibri"/>
        </w:rPr>
      </w:pPr>
      <w:r w:rsidRPr="005F093A">
        <w:rPr>
          <w:rFonts w:ascii="Calibri" w:eastAsia="Calibri" w:hAnsi="Calibri" w:cs="Calibri"/>
          <w:b/>
        </w:rPr>
        <w:t>Global:</w:t>
      </w:r>
      <w:r w:rsidRPr="005E25FB">
        <w:rPr>
          <w:rFonts w:ascii="Calibri" w:eastAsia="Calibri" w:hAnsi="Calibri" w:cs="Calibri"/>
        </w:rPr>
        <w:t xml:space="preserve"> Biophysical variables which describe the state and the evolution of the continental vegetation and soils, the energy budget at the surface, the cryosphere and the water cycle.</w:t>
      </w:r>
    </w:p>
    <w:p w14:paraId="52F2E474" w14:textId="7E8AC75A" w:rsidR="005E25FB" w:rsidRPr="005E25FB" w:rsidRDefault="005E25FB" w:rsidP="005F093A">
      <w:pPr>
        <w:pStyle w:val="ListParagraph"/>
        <w:numPr>
          <w:ilvl w:val="0"/>
          <w:numId w:val="27"/>
        </w:numPr>
        <w:jc w:val="both"/>
        <w:rPr>
          <w:rFonts w:ascii="Calibri" w:eastAsia="Calibri" w:hAnsi="Calibri" w:cs="Calibri"/>
        </w:rPr>
      </w:pPr>
      <w:r w:rsidRPr="005F093A">
        <w:rPr>
          <w:rFonts w:ascii="Calibri" w:eastAsia="Calibri" w:hAnsi="Calibri" w:cs="Calibri"/>
          <w:b/>
        </w:rPr>
        <w:t>Pan-European:</w:t>
      </w:r>
      <w:r w:rsidRPr="005E25FB">
        <w:rPr>
          <w:rFonts w:ascii="Calibri" w:eastAsia="Calibri" w:hAnsi="Calibri" w:cs="Calibri"/>
        </w:rPr>
        <w:t xml:space="preserve">  Land cover (CORINE Land Cover Map), biophysical variables (High Resolution Layers), reference data (digital elevation model, EU-DEM and river network, EU-Hydro</w:t>
      </w:r>
    </w:p>
    <w:p w14:paraId="2D0ECC05" w14:textId="59F5C168" w:rsidR="005E25FB" w:rsidRPr="005E25FB" w:rsidRDefault="005E25FB" w:rsidP="005F093A">
      <w:pPr>
        <w:pStyle w:val="ListParagraph"/>
        <w:numPr>
          <w:ilvl w:val="0"/>
          <w:numId w:val="27"/>
        </w:numPr>
        <w:jc w:val="both"/>
        <w:rPr>
          <w:rFonts w:ascii="Calibri" w:eastAsia="Calibri" w:hAnsi="Calibri" w:cs="Calibri"/>
        </w:rPr>
      </w:pPr>
      <w:r w:rsidRPr="005F093A">
        <w:rPr>
          <w:rFonts w:ascii="Calibri" w:eastAsia="Calibri" w:hAnsi="Calibri" w:cs="Calibri"/>
          <w:b/>
        </w:rPr>
        <w:t>Local:</w:t>
      </w:r>
      <w:r w:rsidRPr="005E25FB">
        <w:rPr>
          <w:rFonts w:ascii="Calibri" w:eastAsia="Calibri" w:hAnsi="Calibri" w:cs="Calibri"/>
        </w:rPr>
        <w:t xml:space="preserve">  Land cover (Urban Atlas, Riparian Zones).</w:t>
      </w:r>
    </w:p>
    <w:p w14:paraId="44099011" w14:textId="54487E5B" w:rsidR="005E25FB" w:rsidRPr="005F093A" w:rsidRDefault="005E25FB" w:rsidP="005F093A">
      <w:pPr>
        <w:pStyle w:val="ListParagraph"/>
        <w:numPr>
          <w:ilvl w:val="0"/>
          <w:numId w:val="27"/>
        </w:numPr>
        <w:jc w:val="both"/>
        <w:rPr>
          <w:rFonts w:ascii="Calibri" w:eastAsia="Calibri" w:hAnsi="Calibri" w:cs="Calibri"/>
        </w:rPr>
      </w:pPr>
      <w:r w:rsidRPr="005F093A">
        <w:rPr>
          <w:rFonts w:ascii="Calibri" w:eastAsia="Calibri" w:hAnsi="Calibri" w:cs="Calibri"/>
          <w:b/>
        </w:rPr>
        <w:t>Reference Data:</w:t>
      </w:r>
      <w:r w:rsidRPr="005E25FB">
        <w:rPr>
          <w:rFonts w:ascii="Calibri" w:eastAsia="Calibri" w:hAnsi="Calibri" w:cs="Calibri"/>
        </w:rPr>
        <w:t xml:space="preserve"> In-situ</w:t>
      </w:r>
      <w:r w:rsidR="00014408">
        <w:rPr>
          <w:rFonts w:ascii="Calibri" w:eastAsia="Calibri" w:hAnsi="Calibri" w:cs="Calibri"/>
        </w:rPr>
        <w:t xml:space="preserve"> data</w:t>
      </w:r>
      <w:r w:rsidRPr="005E25FB">
        <w:rPr>
          <w:rFonts w:ascii="Calibri" w:eastAsia="Calibri" w:hAnsi="Calibri" w:cs="Calibri"/>
        </w:rPr>
        <w:t xml:space="preserve">, </w:t>
      </w:r>
      <w:r w:rsidR="00014408">
        <w:rPr>
          <w:rFonts w:ascii="Calibri" w:eastAsia="Calibri" w:hAnsi="Calibri" w:cs="Calibri"/>
        </w:rPr>
        <w:t xml:space="preserve">e.g. </w:t>
      </w:r>
      <w:r w:rsidRPr="005E25FB">
        <w:rPr>
          <w:rFonts w:ascii="Calibri" w:eastAsia="Calibri" w:hAnsi="Calibri" w:cs="Calibri"/>
        </w:rPr>
        <w:t>Land Use and Coverage Area frame Survey (LUCAS).</w:t>
      </w:r>
    </w:p>
    <w:p w14:paraId="51EF546D" w14:textId="29C2CB57" w:rsidR="008E08B9" w:rsidRDefault="008E08B9" w:rsidP="00195EA5">
      <w:pPr>
        <w:rPr>
          <w:rFonts w:ascii="Calibri" w:eastAsia="Calibri" w:hAnsi="Calibri" w:cs="Calibri"/>
          <w:b/>
        </w:rPr>
      </w:pPr>
    </w:p>
    <w:p w14:paraId="29DC9A03" w14:textId="71C37FE5" w:rsidR="00226FAA" w:rsidRPr="005F093A" w:rsidRDefault="00226FAA" w:rsidP="005F093A">
      <w:pPr>
        <w:jc w:val="both"/>
        <w:rPr>
          <w:rFonts w:ascii="Calibri" w:eastAsia="Calibri" w:hAnsi="Calibri" w:cs="Calibri"/>
        </w:rPr>
      </w:pPr>
      <w:r w:rsidRPr="005F093A">
        <w:rPr>
          <w:rFonts w:ascii="Calibri" w:eastAsia="Calibri" w:hAnsi="Calibri" w:cs="Calibri"/>
        </w:rPr>
        <w:t>These land monitoring products and services have considerable potential to support terrestrial ecosystem accounting at sub-national, Member State and EU scales. As outlined above, they provide robust, quality assured regular and repeatable coverage of spatial data that is not only consistent over both space and time but also at the resolution required to support ecosystem accounting. Furthermore, the thematic breadth of the land service products is likely to yield spatial data highly applicable to all the core ecosystem extent, condition and services accounts of the SEEA EEA handbook</w:t>
      </w:r>
      <w:r>
        <w:rPr>
          <w:rFonts w:ascii="Calibri" w:eastAsia="Calibri" w:hAnsi="Calibri" w:cs="Calibri"/>
        </w:rPr>
        <w:t>.</w:t>
      </w:r>
    </w:p>
    <w:p w14:paraId="5772FF93" w14:textId="77777777" w:rsidR="00226FAA" w:rsidRPr="005F093A" w:rsidRDefault="00226FAA" w:rsidP="00195EA5">
      <w:pPr>
        <w:rPr>
          <w:rFonts w:ascii="Calibri" w:eastAsia="Calibri" w:hAnsi="Calibri" w:cs="Calibri"/>
          <w:b/>
        </w:rPr>
      </w:pPr>
    </w:p>
    <w:p w14:paraId="7FFAC87A" w14:textId="52E9EDE6" w:rsidR="005E25FB" w:rsidRDefault="005E25FB" w:rsidP="00195EA5">
      <w:pPr>
        <w:rPr>
          <w:rFonts w:ascii="Calibri" w:eastAsia="Calibri" w:hAnsi="Calibri" w:cs="Calibri"/>
          <w:u w:val="single"/>
        </w:rPr>
      </w:pPr>
      <w:r w:rsidRPr="005F093A">
        <w:rPr>
          <w:rFonts w:ascii="Calibri" w:eastAsia="Calibri" w:hAnsi="Calibri" w:cs="Calibri"/>
          <w:u w:val="single"/>
        </w:rPr>
        <w:t>Database Structure</w:t>
      </w:r>
    </w:p>
    <w:p w14:paraId="4BAAA745" w14:textId="77777777" w:rsidR="005E25FB" w:rsidRPr="005F093A" w:rsidRDefault="005E25FB" w:rsidP="00195EA5">
      <w:pPr>
        <w:rPr>
          <w:rFonts w:ascii="Calibri" w:eastAsia="Calibri" w:hAnsi="Calibri" w:cs="Calibri"/>
        </w:rPr>
      </w:pPr>
    </w:p>
    <w:p w14:paraId="6CDFE3EC" w14:textId="6B13C2EF" w:rsidR="005E25FB" w:rsidRDefault="005E25FB" w:rsidP="005F093A">
      <w:pPr>
        <w:jc w:val="both"/>
        <w:rPr>
          <w:rFonts w:ascii="Calibri" w:eastAsia="Calibri" w:hAnsi="Calibri" w:cs="Calibri"/>
        </w:rPr>
      </w:pPr>
      <w:r>
        <w:rPr>
          <w:rFonts w:ascii="Calibri" w:eastAsia="Calibri" w:hAnsi="Calibri" w:cs="Calibri"/>
        </w:rPr>
        <w:t>T</w:t>
      </w:r>
      <w:r w:rsidRPr="005F093A">
        <w:rPr>
          <w:rFonts w:ascii="Calibri" w:eastAsia="Calibri" w:hAnsi="Calibri" w:cs="Calibri"/>
        </w:rPr>
        <w:t>he database provide</w:t>
      </w:r>
      <w:r w:rsidR="00014408">
        <w:rPr>
          <w:rFonts w:ascii="Calibri" w:eastAsia="Calibri" w:hAnsi="Calibri" w:cs="Calibri"/>
        </w:rPr>
        <w:t>d</w:t>
      </w:r>
      <w:r w:rsidRPr="005F093A">
        <w:rPr>
          <w:rFonts w:ascii="Calibri" w:eastAsia="Calibri" w:hAnsi="Calibri" w:cs="Calibri"/>
        </w:rPr>
        <w:t xml:space="preserve"> is designed to help users identify which Copernicus products have the best potential to inform on bio-physical ecosystem accounting for extent, condition and services. A separate spreadsheet is provided for each of these different ecosystem accounting modules.  Using simple filter options, the user specifies the ecosystem account they are interested in and the degree of match of the desired data sets to these accounting themes, i.e., if they are ‘potential’ or ‘clear’ match.  The data options spreadsheet provides a graphical interface for some filter options</w:t>
      </w:r>
      <w:r w:rsidR="00636121" w:rsidRPr="00636121">
        <w:rPr>
          <w:rFonts w:ascii="Calibri" w:eastAsia="Calibri" w:hAnsi="Calibri" w:cs="Calibri"/>
        </w:rPr>
        <w:t>. The user can click on the level of match to the ecosystem accounting module of interest and also specific parameter categories relating to that ecosystem accounting theme (i.e., ecosystem extent, condition or services).  These options are available in the smaller boxes, a list of highlighted data products and services will then populate in the large box that match these search options.</w:t>
      </w:r>
      <w:r w:rsidRPr="005F093A">
        <w:rPr>
          <w:rFonts w:ascii="Calibri" w:eastAsia="Calibri" w:hAnsi="Calibri" w:cs="Calibri"/>
        </w:rPr>
        <w:t xml:space="preserve">  This is intended to provide a broad overview of available Copernicus products and services for ecosystem accounting in the first instance.</w:t>
      </w:r>
    </w:p>
    <w:p w14:paraId="5A7D71A2" w14:textId="77777777" w:rsidR="005E25FB" w:rsidRDefault="005E25FB" w:rsidP="00195EA5">
      <w:pPr>
        <w:rPr>
          <w:rFonts w:ascii="Calibri" w:eastAsia="Calibri" w:hAnsi="Calibri" w:cs="Calibri"/>
        </w:rPr>
      </w:pPr>
    </w:p>
    <w:p w14:paraId="654729E5" w14:textId="77777777" w:rsidR="00226FAA" w:rsidRDefault="00226FAA">
      <w:pPr>
        <w:rPr>
          <w:rFonts w:ascii="Calibri" w:eastAsia="Calibri" w:hAnsi="Calibri" w:cs="Calibri"/>
        </w:rPr>
      </w:pPr>
      <w:r>
        <w:rPr>
          <w:rFonts w:ascii="Calibri" w:eastAsia="Calibri" w:hAnsi="Calibri" w:cs="Calibri"/>
        </w:rPr>
        <w:br w:type="page"/>
      </w:r>
    </w:p>
    <w:p w14:paraId="197D3928" w14:textId="740E57B1" w:rsidR="005E25FB" w:rsidRDefault="005E25FB" w:rsidP="005F093A">
      <w:pPr>
        <w:jc w:val="both"/>
        <w:rPr>
          <w:rFonts w:ascii="Calibri" w:eastAsia="Calibri" w:hAnsi="Calibri" w:cs="Calibri"/>
        </w:rPr>
      </w:pPr>
      <w:r w:rsidRPr="005E25FB">
        <w:rPr>
          <w:rFonts w:ascii="Calibri" w:eastAsia="Calibri" w:hAnsi="Calibri" w:cs="Calibri"/>
        </w:rPr>
        <w:lastRenderedPageBreak/>
        <w:t xml:space="preserve">The link between the Copernicus product or service to the different accounts is then categorised according to the parameter category as set out in the table below.  </w:t>
      </w:r>
    </w:p>
    <w:p w14:paraId="69AF4A66" w14:textId="77777777" w:rsidR="005E25FB" w:rsidRDefault="005E25FB" w:rsidP="00195EA5">
      <w:pPr>
        <w:rPr>
          <w:rFonts w:ascii="Calibri" w:eastAsia="Calibri" w:hAnsi="Calibri" w:cs="Calibri"/>
        </w:rPr>
      </w:pPr>
    </w:p>
    <w:tbl>
      <w:tblPr>
        <w:tblStyle w:val="TableGrid"/>
        <w:tblW w:w="0" w:type="auto"/>
        <w:tblLook w:val="04A0" w:firstRow="1" w:lastRow="0" w:firstColumn="1" w:lastColumn="0" w:noHBand="0" w:noVBand="1"/>
      </w:tblPr>
      <w:tblGrid>
        <w:gridCol w:w="1502"/>
        <w:gridCol w:w="1328"/>
        <w:gridCol w:w="1677"/>
        <w:gridCol w:w="1503"/>
        <w:gridCol w:w="1503"/>
        <w:gridCol w:w="1503"/>
      </w:tblGrid>
      <w:tr w:rsidR="005E25FB" w14:paraId="44F583D3" w14:textId="77777777" w:rsidTr="00783C98">
        <w:tc>
          <w:tcPr>
            <w:tcW w:w="2830" w:type="dxa"/>
            <w:gridSpan w:val="2"/>
          </w:tcPr>
          <w:p w14:paraId="497B8B7A" w14:textId="77777777" w:rsidR="005E25FB" w:rsidRPr="004718E8" w:rsidRDefault="005E25FB" w:rsidP="00783C98">
            <w:pPr>
              <w:spacing w:after="120"/>
              <w:rPr>
                <w:b/>
                <w:color w:val="000000" w:themeColor="text1"/>
              </w:rPr>
            </w:pPr>
            <w:r w:rsidRPr="004718E8">
              <w:rPr>
                <w:b/>
                <w:color w:val="000000" w:themeColor="text1"/>
              </w:rPr>
              <w:t>Link to ecosystem extent</w:t>
            </w:r>
          </w:p>
        </w:tc>
        <w:tc>
          <w:tcPr>
            <w:tcW w:w="3180" w:type="dxa"/>
            <w:gridSpan w:val="2"/>
          </w:tcPr>
          <w:p w14:paraId="23A2970C" w14:textId="77777777" w:rsidR="005E25FB" w:rsidRPr="004718E8" w:rsidRDefault="005E25FB" w:rsidP="00783C98">
            <w:pPr>
              <w:spacing w:after="120"/>
              <w:rPr>
                <w:b/>
                <w:color w:val="000000" w:themeColor="text1"/>
              </w:rPr>
            </w:pPr>
            <w:r w:rsidRPr="004718E8">
              <w:rPr>
                <w:b/>
                <w:color w:val="000000" w:themeColor="text1"/>
              </w:rPr>
              <w:t>Link to ecosystem condition</w:t>
            </w:r>
          </w:p>
        </w:tc>
        <w:tc>
          <w:tcPr>
            <w:tcW w:w="3006" w:type="dxa"/>
            <w:gridSpan w:val="2"/>
          </w:tcPr>
          <w:p w14:paraId="2F896507" w14:textId="77777777" w:rsidR="005E25FB" w:rsidRPr="004718E8" w:rsidRDefault="005E25FB" w:rsidP="00783C98">
            <w:pPr>
              <w:spacing w:after="120"/>
              <w:rPr>
                <w:b/>
                <w:color w:val="000000" w:themeColor="text1"/>
              </w:rPr>
            </w:pPr>
            <w:r w:rsidRPr="004718E8">
              <w:rPr>
                <w:b/>
                <w:color w:val="000000" w:themeColor="text1"/>
              </w:rPr>
              <w:t>Link to ecosystem services</w:t>
            </w:r>
          </w:p>
        </w:tc>
      </w:tr>
      <w:tr w:rsidR="005E25FB" w14:paraId="27D18984" w14:textId="77777777" w:rsidTr="00783C98">
        <w:tc>
          <w:tcPr>
            <w:tcW w:w="1502" w:type="dxa"/>
          </w:tcPr>
          <w:p w14:paraId="19CF1E08" w14:textId="77777777" w:rsidR="005E25FB" w:rsidRPr="004718E8" w:rsidRDefault="005E25FB" w:rsidP="00783C98">
            <w:pPr>
              <w:spacing w:after="120"/>
              <w:rPr>
                <w:i/>
                <w:color w:val="000000" w:themeColor="text1"/>
              </w:rPr>
            </w:pPr>
            <w:r>
              <w:rPr>
                <w:i/>
                <w:color w:val="000000" w:themeColor="text1"/>
              </w:rPr>
              <w:t xml:space="preserve">Parameter </w:t>
            </w:r>
            <w:r w:rsidRPr="004718E8">
              <w:rPr>
                <w:i/>
                <w:color w:val="000000" w:themeColor="text1"/>
              </w:rPr>
              <w:t>Categories</w:t>
            </w:r>
          </w:p>
        </w:tc>
        <w:tc>
          <w:tcPr>
            <w:tcW w:w="1328" w:type="dxa"/>
          </w:tcPr>
          <w:p w14:paraId="39BFCD5B" w14:textId="77777777" w:rsidR="005E25FB" w:rsidRPr="004718E8" w:rsidRDefault="005E25FB" w:rsidP="00783C98">
            <w:pPr>
              <w:spacing w:after="120"/>
              <w:rPr>
                <w:i/>
                <w:color w:val="000000" w:themeColor="text1"/>
              </w:rPr>
            </w:pPr>
            <w:r w:rsidRPr="004718E8">
              <w:rPr>
                <w:i/>
                <w:color w:val="000000" w:themeColor="text1"/>
              </w:rPr>
              <w:t>Rationale</w:t>
            </w:r>
          </w:p>
        </w:tc>
        <w:tc>
          <w:tcPr>
            <w:tcW w:w="1677" w:type="dxa"/>
          </w:tcPr>
          <w:p w14:paraId="0E35FB98" w14:textId="77777777" w:rsidR="005E25FB" w:rsidRPr="004718E8" w:rsidRDefault="005E25FB" w:rsidP="00783C98">
            <w:pPr>
              <w:spacing w:after="120"/>
              <w:rPr>
                <w:i/>
                <w:color w:val="000000" w:themeColor="text1"/>
              </w:rPr>
            </w:pPr>
            <w:r>
              <w:rPr>
                <w:i/>
                <w:color w:val="000000" w:themeColor="text1"/>
              </w:rPr>
              <w:t xml:space="preserve">Parameter </w:t>
            </w:r>
            <w:r w:rsidRPr="004718E8">
              <w:rPr>
                <w:i/>
                <w:color w:val="000000" w:themeColor="text1"/>
              </w:rPr>
              <w:t>Categories</w:t>
            </w:r>
          </w:p>
        </w:tc>
        <w:tc>
          <w:tcPr>
            <w:tcW w:w="1503" w:type="dxa"/>
          </w:tcPr>
          <w:p w14:paraId="4801C066" w14:textId="77777777" w:rsidR="005E25FB" w:rsidRPr="004718E8" w:rsidRDefault="005E25FB" w:rsidP="00783C98">
            <w:pPr>
              <w:spacing w:after="120"/>
              <w:rPr>
                <w:i/>
                <w:color w:val="000000" w:themeColor="text1"/>
              </w:rPr>
            </w:pPr>
            <w:r w:rsidRPr="004718E8">
              <w:rPr>
                <w:i/>
                <w:color w:val="000000" w:themeColor="text1"/>
              </w:rPr>
              <w:t>Rationale</w:t>
            </w:r>
          </w:p>
        </w:tc>
        <w:tc>
          <w:tcPr>
            <w:tcW w:w="1503" w:type="dxa"/>
          </w:tcPr>
          <w:p w14:paraId="063EDC27" w14:textId="77777777" w:rsidR="005E25FB" w:rsidRPr="004718E8" w:rsidRDefault="005E25FB" w:rsidP="00783C98">
            <w:pPr>
              <w:spacing w:after="120"/>
              <w:rPr>
                <w:i/>
                <w:color w:val="000000" w:themeColor="text1"/>
              </w:rPr>
            </w:pPr>
            <w:r>
              <w:rPr>
                <w:i/>
                <w:color w:val="000000" w:themeColor="text1"/>
              </w:rPr>
              <w:t xml:space="preserve">Parameter </w:t>
            </w:r>
            <w:r w:rsidRPr="004718E8">
              <w:rPr>
                <w:i/>
                <w:color w:val="000000" w:themeColor="text1"/>
              </w:rPr>
              <w:t>Categories</w:t>
            </w:r>
          </w:p>
        </w:tc>
        <w:tc>
          <w:tcPr>
            <w:tcW w:w="1503" w:type="dxa"/>
          </w:tcPr>
          <w:p w14:paraId="34908881" w14:textId="77777777" w:rsidR="005E25FB" w:rsidRPr="004718E8" w:rsidRDefault="005E25FB" w:rsidP="00783C98">
            <w:pPr>
              <w:spacing w:after="120"/>
              <w:rPr>
                <w:i/>
                <w:color w:val="000000" w:themeColor="text1"/>
              </w:rPr>
            </w:pPr>
            <w:r w:rsidRPr="004718E8">
              <w:rPr>
                <w:i/>
                <w:color w:val="000000" w:themeColor="text1"/>
              </w:rPr>
              <w:t>Rationale</w:t>
            </w:r>
          </w:p>
        </w:tc>
      </w:tr>
      <w:tr w:rsidR="005E25FB" w14:paraId="5EE1F372" w14:textId="77777777" w:rsidTr="00783C98">
        <w:tc>
          <w:tcPr>
            <w:tcW w:w="1502" w:type="dxa"/>
          </w:tcPr>
          <w:p w14:paraId="2C955FD3" w14:textId="77777777" w:rsidR="005E25FB" w:rsidRDefault="005E25FB" w:rsidP="00783C98">
            <w:pPr>
              <w:spacing w:after="120"/>
              <w:rPr>
                <w:color w:val="000000" w:themeColor="text1"/>
              </w:rPr>
            </w:pPr>
            <w:r>
              <w:rPr>
                <w:color w:val="000000" w:themeColor="text1"/>
              </w:rPr>
              <w:t>Land cover</w:t>
            </w:r>
          </w:p>
        </w:tc>
        <w:tc>
          <w:tcPr>
            <w:tcW w:w="1328" w:type="dxa"/>
            <w:vMerge w:val="restart"/>
          </w:tcPr>
          <w:p w14:paraId="7989F771" w14:textId="77777777" w:rsidR="005E25FB" w:rsidRDefault="005E25FB" w:rsidP="00783C98">
            <w:pPr>
              <w:spacing w:after="120"/>
              <w:rPr>
                <w:color w:val="000000" w:themeColor="text1"/>
              </w:rPr>
            </w:pPr>
            <w:r>
              <w:rPr>
                <w:color w:val="000000" w:themeColor="text1"/>
              </w:rPr>
              <w:t>Common approaches for measuring ecosystem extent from the literature</w:t>
            </w:r>
          </w:p>
        </w:tc>
        <w:tc>
          <w:tcPr>
            <w:tcW w:w="1677" w:type="dxa"/>
          </w:tcPr>
          <w:p w14:paraId="3CE6A96E" w14:textId="77777777" w:rsidR="005E25FB" w:rsidRDefault="005E25FB" w:rsidP="00783C98">
            <w:pPr>
              <w:spacing w:after="120"/>
              <w:rPr>
                <w:color w:val="000000" w:themeColor="text1"/>
              </w:rPr>
            </w:pPr>
            <w:r>
              <w:rPr>
                <w:color w:val="000000" w:themeColor="text1"/>
              </w:rPr>
              <w:t>Biodiversity</w:t>
            </w:r>
          </w:p>
        </w:tc>
        <w:tc>
          <w:tcPr>
            <w:tcW w:w="1503" w:type="dxa"/>
            <w:vMerge w:val="restart"/>
          </w:tcPr>
          <w:p w14:paraId="77FEB2B4" w14:textId="77777777" w:rsidR="005E25FB" w:rsidRDefault="005E25FB" w:rsidP="00783C98">
            <w:pPr>
              <w:spacing w:after="120"/>
              <w:rPr>
                <w:color w:val="000000" w:themeColor="text1"/>
              </w:rPr>
            </w:pPr>
            <w:r>
              <w:rPr>
                <w:color w:val="000000" w:themeColor="text1"/>
              </w:rPr>
              <w:t>Table 3 of MAES 2</w:t>
            </w:r>
            <w:r w:rsidRPr="004718E8">
              <w:rPr>
                <w:color w:val="000000" w:themeColor="text1"/>
                <w:vertAlign w:val="superscript"/>
              </w:rPr>
              <w:t>nd</w:t>
            </w:r>
            <w:r>
              <w:rPr>
                <w:color w:val="000000" w:themeColor="text1"/>
              </w:rPr>
              <w:t xml:space="preserve"> Report combined with CICES Cascade</w:t>
            </w:r>
          </w:p>
        </w:tc>
        <w:tc>
          <w:tcPr>
            <w:tcW w:w="1503" w:type="dxa"/>
          </w:tcPr>
          <w:p w14:paraId="011AAA1E" w14:textId="77777777" w:rsidR="005E25FB" w:rsidRDefault="005E25FB" w:rsidP="00783C98">
            <w:pPr>
              <w:spacing w:after="120"/>
              <w:rPr>
                <w:color w:val="000000" w:themeColor="text1"/>
              </w:rPr>
            </w:pPr>
            <w:r>
              <w:rPr>
                <w:color w:val="000000" w:themeColor="text1"/>
              </w:rPr>
              <w:t>Provisioning</w:t>
            </w:r>
          </w:p>
        </w:tc>
        <w:tc>
          <w:tcPr>
            <w:tcW w:w="1503" w:type="dxa"/>
            <w:vMerge w:val="restart"/>
          </w:tcPr>
          <w:p w14:paraId="76FCE4C9" w14:textId="77777777" w:rsidR="005E25FB" w:rsidRDefault="005E25FB" w:rsidP="00783C98">
            <w:pPr>
              <w:spacing w:after="120"/>
              <w:rPr>
                <w:color w:val="000000" w:themeColor="text1"/>
              </w:rPr>
            </w:pPr>
            <w:r>
              <w:rPr>
                <w:color w:val="000000" w:themeColor="text1"/>
              </w:rPr>
              <w:t xml:space="preserve">CICES Divisions </w:t>
            </w:r>
          </w:p>
        </w:tc>
      </w:tr>
      <w:tr w:rsidR="005E25FB" w14:paraId="05B53683" w14:textId="77777777" w:rsidTr="00783C98">
        <w:tc>
          <w:tcPr>
            <w:tcW w:w="1502" w:type="dxa"/>
          </w:tcPr>
          <w:p w14:paraId="1D454E88" w14:textId="77777777" w:rsidR="005E25FB" w:rsidRDefault="005E25FB" w:rsidP="00783C98">
            <w:pPr>
              <w:spacing w:after="120"/>
              <w:rPr>
                <w:color w:val="000000" w:themeColor="text1"/>
              </w:rPr>
            </w:pPr>
            <w:r>
              <w:rPr>
                <w:color w:val="000000" w:themeColor="text1"/>
              </w:rPr>
              <w:t>Land use</w:t>
            </w:r>
          </w:p>
        </w:tc>
        <w:tc>
          <w:tcPr>
            <w:tcW w:w="1328" w:type="dxa"/>
            <w:vMerge/>
          </w:tcPr>
          <w:p w14:paraId="06E28363" w14:textId="77777777" w:rsidR="005E25FB" w:rsidRDefault="005E25FB" w:rsidP="00783C98">
            <w:pPr>
              <w:spacing w:after="120"/>
              <w:rPr>
                <w:color w:val="000000" w:themeColor="text1"/>
              </w:rPr>
            </w:pPr>
          </w:p>
        </w:tc>
        <w:tc>
          <w:tcPr>
            <w:tcW w:w="1677" w:type="dxa"/>
          </w:tcPr>
          <w:p w14:paraId="3AD7277C" w14:textId="77777777" w:rsidR="005E25FB" w:rsidRDefault="005E25FB" w:rsidP="00783C98">
            <w:pPr>
              <w:spacing w:after="120"/>
              <w:rPr>
                <w:color w:val="000000" w:themeColor="text1"/>
              </w:rPr>
            </w:pPr>
            <w:r>
              <w:rPr>
                <w:color w:val="000000" w:themeColor="text1"/>
              </w:rPr>
              <w:t>Pressure</w:t>
            </w:r>
          </w:p>
        </w:tc>
        <w:tc>
          <w:tcPr>
            <w:tcW w:w="1503" w:type="dxa"/>
            <w:vMerge/>
          </w:tcPr>
          <w:p w14:paraId="6B129490" w14:textId="77777777" w:rsidR="005E25FB" w:rsidRDefault="005E25FB" w:rsidP="00783C98">
            <w:pPr>
              <w:spacing w:after="120"/>
              <w:rPr>
                <w:color w:val="000000" w:themeColor="text1"/>
              </w:rPr>
            </w:pPr>
          </w:p>
        </w:tc>
        <w:tc>
          <w:tcPr>
            <w:tcW w:w="1503" w:type="dxa"/>
          </w:tcPr>
          <w:p w14:paraId="42DA5452" w14:textId="77777777" w:rsidR="005E25FB" w:rsidRDefault="005E25FB" w:rsidP="00783C98">
            <w:pPr>
              <w:spacing w:after="120"/>
              <w:rPr>
                <w:color w:val="000000" w:themeColor="text1"/>
              </w:rPr>
            </w:pPr>
            <w:r>
              <w:rPr>
                <w:color w:val="000000" w:themeColor="text1"/>
              </w:rPr>
              <w:t>Regulating</w:t>
            </w:r>
          </w:p>
        </w:tc>
        <w:tc>
          <w:tcPr>
            <w:tcW w:w="1503" w:type="dxa"/>
            <w:vMerge/>
          </w:tcPr>
          <w:p w14:paraId="4CE198F1" w14:textId="77777777" w:rsidR="005E25FB" w:rsidRDefault="005E25FB" w:rsidP="00783C98">
            <w:pPr>
              <w:spacing w:after="120"/>
              <w:rPr>
                <w:color w:val="000000" w:themeColor="text1"/>
              </w:rPr>
            </w:pPr>
          </w:p>
        </w:tc>
      </w:tr>
      <w:tr w:rsidR="005E25FB" w14:paraId="28CAEC16" w14:textId="77777777" w:rsidTr="00783C98">
        <w:tc>
          <w:tcPr>
            <w:tcW w:w="1502" w:type="dxa"/>
          </w:tcPr>
          <w:p w14:paraId="13F8F4B8" w14:textId="77777777" w:rsidR="005E25FB" w:rsidRDefault="005E25FB" w:rsidP="00783C98">
            <w:pPr>
              <w:spacing w:after="120"/>
              <w:rPr>
                <w:color w:val="000000" w:themeColor="text1"/>
              </w:rPr>
            </w:pPr>
            <w:r>
              <w:rPr>
                <w:color w:val="000000" w:themeColor="text1"/>
              </w:rPr>
              <w:t>Vegetation cover</w:t>
            </w:r>
          </w:p>
        </w:tc>
        <w:tc>
          <w:tcPr>
            <w:tcW w:w="1328" w:type="dxa"/>
            <w:vMerge/>
          </w:tcPr>
          <w:p w14:paraId="50D0E200" w14:textId="77777777" w:rsidR="005E25FB" w:rsidRDefault="005E25FB" w:rsidP="00783C98">
            <w:pPr>
              <w:spacing w:after="120"/>
              <w:rPr>
                <w:color w:val="000000" w:themeColor="text1"/>
              </w:rPr>
            </w:pPr>
          </w:p>
        </w:tc>
        <w:tc>
          <w:tcPr>
            <w:tcW w:w="1677" w:type="dxa"/>
          </w:tcPr>
          <w:p w14:paraId="787B0BD0" w14:textId="77777777" w:rsidR="005E25FB" w:rsidRDefault="005E25FB" w:rsidP="00783C98">
            <w:pPr>
              <w:spacing w:after="120"/>
              <w:rPr>
                <w:color w:val="000000" w:themeColor="text1"/>
              </w:rPr>
            </w:pPr>
            <w:r>
              <w:rPr>
                <w:color w:val="000000" w:themeColor="text1"/>
              </w:rPr>
              <w:t xml:space="preserve">State / Structure </w:t>
            </w:r>
          </w:p>
        </w:tc>
        <w:tc>
          <w:tcPr>
            <w:tcW w:w="1503" w:type="dxa"/>
            <w:vMerge/>
          </w:tcPr>
          <w:p w14:paraId="23812765" w14:textId="77777777" w:rsidR="005E25FB" w:rsidRDefault="005E25FB" w:rsidP="00783C98">
            <w:pPr>
              <w:spacing w:after="120"/>
              <w:rPr>
                <w:color w:val="000000" w:themeColor="text1"/>
              </w:rPr>
            </w:pPr>
          </w:p>
        </w:tc>
        <w:tc>
          <w:tcPr>
            <w:tcW w:w="1503" w:type="dxa"/>
          </w:tcPr>
          <w:p w14:paraId="2CD118D9" w14:textId="77777777" w:rsidR="005E25FB" w:rsidRDefault="005E25FB" w:rsidP="00783C98">
            <w:pPr>
              <w:spacing w:after="120"/>
              <w:rPr>
                <w:color w:val="000000" w:themeColor="text1"/>
              </w:rPr>
            </w:pPr>
            <w:r>
              <w:rPr>
                <w:color w:val="000000" w:themeColor="text1"/>
              </w:rPr>
              <w:t>Cultural</w:t>
            </w:r>
          </w:p>
        </w:tc>
        <w:tc>
          <w:tcPr>
            <w:tcW w:w="1503" w:type="dxa"/>
            <w:vMerge/>
          </w:tcPr>
          <w:p w14:paraId="6CB2F76C" w14:textId="77777777" w:rsidR="005E25FB" w:rsidRDefault="005E25FB" w:rsidP="00783C98">
            <w:pPr>
              <w:spacing w:after="120"/>
              <w:rPr>
                <w:color w:val="000000" w:themeColor="text1"/>
              </w:rPr>
            </w:pPr>
          </w:p>
        </w:tc>
      </w:tr>
      <w:tr w:rsidR="005E25FB" w14:paraId="675B950E" w14:textId="77777777" w:rsidTr="00783C98">
        <w:tc>
          <w:tcPr>
            <w:tcW w:w="1502" w:type="dxa"/>
          </w:tcPr>
          <w:p w14:paraId="0BCFD998" w14:textId="574FE38C" w:rsidR="005E25FB" w:rsidRDefault="005E25FB" w:rsidP="00783C98">
            <w:pPr>
              <w:spacing w:after="120"/>
              <w:rPr>
                <w:color w:val="000000" w:themeColor="text1"/>
              </w:rPr>
            </w:pPr>
            <w:r>
              <w:rPr>
                <w:color w:val="000000" w:themeColor="text1"/>
              </w:rPr>
              <w:t>Ecosystem / Habitat type</w:t>
            </w:r>
          </w:p>
        </w:tc>
        <w:tc>
          <w:tcPr>
            <w:tcW w:w="1328" w:type="dxa"/>
            <w:vMerge/>
          </w:tcPr>
          <w:p w14:paraId="3FDB4847" w14:textId="77777777" w:rsidR="005E25FB" w:rsidRDefault="005E25FB" w:rsidP="00783C98">
            <w:pPr>
              <w:spacing w:after="120"/>
              <w:rPr>
                <w:color w:val="000000" w:themeColor="text1"/>
              </w:rPr>
            </w:pPr>
          </w:p>
        </w:tc>
        <w:tc>
          <w:tcPr>
            <w:tcW w:w="1677" w:type="dxa"/>
          </w:tcPr>
          <w:p w14:paraId="5A709E23" w14:textId="77777777" w:rsidR="005E25FB" w:rsidRDefault="005E25FB" w:rsidP="00783C98">
            <w:pPr>
              <w:spacing w:after="120"/>
              <w:rPr>
                <w:color w:val="000000" w:themeColor="text1"/>
              </w:rPr>
            </w:pPr>
            <w:r>
              <w:rPr>
                <w:color w:val="000000" w:themeColor="text1"/>
              </w:rPr>
              <w:t>Biophysical process</w:t>
            </w:r>
          </w:p>
        </w:tc>
        <w:tc>
          <w:tcPr>
            <w:tcW w:w="1503" w:type="dxa"/>
            <w:vMerge/>
          </w:tcPr>
          <w:p w14:paraId="2D6F9675" w14:textId="77777777" w:rsidR="005E25FB" w:rsidRDefault="005E25FB" w:rsidP="00783C98">
            <w:pPr>
              <w:spacing w:after="120"/>
              <w:rPr>
                <w:color w:val="000000" w:themeColor="text1"/>
              </w:rPr>
            </w:pPr>
          </w:p>
        </w:tc>
        <w:tc>
          <w:tcPr>
            <w:tcW w:w="1503" w:type="dxa"/>
          </w:tcPr>
          <w:p w14:paraId="2CEBD601" w14:textId="77777777" w:rsidR="005E25FB" w:rsidRDefault="005E25FB" w:rsidP="00783C98">
            <w:pPr>
              <w:spacing w:after="120"/>
              <w:rPr>
                <w:color w:val="000000" w:themeColor="text1"/>
              </w:rPr>
            </w:pPr>
          </w:p>
        </w:tc>
        <w:tc>
          <w:tcPr>
            <w:tcW w:w="1503" w:type="dxa"/>
            <w:vMerge/>
          </w:tcPr>
          <w:p w14:paraId="6E7DB37C" w14:textId="77777777" w:rsidR="005E25FB" w:rsidRDefault="005E25FB" w:rsidP="00783C98">
            <w:pPr>
              <w:spacing w:after="120"/>
              <w:rPr>
                <w:color w:val="000000" w:themeColor="text1"/>
              </w:rPr>
            </w:pPr>
          </w:p>
        </w:tc>
      </w:tr>
    </w:tbl>
    <w:p w14:paraId="04C60E57" w14:textId="761F151F" w:rsidR="005E25FB" w:rsidRDefault="005E25FB" w:rsidP="00195EA5">
      <w:pPr>
        <w:rPr>
          <w:rFonts w:ascii="Calibri" w:eastAsia="Calibri" w:hAnsi="Calibri" w:cs="Calibri"/>
        </w:rPr>
      </w:pPr>
    </w:p>
    <w:p w14:paraId="0E6397BD" w14:textId="16E303C6" w:rsidR="005E25FB" w:rsidRDefault="005E25FB" w:rsidP="005F093A">
      <w:pPr>
        <w:jc w:val="both"/>
        <w:rPr>
          <w:rFonts w:ascii="Calibri" w:eastAsia="Calibri" w:hAnsi="Calibri" w:cs="Calibri"/>
        </w:rPr>
      </w:pPr>
      <w:r w:rsidRPr="005E25FB">
        <w:rPr>
          <w:rFonts w:ascii="Calibri" w:eastAsia="Calibri" w:hAnsi="Calibri" w:cs="Calibri"/>
        </w:rPr>
        <w:t xml:space="preserve">There will also be key </w:t>
      </w:r>
      <w:r w:rsidR="00014408">
        <w:rPr>
          <w:rFonts w:ascii="Calibri" w:eastAsia="Calibri" w:hAnsi="Calibri" w:cs="Calibri"/>
        </w:rPr>
        <w:t>data characteristics</w:t>
      </w:r>
      <w:r w:rsidRPr="005E25FB">
        <w:rPr>
          <w:rFonts w:ascii="Calibri" w:eastAsia="Calibri" w:hAnsi="Calibri" w:cs="Calibri"/>
        </w:rPr>
        <w:t xml:space="preserve"> that Copernicus products and services will have to meet in order to support different analytical uses.  As parameters chosen for inclusion in the accounts should be underpinned by datasets that allow a reliable quantitative analysis of trends at suitable spatial and temporal scale, the following </w:t>
      </w:r>
      <w:r w:rsidR="00014408">
        <w:rPr>
          <w:rFonts w:ascii="Calibri" w:eastAsia="Calibri" w:hAnsi="Calibri" w:cs="Calibri"/>
        </w:rPr>
        <w:t>characteristics</w:t>
      </w:r>
      <w:r w:rsidR="00014408" w:rsidRPr="005E25FB">
        <w:rPr>
          <w:rFonts w:ascii="Calibri" w:eastAsia="Calibri" w:hAnsi="Calibri" w:cs="Calibri"/>
        </w:rPr>
        <w:t xml:space="preserve"> </w:t>
      </w:r>
      <w:r w:rsidRPr="005E25FB">
        <w:rPr>
          <w:rFonts w:ascii="Calibri" w:eastAsia="Calibri" w:hAnsi="Calibri" w:cs="Calibri"/>
        </w:rPr>
        <w:t>will be a key concern for account producers:</w:t>
      </w:r>
    </w:p>
    <w:p w14:paraId="05F7DDA0" w14:textId="77777777" w:rsidR="005E25FB" w:rsidRDefault="005E25FB" w:rsidP="005F093A">
      <w:pPr>
        <w:jc w:val="both"/>
        <w:rPr>
          <w:rFonts w:ascii="Calibri" w:eastAsia="Calibri" w:hAnsi="Calibri" w:cs="Calibri"/>
        </w:rPr>
      </w:pPr>
    </w:p>
    <w:p w14:paraId="7CB8E348" w14:textId="3DF6C243" w:rsidR="005E25FB" w:rsidRPr="005F093A" w:rsidRDefault="005E25FB" w:rsidP="005F093A">
      <w:pPr>
        <w:pStyle w:val="ListParagraph"/>
        <w:numPr>
          <w:ilvl w:val="0"/>
          <w:numId w:val="29"/>
        </w:numPr>
        <w:jc w:val="both"/>
        <w:rPr>
          <w:rFonts w:ascii="Calibri" w:eastAsia="Calibri" w:hAnsi="Calibri" w:cs="Calibri"/>
        </w:rPr>
      </w:pPr>
      <w:r w:rsidRPr="005F093A">
        <w:rPr>
          <w:rFonts w:ascii="Calibri" w:eastAsia="Calibri" w:hAnsi="Calibri" w:cs="Calibri"/>
          <w:b/>
        </w:rPr>
        <w:t>Ecosystem specificity</w:t>
      </w:r>
      <w:r>
        <w:rPr>
          <w:rFonts w:ascii="Calibri" w:eastAsia="Calibri" w:hAnsi="Calibri" w:cs="Calibri"/>
        </w:rPr>
        <w:t>:</w:t>
      </w:r>
      <w:r w:rsidRPr="005F093A">
        <w:rPr>
          <w:rFonts w:ascii="Calibri" w:eastAsia="Calibri" w:hAnsi="Calibri" w:cs="Calibri"/>
        </w:rPr>
        <w:t xml:space="preserve"> </w:t>
      </w:r>
      <w:r>
        <w:rPr>
          <w:rFonts w:ascii="Calibri" w:eastAsia="Calibri" w:hAnsi="Calibri" w:cs="Calibri"/>
        </w:rPr>
        <w:t>T</w:t>
      </w:r>
      <w:r w:rsidRPr="005F093A">
        <w:rPr>
          <w:rFonts w:ascii="Calibri" w:eastAsia="Calibri" w:hAnsi="Calibri" w:cs="Calibri"/>
        </w:rPr>
        <w:t>he degree to which the EO product can be used across all MAES ecosystem types, just a few, e.g. land, or specific to one ecosystem type e.g. grasslands.</w:t>
      </w:r>
    </w:p>
    <w:p w14:paraId="5BF44674" w14:textId="19120018" w:rsidR="005E25FB" w:rsidRPr="005F093A" w:rsidRDefault="005E25FB" w:rsidP="005F093A">
      <w:pPr>
        <w:pStyle w:val="ListParagraph"/>
        <w:numPr>
          <w:ilvl w:val="0"/>
          <w:numId w:val="29"/>
        </w:numPr>
        <w:jc w:val="both"/>
        <w:rPr>
          <w:rFonts w:ascii="Calibri" w:eastAsia="Calibri" w:hAnsi="Calibri" w:cs="Calibri"/>
        </w:rPr>
      </w:pPr>
      <w:r w:rsidRPr="005F093A">
        <w:rPr>
          <w:rFonts w:ascii="Calibri" w:eastAsia="Calibri" w:hAnsi="Calibri" w:cs="Calibri"/>
          <w:b/>
        </w:rPr>
        <w:t>Status</w:t>
      </w:r>
      <w:r>
        <w:rPr>
          <w:rFonts w:ascii="Calibri" w:eastAsia="Calibri" w:hAnsi="Calibri" w:cs="Calibri"/>
        </w:rPr>
        <w:t>: If</w:t>
      </w:r>
      <w:r w:rsidRPr="005F093A">
        <w:rPr>
          <w:rFonts w:ascii="Calibri" w:eastAsia="Calibri" w:hAnsi="Calibri" w:cs="Calibri"/>
        </w:rPr>
        <w:t xml:space="preserve"> the Copernicus product is ‘operational’, ‘pre-operational’, ‘demonstration’ or ‘in development’</w:t>
      </w:r>
    </w:p>
    <w:p w14:paraId="453FAF60" w14:textId="175D9F02" w:rsidR="005E25FB" w:rsidRPr="005F093A" w:rsidRDefault="005E25FB" w:rsidP="005F093A">
      <w:pPr>
        <w:pStyle w:val="ListParagraph"/>
        <w:numPr>
          <w:ilvl w:val="0"/>
          <w:numId w:val="29"/>
        </w:numPr>
        <w:jc w:val="both"/>
        <w:rPr>
          <w:rFonts w:ascii="Calibri" w:eastAsia="Calibri" w:hAnsi="Calibri" w:cs="Calibri"/>
        </w:rPr>
      </w:pPr>
      <w:r w:rsidRPr="005F093A">
        <w:rPr>
          <w:rFonts w:ascii="Calibri" w:eastAsia="Calibri" w:hAnsi="Calibri" w:cs="Calibri"/>
          <w:b/>
        </w:rPr>
        <w:t>Temporal coverage</w:t>
      </w:r>
      <w:r>
        <w:rPr>
          <w:rFonts w:ascii="Calibri" w:eastAsia="Calibri" w:hAnsi="Calibri" w:cs="Calibri"/>
          <w:b/>
        </w:rPr>
        <w:t>:</w:t>
      </w:r>
      <w:r w:rsidRPr="005F093A">
        <w:rPr>
          <w:rFonts w:ascii="Calibri" w:eastAsia="Calibri" w:hAnsi="Calibri" w:cs="Calibri"/>
        </w:rPr>
        <w:t xml:space="preserve"> </w:t>
      </w:r>
      <w:r>
        <w:rPr>
          <w:rFonts w:ascii="Calibri" w:eastAsia="Calibri" w:hAnsi="Calibri" w:cs="Calibri"/>
        </w:rPr>
        <w:t>Whether</w:t>
      </w:r>
      <w:r w:rsidRPr="005F093A">
        <w:rPr>
          <w:rFonts w:ascii="Calibri" w:eastAsia="Calibri" w:hAnsi="Calibri" w:cs="Calibri"/>
        </w:rPr>
        <w:t xml:space="preserve"> the product </w:t>
      </w:r>
      <w:r>
        <w:rPr>
          <w:rFonts w:ascii="Calibri" w:eastAsia="Calibri" w:hAnsi="Calibri" w:cs="Calibri"/>
        </w:rPr>
        <w:t xml:space="preserve">is </w:t>
      </w:r>
      <w:r w:rsidRPr="005F093A">
        <w:rPr>
          <w:rFonts w:ascii="Calibri" w:eastAsia="Calibri" w:hAnsi="Calibri" w:cs="Calibri"/>
        </w:rPr>
        <w:t>for one time point or</w:t>
      </w:r>
      <w:r w:rsidR="00014408">
        <w:rPr>
          <w:rFonts w:ascii="Calibri" w:eastAsia="Calibri" w:hAnsi="Calibri" w:cs="Calibri"/>
        </w:rPr>
        <w:t xml:space="preserve"> a</w:t>
      </w:r>
      <w:r w:rsidRPr="005F093A">
        <w:rPr>
          <w:rFonts w:ascii="Calibri" w:eastAsia="Calibri" w:hAnsi="Calibri" w:cs="Calibri"/>
        </w:rPr>
        <w:t xml:space="preserve"> time series</w:t>
      </w:r>
    </w:p>
    <w:p w14:paraId="3737CA8B" w14:textId="321320B0" w:rsidR="005E25FB" w:rsidRPr="005F093A" w:rsidRDefault="005E25FB" w:rsidP="005F093A">
      <w:pPr>
        <w:pStyle w:val="ListParagraph"/>
        <w:numPr>
          <w:ilvl w:val="0"/>
          <w:numId w:val="29"/>
        </w:numPr>
        <w:jc w:val="both"/>
        <w:rPr>
          <w:rFonts w:ascii="Calibri" w:eastAsia="Calibri" w:hAnsi="Calibri" w:cs="Calibri"/>
        </w:rPr>
      </w:pPr>
      <w:r w:rsidRPr="005F093A">
        <w:rPr>
          <w:rFonts w:ascii="Calibri" w:eastAsia="Calibri" w:hAnsi="Calibri" w:cs="Calibri"/>
          <w:b/>
        </w:rPr>
        <w:t>Spatial coverage and resolution</w:t>
      </w:r>
      <w:r>
        <w:rPr>
          <w:rFonts w:ascii="Calibri" w:eastAsia="Calibri" w:hAnsi="Calibri" w:cs="Calibri"/>
          <w:b/>
        </w:rPr>
        <w:t xml:space="preserve">: </w:t>
      </w:r>
      <w:r w:rsidR="00014408" w:rsidRPr="00636121">
        <w:rPr>
          <w:rFonts w:ascii="Calibri" w:eastAsia="Calibri" w:hAnsi="Calibri" w:cs="Calibri"/>
        </w:rPr>
        <w:t>How complete is the coverage of the European continent?</w:t>
      </w:r>
      <w:r w:rsidR="00014408">
        <w:rPr>
          <w:rFonts w:ascii="Calibri" w:eastAsia="Calibri" w:hAnsi="Calibri" w:cs="Calibri"/>
          <w:b/>
        </w:rPr>
        <w:t xml:space="preserve"> </w:t>
      </w:r>
      <w:r w:rsidRPr="005F093A">
        <w:rPr>
          <w:rFonts w:ascii="Calibri" w:eastAsia="Calibri" w:hAnsi="Calibri" w:cs="Calibri"/>
        </w:rPr>
        <w:t>D</w:t>
      </w:r>
      <w:r>
        <w:rPr>
          <w:rFonts w:ascii="Calibri" w:eastAsia="Calibri" w:hAnsi="Calibri" w:cs="Calibri"/>
        </w:rPr>
        <w:t>o</w:t>
      </w:r>
      <w:r w:rsidRPr="005F093A">
        <w:rPr>
          <w:rFonts w:ascii="Calibri" w:eastAsia="Calibri" w:hAnsi="Calibri" w:cs="Calibri"/>
        </w:rPr>
        <w:t>es the maximum spatial resolution</w:t>
      </w:r>
      <w:r w:rsidR="00014408">
        <w:rPr>
          <w:rFonts w:ascii="Calibri" w:eastAsia="Calibri" w:hAnsi="Calibri" w:cs="Calibri"/>
        </w:rPr>
        <w:t xml:space="preserve"> provide data at a scale that matches the average size of the ecosystem features to be investigated, e.g. linear elements such as hedgerows or s</w:t>
      </w:r>
      <w:r w:rsidR="00636121">
        <w:rPr>
          <w:rFonts w:ascii="Calibri" w:eastAsia="Calibri" w:hAnsi="Calibri" w:cs="Calibri"/>
        </w:rPr>
        <w:t>maller-scale ecosystem patches?</w:t>
      </w:r>
      <w:r w:rsidR="00014408">
        <w:rPr>
          <w:rFonts w:ascii="Calibri" w:eastAsia="Calibri" w:hAnsi="Calibri" w:cs="Calibri"/>
        </w:rPr>
        <w:t xml:space="preserve"> </w:t>
      </w:r>
    </w:p>
    <w:p w14:paraId="10FE0956" w14:textId="77777777" w:rsidR="005E25FB" w:rsidRDefault="005E25FB" w:rsidP="005F093A">
      <w:pPr>
        <w:jc w:val="both"/>
        <w:rPr>
          <w:rFonts w:ascii="Calibri" w:eastAsia="Calibri" w:hAnsi="Calibri" w:cs="Calibri"/>
        </w:rPr>
      </w:pPr>
    </w:p>
    <w:p w14:paraId="454954E4" w14:textId="28D79769" w:rsidR="005E25FB" w:rsidRDefault="005E25FB" w:rsidP="005F093A">
      <w:pPr>
        <w:jc w:val="both"/>
        <w:rPr>
          <w:rFonts w:ascii="Calibri" w:eastAsia="Calibri" w:hAnsi="Calibri" w:cs="Calibri"/>
          <w:u w:val="single"/>
        </w:rPr>
      </w:pPr>
      <w:r>
        <w:rPr>
          <w:rFonts w:ascii="Calibri" w:eastAsia="Calibri" w:hAnsi="Calibri" w:cs="Calibri"/>
          <w:u w:val="single"/>
        </w:rPr>
        <w:t>Wider Objectives</w:t>
      </w:r>
    </w:p>
    <w:p w14:paraId="294A7783" w14:textId="77777777" w:rsidR="005E25FB" w:rsidRDefault="005E25FB" w:rsidP="005F093A">
      <w:pPr>
        <w:jc w:val="both"/>
        <w:rPr>
          <w:rFonts w:ascii="Calibri" w:eastAsia="Calibri" w:hAnsi="Calibri" w:cs="Calibri"/>
          <w:u w:val="single"/>
        </w:rPr>
      </w:pPr>
    </w:p>
    <w:p w14:paraId="71D8612C" w14:textId="11D6ECF3" w:rsidR="005E25FB" w:rsidRPr="005F093A" w:rsidRDefault="005E25FB" w:rsidP="005F093A">
      <w:pPr>
        <w:jc w:val="both"/>
        <w:rPr>
          <w:rFonts w:ascii="Calibri" w:eastAsia="Calibri" w:hAnsi="Calibri" w:cs="Calibri"/>
        </w:rPr>
      </w:pPr>
      <w:r w:rsidRPr="005F093A">
        <w:rPr>
          <w:rFonts w:ascii="Calibri" w:eastAsia="Calibri" w:hAnsi="Calibri" w:cs="Calibri"/>
        </w:rPr>
        <w:t xml:space="preserve">The database is not only intended to identify where Copernicus land monitoring services can provide long-term support to ecosystem accounting but also </w:t>
      </w:r>
      <w:r w:rsidR="00014408">
        <w:rPr>
          <w:rFonts w:ascii="Calibri" w:eastAsia="Calibri" w:hAnsi="Calibri" w:cs="Calibri"/>
        </w:rPr>
        <w:t>to</w:t>
      </w:r>
      <w:r w:rsidR="00014408" w:rsidRPr="005F093A">
        <w:rPr>
          <w:rFonts w:ascii="Calibri" w:eastAsia="Calibri" w:hAnsi="Calibri" w:cs="Calibri"/>
        </w:rPr>
        <w:t xml:space="preserve"> </w:t>
      </w:r>
      <w:r w:rsidRPr="005F093A">
        <w:rPr>
          <w:rFonts w:ascii="Calibri" w:eastAsia="Calibri" w:hAnsi="Calibri" w:cs="Calibri"/>
        </w:rPr>
        <w:t>identify thematic and metadata limitations.  For each accounting module spreadsheet an assessment i</w:t>
      </w:r>
      <w:r w:rsidR="00014408">
        <w:rPr>
          <w:rFonts w:ascii="Calibri" w:eastAsia="Calibri" w:hAnsi="Calibri" w:cs="Calibri"/>
        </w:rPr>
        <w:t>s</w:t>
      </w:r>
      <w:r w:rsidRPr="005F093A">
        <w:rPr>
          <w:rFonts w:ascii="Calibri" w:eastAsia="Calibri" w:hAnsi="Calibri" w:cs="Calibri"/>
        </w:rPr>
        <w:t xml:space="preserve"> provided of limitations of the product or service for describing the ecosystem accounting theme of interest and possibilities for improvement.  This, in turn, will help establish the key opportunities for the development of further Copernicus products to meet the needs of </w:t>
      </w:r>
      <w:r w:rsidR="00014408">
        <w:rPr>
          <w:rFonts w:ascii="Calibri" w:eastAsia="Calibri" w:hAnsi="Calibri" w:cs="Calibri"/>
        </w:rPr>
        <w:t>EU</w:t>
      </w:r>
      <w:r w:rsidR="00014408" w:rsidRPr="005F093A">
        <w:rPr>
          <w:rFonts w:ascii="Calibri" w:eastAsia="Calibri" w:hAnsi="Calibri" w:cs="Calibri"/>
        </w:rPr>
        <w:t xml:space="preserve"> </w:t>
      </w:r>
      <w:r w:rsidRPr="005F093A">
        <w:rPr>
          <w:rFonts w:ascii="Calibri" w:eastAsia="Calibri" w:hAnsi="Calibri" w:cs="Calibri"/>
        </w:rPr>
        <w:t xml:space="preserve">ecosystem accounting, and </w:t>
      </w:r>
      <w:r w:rsidR="00014408">
        <w:rPr>
          <w:rFonts w:ascii="Calibri" w:eastAsia="Calibri" w:hAnsi="Calibri" w:cs="Calibri"/>
        </w:rPr>
        <w:t xml:space="preserve">the </w:t>
      </w:r>
      <w:r w:rsidRPr="005F093A">
        <w:rPr>
          <w:rFonts w:ascii="Calibri" w:eastAsia="Calibri" w:hAnsi="Calibri" w:cs="Calibri"/>
        </w:rPr>
        <w:t xml:space="preserve">wider </w:t>
      </w:r>
      <w:r w:rsidR="00014408">
        <w:rPr>
          <w:rFonts w:ascii="Calibri" w:eastAsia="Calibri" w:hAnsi="Calibri" w:cs="Calibri"/>
        </w:rPr>
        <w:t xml:space="preserve">ecosystem </w:t>
      </w:r>
      <w:r w:rsidRPr="005F093A">
        <w:rPr>
          <w:rFonts w:ascii="Calibri" w:eastAsia="Calibri" w:hAnsi="Calibri" w:cs="Calibri"/>
        </w:rPr>
        <w:t>assessment community in Europe</w:t>
      </w:r>
      <w:r>
        <w:rPr>
          <w:rFonts w:ascii="Calibri" w:eastAsia="Calibri" w:hAnsi="Calibri" w:cs="Calibri"/>
        </w:rPr>
        <w:t>.</w:t>
      </w:r>
    </w:p>
    <w:sectPr w:rsidR="005E25FB" w:rsidRPr="005F093A">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DA0E" w14:textId="77777777" w:rsidR="00E21C66" w:rsidRDefault="00E21C66" w:rsidP="00D024E7">
      <w:pPr>
        <w:spacing w:line="240" w:lineRule="auto"/>
      </w:pPr>
      <w:r>
        <w:separator/>
      </w:r>
    </w:p>
  </w:endnote>
  <w:endnote w:type="continuationSeparator" w:id="0">
    <w:p w14:paraId="57E2CD26" w14:textId="77777777" w:rsidR="00E21C66" w:rsidRDefault="00E21C66" w:rsidP="00D02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12671"/>
      <w:docPartObj>
        <w:docPartGallery w:val="Page Numbers (Bottom of Page)"/>
        <w:docPartUnique/>
      </w:docPartObj>
    </w:sdtPr>
    <w:sdtEndPr>
      <w:rPr>
        <w:noProof/>
      </w:rPr>
    </w:sdtEndPr>
    <w:sdtContent>
      <w:p w14:paraId="477CF274" w14:textId="78809A57" w:rsidR="00972428" w:rsidRDefault="00972428">
        <w:pPr>
          <w:pStyle w:val="Footer"/>
          <w:jc w:val="center"/>
        </w:pPr>
        <w:r>
          <w:fldChar w:fldCharType="begin"/>
        </w:r>
        <w:r>
          <w:instrText xml:space="preserve"> PAGE   \* MERGEFORMAT </w:instrText>
        </w:r>
        <w:r>
          <w:fldChar w:fldCharType="separate"/>
        </w:r>
        <w:r w:rsidR="00951E35">
          <w:rPr>
            <w:noProof/>
          </w:rPr>
          <w:t>2</w:t>
        </w:r>
        <w:r>
          <w:rPr>
            <w:noProof/>
          </w:rPr>
          <w:fldChar w:fldCharType="end"/>
        </w:r>
      </w:p>
    </w:sdtContent>
  </w:sdt>
  <w:p w14:paraId="3A356DCD" w14:textId="77777777" w:rsidR="00972428" w:rsidRDefault="0097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4A23" w14:textId="77777777" w:rsidR="00E21C66" w:rsidRDefault="00E21C66" w:rsidP="00D024E7">
      <w:pPr>
        <w:spacing w:line="240" w:lineRule="auto"/>
      </w:pPr>
      <w:r>
        <w:separator/>
      </w:r>
    </w:p>
  </w:footnote>
  <w:footnote w:type="continuationSeparator" w:id="0">
    <w:p w14:paraId="4FF3A3B3" w14:textId="77777777" w:rsidR="00E21C66" w:rsidRDefault="00E21C66" w:rsidP="00D024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69A"/>
    <w:multiLevelType w:val="hybridMultilevel"/>
    <w:tmpl w:val="00CCD70A"/>
    <w:lvl w:ilvl="0" w:tplc="297CDA82">
      <w:start w:val="1"/>
      <w:numFmt w:val="bullet"/>
      <w:lvlText w:val="•"/>
      <w:lvlJc w:val="left"/>
      <w:pPr>
        <w:tabs>
          <w:tab w:val="num" w:pos="720"/>
        </w:tabs>
        <w:ind w:left="720" w:hanging="360"/>
      </w:pPr>
      <w:rPr>
        <w:rFonts w:ascii="Arial" w:hAnsi="Arial" w:hint="default"/>
      </w:rPr>
    </w:lvl>
    <w:lvl w:ilvl="1" w:tplc="4F78FE46" w:tentative="1">
      <w:start w:val="1"/>
      <w:numFmt w:val="bullet"/>
      <w:lvlText w:val="•"/>
      <w:lvlJc w:val="left"/>
      <w:pPr>
        <w:tabs>
          <w:tab w:val="num" w:pos="1440"/>
        </w:tabs>
        <w:ind w:left="1440" w:hanging="360"/>
      </w:pPr>
      <w:rPr>
        <w:rFonts w:ascii="Arial" w:hAnsi="Arial" w:hint="default"/>
      </w:rPr>
    </w:lvl>
    <w:lvl w:ilvl="2" w:tplc="8E08679C" w:tentative="1">
      <w:start w:val="1"/>
      <w:numFmt w:val="bullet"/>
      <w:lvlText w:val="•"/>
      <w:lvlJc w:val="left"/>
      <w:pPr>
        <w:tabs>
          <w:tab w:val="num" w:pos="2160"/>
        </w:tabs>
        <w:ind w:left="2160" w:hanging="360"/>
      </w:pPr>
      <w:rPr>
        <w:rFonts w:ascii="Arial" w:hAnsi="Arial" w:hint="default"/>
      </w:rPr>
    </w:lvl>
    <w:lvl w:ilvl="3" w:tplc="5B4015CA" w:tentative="1">
      <w:start w:val="1"/>
      <w:numFmt w:val="bullet"/>
      <w:lvlText w:val="•"/>
      <w:lvlJc w:val="left"/>
      <w:pPr>
        <w:tabs>
          <w:tab w:val="num" w:pos="2880"/>
        </w:tabs>
        <w:ind w:left="2880" w:hanging="360"/>
      </w:pPr>
      <w:rPr>
        <w:rFonts w:ascii="Arial" w:hAnsi="Arial" w:hint="default"/>
      </w:rPr>
    </w:lvl>
    <w:lvl w:ilvl="4" w:tplc="4C26E590" w:tentative="1">
      <w:start w:val="1"/>
      <w:numFmt w:val="bullet"/>
      <w:lvlText w:val="•"/>
      <w:lvlJc w:val="left"/>
      <w:pPr>
        <w:tabs>
          <w:tab w:val="num" w:pos="3600"/>
        </w:tabs>
        <w:ind w:left="3600" w:hanging="360"/>
      </w:pPr>
      <w:rPr>
        <w:rFonts w:ascii="Arial" w:hAnsi="Arial" w:hint="default"/>
      </w:rPr>
    </w:lvl>
    <w:lvl w:ilvl="5" w:tplc="47A2915A" w:tentative="1">
      <w:start w:val="1"/>
      <w:numFmt w:val="bullet"/>
      <w:lvlText w:val="•"/>
      <w:lvlJc w:val="left"/>
      <w:pPr>
        <w:tabs>
          <w:tab w:val="num" w:pos="4320"/>
        </w:tabs>
        <w:ind w:left="4320" w:hanging="360"/>
      </w:pPr>
      <w:rPr>
        <w:rFonts w:ascii="Arial" w:hAnsi="Arial" w:hint="default"/>
      </w:rPr>
    </w:lvl>
    <w:lvl w:ilvl="6" w:tplc="9B661E68" w:tentative="1">
      <w:start w:val="1"/>
      <w:numFmt w:val="bullet"/>
      <w:lvlText w:val="•"/>
      <w:lvlJc w:val="left"/>
      <w:pPr>
        <w:tabs>
          <w:tab w:val="num" w:pos="5040"/>
        </w:tabs>
        <w:ind w:left="5040" w:hanging="360"/>
      </w:pPr>
      <w:rPr>
        <w:rFonts w:ascii="Arial" w:hAnsi="Arial" w:hint="default"/>
      </w:rPr>
    </w:lvl>
    <w:lvl w:ilvl="7" w:tplc="C9FE9026" w:tentative="1">
      <w:start w:val="1"/>
      <w:numFmt w:val="bullet"/>
      <w:lvlText w:val="•"/>
      <w:lvlJc w:val="left"/>
      <w:pPr>
        <w:tabs>
          <w:tab w:val="num" w:pos="5760"/>
        </w:tabs>
        <w:ind w:left="5760" w:hanging="360"/>
      </w:pPr>
      <w:rPr>
        <w:rFonts w:ascii="Arial" w:hAnsi="Arial" w:hint="default"/>
      </w:rPr>
    </w:lvl>
    <w:lvl w:ilvl="8" w:tplc="AC721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A0C48"/>
    <w:multiLevelType w:val="hybridMultilevel"/>
    <w:tmpl w:val="CC50A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0A8"/>
    <w:multiLevelType w:val="hybridMultilevel"/>
    <w:tmpl w:val="FE7097CC"/>
    <w:lvl w:ilvl="0" w:tplc="0C92C322">
      <w:start w:val="1"/>
      <w:numFmt w:val="bullet"/>
      <w:lvlText w:val="-"/>
      <w:lvlJc w:val="left"/>
      <w:pPr>
        <w:tabs>
          <w:tab w:val="num" w:pos="720"/>
        </w:tabs>
        <w:ind w:left="720" w:hanging="360"/>
      </w:pPr>
      <w:rPr>
        <w:rFonts w:ascii="Times New Roman" w:hAnsi="Times New Roman" w:hint="default"/>
      </w:rPr>
    </w:lvl>
    <w:lvl w:ilvl="1" w:tplc="75467F6A" w:tentative="1">
      <w:start w:val="1"/>
      <w:numFmt w:val="bullet"/>
      <w:lvlText w:val="-"/>
      <w:lvlJc w:val="left"/>
      <w:pPr>
        <w:tabs>
          <w:tab w:val="num" w:pos="1440"/>
        </w:tabs>
        <w:ind w:left="1440" w:hanging="360"/>
      </w:pPr>
      <w:rPr>
        <w:rFonts w:ascii="Times New Roman" w:hAnsi="Times New Roman" w:hint="default"/>
      </w:rPr>
    </w:lvl>
    <w:lvl w:ilvl="2" w:tplc="96722BA8" w:tentative="1">
      <w:start w:val="1"/>
      <w:numFmt w:val="bullet"/>
      <w:lvlText w:val="-"/>
      <w:lvlJc w:val="left"/>
      <w:pPr>
        <w:tabs>
          <w:tab w:val="num" w:pos="2160"/>
        </w:tabs>
        <w:ind w:left="2160" w:hanging="360"/>
      </w:pPr>
      <w:rPr>
        <w:rFonts w:ascii="Times New Roman" w:hAnsi="Times New Roman" w:hint="default"/>
      </w:rPr>
    </w:lvl>
    <w:lvl w:ilvl="3" w:tplc="3C40BDF6" w:tentative="1">
      <w:start w:val="1"/>
      <w:numFmt w:val="bullet"/>
      <w:lvlText w:val="-"/>
      <w:lvlJc w:val="left"/>
      <w:pPr>
        <w:tabs>
          <w:tab w:val="num" w:pos="2880"/>
        </w:tabs>
        <w:ind w:left="2880" w:hanging="360"/>
      </w:pPr>
      <w:rPr>
        <w:rFonts w:ascii="Times New Roman" w:hAnsi="Times New Roman" w:hint="default"/>
      </w:rPr>
    </w:lvl>
    <w:lvl w:ilvl="4" w:tplc="24CE7F5E" w:tentative="1">
      <w:start w:val="1"/>
      <w:numFmt w:val="bullet"/>
      <w:lvlText w:val="-"/>
      <w:lvlJc w:val="left"/>
      <w:pPr>
        <w:tabs>
          <w:tab w:val="num" w:pos="3600"/>
        </w:tabs>
        <w:ind w:left="3600" w:hanging="360"/>
      </w:pPr>
      <w:rPr>
        <w:rFonts w:ascii="Times New Roman" w:hAnsi="Times New Roman" w:hint="default"/>
      </w:rPr>
    </w:lvl>
    <w:lvl w:ilvl="5" w:tplc="BC0C8DAC" w:tentative="1">
      <w:start w:val="1"/>
      <w:numFmt w:val="bullet"/>
      <w:lvlText w:val="-"/>
      <w:lvlJc w:val="left"/>
      <w:pPr>
        <w:tabs>
          <w:tab w:val="num" w:pos="4320"/>
        </w:tabs>
        <w:ind w:left="4320" w:hanging="360"/>
      </w:pPr>
      <w:rPr>
        <w:rFonts w:ascii="Times New Roman" w:hAnsi="Times New Roman" w:hint="default"/>
      </w:rPr>
    </w:lvl>
    <w:lvl w:ilvl="6" w:tplc="A182A3D8" w:tentative="1">
      <w:start w:val="1"/>
      <w:numFmt w:val="bullet"/>
      <w:lvlText w:val="-"/>
      <w:lvlJc w:val="left"/>
      <w:pPr>
        <w:tabs>
          <w:tab w:val="num" w:pos="5040"/>
        </w:tabs>
        <w:ind w:left="5040" w:hanging="360"/>
      </w:pPr>
      <w:rPr>
        <w:rFonts w:ascii="Times New Roman" w:hAnsi="Times New Roman" w:hint="default"/>
      </w:rPr>
    </w:lvl>
    <w:lvl w:ilvl="7" w:tplc="44026564" w:tentative="1">
      <w:start w:val="1"/>
      <w:numFmt w:val="bullet"/>
      <w:lvlText w:val="-"/>
      <w:lvlJc w:val="left"/>
      <w:pPr>
        <w:tabs>
          <w:tab w:val="num" w:pos="5760"/>
        </w:tabs>
        <w:ind w:left="5760" w:hanging="360"/>
      </w:pPr>
      <w:rPr>
        <w:rFonts w:ascii="Times New Roman" w:hAnsi="Times New Roman" w:hint="default"/>
      </w:rPr>
    </w:lvl>
    <w:lvl w:ilvl="8" w:tplc="264A6B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5E7270"/>
    <w:multiLevelType w:val="multilevel"/>
    <w:tmpl w:val="01C066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151FA3"/>
    <w:multiLevelType w:val="multilevel"/>
    <w:tmpl w:val="E1204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087DEF"/>
    <w:multiLevelType w:val="multilevel"/>
    <w:tmpl w:val="31981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4F1D55"/>
    <w:multiLevelType w:val="hybridMultilevel"/>
    <w:tmpl w:val="0DB41B52"/>
    <w:lvl w:ilvl="0" w:tplc="08090013">
      <w:start w:val="1"/>
      <w:numFmt w:val="upperRoman"/>
      <w:lvlText w:val="%1."/>
      <w:lvlJc w:val="right"/>
      <w:pPr>
        <w:tabs>
          <w:tab w:val="num" w:pos="720"/>
        </w:tabs>
        <w:ind w:left="720" w:hanging="360"/>
      </w:pPr>
      <w:rPr>
        <w:rFonts w:hint="default"/>
      </w:rPr>
    </w:lvl>
    <w:lvl w:ilvl="1" w:tplc="B84489D6" w:tentative="1">
      <w:start w:val="1"/>
      <w:numFmt w:val="bullet"/>
      <w:lvlText w:val="•"/>
      <w:lvlJc w:val="left"/>
      <w:pPr>
        <w:tabs>
          <w:tab w:val="num" w:pos="1440"/>
        </w:tabs>
        <w:ind w:left="1440" w:hanging="360"/>
      </w:pPr>
      <w:rPr>
        <w:rFonts w:ascii="Arial" w:hAnsi="Arial" w:hint="default"/>
      </w:rPr>
    </w:lvl>
    <w:lvl w:ilvl="2" w:tplc="5D6428D6" w:tentative="1">
      <w:start w:val="1"/>
      <w:numFmt w:val="bullet"/>
      <w:lvlText w:val="•"/>
      <w:lvlJc w:val="left"/>
      <w:pPr>
        <w:tabs>
          <w:tab w:val="num" w:pos="2160"/>
        </w:tabs>
        <w:ind w:left="2160" w:hanging="360"/>
      </w:pPr>
      <w:rPr>
        <w:rFonts w:ascii="Arial" w:hAnsi="Arial" w:hint="default"/>
      </w:rPr>
    </w:lvl>
    <w:lvl w:ilvl="3" w:tplc="F2B81A02" w:tentative="1">
      <w:start w:val="1"/>
      <w:numFmt w:val="bullet"/>
      <w:lvlText w:val="•"/>
      <w:lvlJc w:val="left"/>
      <w:pPr>
        <w:tabs>
          <w:tab w:val="num" w:pos="2880"/>
        </w:tabs>
        <w:ind w:left="2880" w:hanging="360"/>
      </w:pPr>
      <w:rPr>
        <w:rFonts w:ascii="Arial" w:hAnsi="Arial" w:hint="default"/>
      </w:rPr>
    </w:lvl>
    <w:lvl w:ilvl="4" w:tplc="4764579E" w:tentative="1">
      <w:start w:val="1"/>
      <w:numFmt w:val="bullet"/>
      <w:lvlText w:val="•"/>
      <w:lvlJc w:val="left"/>
      <w:pPr>
        <w:tabs>
          <w:tab w:val="num" w:pos="3600"/>
        </w:tabs>
        <w:ind w:left="3600" w:hanging="360"/>
      </w:pPr>
      <w:rPr>
        <w:rFonts w:ascii="Arial" w:hAnsi="Arial" w:hint="default"/>
      </w:rPr>
    </w:lvl>
    <w:lvl w:ilvl="5" w:tplc="A60C86CA" w:tentative="1">
      <w:start w:val="1"/>
      <w:numFmt w:val="bullet"/>
      <w:lvlText w:val="•"/>
      <w:lvlJc w:val="left"/>
      <w:pPr>
        <w:tabs>
          <w:tab w:val="num" w:pos="4320"/>
        </w:tabs>
        <w:ind w:left="4320" w:hanging="360"/>
      </w:pPr>
      <w:rPr>
        <w:rFonts w:ascii="Arial" w:hAnsi="Arial" w:hint="default"/>
      </w:rPr>
    </w:lvl>
    <w:lvl w:ilvl="6" w:tplc="95101C88" w:tentative="1">
      <w:start w:val="1"/>
      <w:numFmt w:val="bullet"/>
      <w:lvlText w:val="•"/>
      <w:lvlJc w:val="left"/>
      <w:pPr>
        <w:tabs>
          <w:tab w:val="num" w:pos="5040"/>
        </w:tabs>
        <w:ind w:left="5040" w:hanging="360"/>
      </w:pPr>
      <w:rPr>
        <w:rFonts w:ascii="Arial" w:hAnsi="Arial" w:hint="default"/>
      </w:rPr>
    </w:lvl>
    <w:lvl w:ilvl="7" w:tplc="D72C3C9C" w:tentative="1">
      <w:start w:val="1"/>
      <w:numFmt w:val="bullet"/>
      <w:lvlText w:val="•"/>
      <w:lvlJc w:val="left"/>
      <w:pPr>
        <w:tabs>
          <w:tab w:val="num" w:pos="5760"/>
        </w:tabs>
        <w:ind w:left="5760" w:hanging="360"/>
      </w:pPr>
      <w:rPr>
        <w:rFonts w:ascii="Arial" w:hAnsi="Arial" w:hint="default"/>
      </w:rPr>
    </w:lvl>
    <w:lvl w:ilvl="8" w:tplc="A8184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10771"/>
    <w:multiLevelType w:val="hybridMultilevel"/>
    <w:tmpl w:val="6D48F8AA"/>
    <w:lvl w:ilvl="0" w:tplc="5D223624">
      <w:start w:val="1"/>
      <w:numFmt w:val="bullet"/>
      <w:lvlText w:val="-"/>
      <w:lvlJc w:val="left"/>
      <w:pPr>
        <w:tabs>
          <w:tab w:val="num" w:pos="720"/>
        </w:tabs>
        <w:ind w:left="720" w:hanging="360"/>
      </w:pPr>
      <w:rPr>
        <w:rFonts w:ascii="Times New Roman" w:hAnsi="Times New Roman" w:hint="default"/>
      </w:rPr>
    </w:lvl>
    <w:lvl w:ilvl="1" w:tplc="827C3F02" w:tentative="1">
      <w:start w:val="1"/>
      <w:numFmt w:val="bullet"/>
      <w:lvlText w:val="-"/>
      <w:lvlJc w:val="left"/>
      <w:pPr>
        <w:tabs>
          <w:tab w:val="num" w:pos="1440"/>
        </w:tabs>
        <w:ind w:left="1440" w:hanging="360"/>
      </w:pPr>
      <w:rPr>
        <w:rFonts w:ascii="Times New Roman" w:hAnsi="Times New Roman" w:hint="default"/>
      </w:rPr>
    </w:lvl>
    <w:lvl w:ilvl="2" w:tplc="8636681E" w:tentative="1">
      <w:start w:val="1"/>
      <w:numFmt w:val="bullet"/>
      <w:lvlText w:val="-"/>
      <w:lvlJc w:val="left"/>
      <w:pPr>
        <w:tabs>
          <w:tab w:val="num" w:pos="2160"/>
        </w:tabs>
        <w:ind w:left="2160" w:hanging="360"/>
      </w:pPr>
      <w:rPr>
        <w:rFonts w:ascii="Times New Roman" w:hAnsi="Times New Roman" w:hint="default"/>
      </w:rPr>
    </w:lvl>
    <w:lvl w:ilvl="3" w:tplc="BA469608" w:tentative="1">
      <w:start w:val="1"/>
      <w:numFmt w:val="bullet"/>
      <w:lvlText w:val="-"/>
      <w:lvlJc w:val="left"/>
      <w:pPr>
        <w:tabs>
          <w:tab w:val="num" w:pos="2880"/>
        </w:tabs>
        <w:ind w:left="2880" w:hanging="360"/>
      </w:pPr>
      <w:rPr>
        <w:rFonts w:ascii="Times New Roman" w:hAnsi="Times New Roman" w:hint="default"/>
      </w:rPr>
    </w:lvl>
    <w:lvl w:ilvl="4" w:tplc="55E83864" w:tentative="1">
      <w:start w:val="1"/>
      <w:numFmt w:val="bullet"/>
      <w:lvlText w:val="-"/>
      <w:lvlJc w:val="left"/>
      <w:pPr>
        <w:tabs>
          <w:tab w:val="num" w:pos="3600"/>
        </w:tabs>
        <w:ind w:left="3600" w:hanging="360"/>
      </w:pPr>
      <w:rPr>
        <w:rFonts w:ascii="Times New Roman" w:hAnsi="Times New Roman" w:hint="default"/>
      </w:rPr>
    </w:lvl>
    <w:lvl w:ilvl="5" w:tplc="A880DCC2" w:tentative="1">
      <w:start w:val="1"/>
      <w:numFmt w:val="bullet"/>
      <w:lvlText w:val="-"/>
      <w:lvlJc w:val="left"/>
      <w:pPr>
        <w:tabs>
          <w:tab w:val="num" w:pos="4320"/>
        </w:tabs>
        <w:ind w:left="4320" w:hanging="360"/>
      </w:pPr>
      <w:rPr>
        <w:rFonts w:ascii="Times New Roman" w:hAnsi="Times New Roman" w:hint="default"/>
      </w:rPr>
    </w:lvl>
    <w:lvl w:ilvl="6" w:tplc="C32C063C" w:tentative="1">
      <w:start w:val="1"/>
      <w:numFmt w:val="bullet"/>
      <w:lvlText w:val="-"/>
      <w:lvlJc w:val="left"/>
      <w:pPr>
        <w:tabs>
          <w:tab w:val="num" w:pos="5040"/>
        </w:tabs>
        <w:ind w:left="5040" w:hanging="360"/>
      </w:pPr>
      <w:rPr>
        <w:rFonts w:ascii="Times New Roman" w:hAnsi="Times New Roman" w:hint="default"/>
      </w:rPr>
    </w:lvl>
    <w:lvl w:ilvl="7" w:tplc="8356056A" w:tentative="1">
      <w:start w:val="1"/>
      <w:numFmt w:val="bullet"/>
      <w:lvlText w:val="-"/>
      <w:lvlJc w:val="left"/>
      <w:pPr>
        <w:tabs>
          <w:tab w:val="num" w:pos="5760"/>
        </w:tabs>
        <w:ind w:left="5760" w:hanging="360"/>
      </w:pPr>
      <w:rPr>
        <w:rFonts w:ascii="Times New Roman" w:hAnsi="Times New Roman" w:hint="default"/>
      </w:rPr>
    </w:lvl>
    <w:lvl w:ilvl="8" w:tplc="EE8858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017AB2"/>
    <w:multiLevelType w:val="hybridMultilevel"/>
    <w:tmpl w:val="8934F7F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2B0C2C3F"/>
    <w:multiLevelType w:val="hybridMultilevel"/>
    <w:tmpl w:val="75E2DE44"/>
    <w:lvl w:ilvl="0" w:tplc="78141F2E">
      <w:start w:val="1"/>
      <w:numFmt w:val="bullet"/>
      <w:lvlText w:val="•"/>
      <w:lvlJc w:val="left"/>
      <w:pPr>
        <w:tabs>
          <w:tab w:val="num" w:pos="720"/>
        </w:tabs>
        <w:ind w:left="720" w:hanging="360"/>
      </w:pPr>
      <w:rPr>
        <w:rFonts w:ascii="Arial" w:hAnsi="Arial" w:hint="default"/>
      </w:rPr>
    </w:lvl>
    <w:lvl w:ilvl="1" w:tplc="8E38758E" w:tentative="1">
      <w:start w:val="1"/>
      <w:numFmt w:val="bullet"/>
      <w:lvlText w:val="•"/>
      <w:lvlJc w:val="left"/>
      <w:pPr>
        <w:tabs>
          <w:tab w:val="num" w:pos="1440"/>
        </w:tabs>
        <w:ind w:left="1440" w:hanging="360"/>
      </w:pPr>
      <w:rPr>
        <w:rFonts w:ascii="Arial" w:hAnsi="Arial" w:hint="default"/>
      </w:rPr>
    </w:lvl>
    <w:lvl w:ilvl="2" w:tplc="6B54E640" w:tentative="1">
      <w:start w:val="1"/>
      <w:numFmt w:val="bullet"/>
      <w:lvlText w:val="•"/>
      <w:lvlJc w:val="left"/>
      <w:pPr>
        <w:tabs>
          <w:tab w:val="num" w:pos="2160"/>
        </w:tabs>
        <w:ind w:left="2160" w:hanging="360"/>
      </w:pPr>
      <w:rPr>
        <w:rFonts w:ascii="Arial" w:hAnsi="Arial" w:hint="default"/>
      </w:rPr>
    </w:lvl>
    <w:lvl w:ilvl="3" w:tplc="A66026AC" w:tentative="1">
      <w:start w:val="1"/>
      <w:numFmt w:val="bullet"/>
      <w:lvlText w:val="•"/>
      <w:lvlJc w:val="left"/>
      <w:pPr>
        <w:tabs>
          <w:tab w:val="num" w:pos="2880"/>
        </w:tabs>
        <w:ind w:left="2880" w:hanging="360"/>
      </w:pPr>
      <w:rPr>
        <w:rFonts w:ascii="Arial" w:hAnsi="Arial" w:hint="default"/>
      </w:rPr>
    </w:lvl>
    <w:lvl w:ilvl="4" w:tplc="F6803C34" w:tentative="1">
      <w:start w:val="1"/>
      <w:numFmt w:val="bullet"/>
      <w:lvlText w:val="•"/>
      <w:lvlJc w:val="left"/>
      <w:pPr>
        <w:tabs>
          <w:tab w:val="num" w:pos="3600"/>
        </w:tabs>
        <w:ind w:left="3600" w:hanging="360"/>
      </w:pPr>
      <w:rPr>
        <w:rFonts w:ascii="Arial" w:hAnsi="Arial" w:hint="default"/>
      </w:rPr>
    </w:lvl>
    <w:lvl w:ilvl="5" w:tplc="015EAE72" w:tentative="1">
      <w:start w:val="1"/>
      <w:numFmt w:val="bullet"/>
      <w:lvlText w:val="•"/>
      <w:lvlJc w:val="left"/>
      <w:pPr>
        <w:tabs>
          <w:tab w:val="num" w:pos="4320"/>
        </w:tabs>
        <w:ind w:left="4320" w:hanging="360"/>
      </w:pPr>
      <w:rPr>
        <w:rFonts w:ascii="Arial" w:hAnsi="Arial" w:hint="default"/>
      </w:rPr>
    </w:lvl>
    <w:lvl w:ilvl="6" w:tplc="01E2AF96" w:tentative="1">
      <w:start w:val="1"/>
      <w:numFmt w:val="bullet"/>
      <w:lvlText w:val="•"/>
      <w:lvlJc w:val="left"/>
      <w:pPr>
        <w:tabs>
          <w:tab w:val="num" w:pos="5040"/>
        </w:tabs>
        <w:ind w:left="5040" w:hanging="360"/>
      </w:pPr>
      <w:rPr>
        <w:rFonts w:ascii="Arial" w:hAnsi="Arial" w:hint="default"/>
      </w:rPr>
    </w:lvl>
    <w:lvl w:ilvl="7" w:tplc="B0ECFD1A" w:tentative="1">
      <w:start w:val="1"/>
      <w:numFmt w:val="bullet"/>
      <w:lvlText w:val="•"/>
      <w:lvlJc w:val="left"/>
      <w:pPr>
        <w:tabs>
          <w:tab w:val="num" w:pos="5760"/>
        </w:tabs>
        <w:ind w:left="5760" w:hanging="360"/>
      </w:pPr>
      <w:rPr>
        <w:rFonts w:ascii="Arial" w:hAnsi="Arial" w:hint="default"/>
      </w:rPr>
    </w:lvl>
    <w:lvl w:ilvl="8" w:tplc="75CA5F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87079D"/>
    <w:multiLevelType w:val="hybridMultilevel"/>
    <w:tmpl w:val="67CECB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5093E"/>
    <w:multiLevelType w:val="multilevel"/>
    <w:tmpl w:val="92D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A7F0F"/>
    <w:multiLevelType w:val="hybridMultilevel"/>
    <w:tmpl w:val="48D43C54"/>
    <w:lvl w:ilvl="0" w:tplc="08090011">
      <w:start w:val="1"/>
      <w:numFmt w:val="decimal"/>
      <w:lvlText w:val="%1)"/>
      <w:lvlJc w:val="left"/>
      <w:pPr>
        <w:tabs>
          <w:tab w:val="num" w:pos="720"/>
        </w:tabs>
        <w:ind w:left="720" w:hanging="360"/>
      </w:pPr>
      <w:rPr>
        <w:rFonts w:hint="default"/>
      </w:rPr>
    </w:lvl>
    <w:lvl w:ilvl="1" w:tplc="B84489D6" w:tentative="1">
      <w:start w:val="1"/>
      <w:numFmt w:val="bullet"/>
      <w:lvlText w:val="•"/>
      <w:lvlJc w:val="left"/>
      <w:pPr>
        <w:tabs>
          <w:tab w:val="num" w:pos="1440"/>
        </w:tabs>
        <w:ind w:left="1440" w:hanging="360"/>
      </w:pPr>
      <w:rPr>
        <w:rFonts w:ascii="Arial" w:hAnsi="Arial" w:hint="default"/>
      </w:rPr>
    </w:lvl>
    <w:lvl w:ilvl="2" w:tplc="5D6428D6" w:tentative="1">
      <w:start w:val="1"/>
      <w:numFmt w:val="bullet"/>
      <w:lvlText w:val="•"/>
      <w:lvlJc w:val="left"/>
      <w:pPr>
        <w:tabs>
          <w:tab w:val="num" w:pos="2160"/>
        </w:tabs>
        <w:ind w:left="2160" w:hanging="360"/>
      </w:pPr>
      <w:rPr>
        <w:rFonts w:ascii="Arial" w:hAnsi="Arial" w:hint="default"/>
      </w:rPr>
    </w:lvl>
    <w:lvl w:ilvl="3" w:tplc="F2B81A02" w:tentative="1">
      <w:start w:val="1"/>
      <w:numFmt w:val="bullet"/>
      <w:lvlText w:val="•"/>
      <w:lvlJc w:val="left"/>
      <w:pPr>
        <w:tabs>
          <w:tab w:val="num" w:pos="2880"/>
        </w:tabs>
        <w:ind w:left="2880" w:hanging="360"/>
      </w:pPr>
      <w:rPr>
        <w:rFonts w:ascii="Arial" w:hAnsi="Arial" w:hint="default"/>
      </w:rPr>
    </w:lvl>
    <w:lvl w:ilvl="4" w:tplc="4764579E" w:tentative="1">
      <w:start w:val="1"/>
      <w:numFmt w:val="bullet"/>
      <w:lvlText w:val="•"/>
      <w:lvlJc w:val="left"/>
      <w:pPr>
        <w:tabs>
          <w:tab w:val="num" w:pos="3600"/>
        </w:tabs>
        <w:ind w:left="3600" w:hanging="360"/>
      </w:pPr>
      <w:rPr>
        <w:rFonts w:ascii="Arial" w:hAnsi="Arial" w:hint="default"/>
      </w:rPr>
    </w:lvl>
    <w:lvl w:ilvl="5" w:tplc="A60C86CA" w:tentative="1">
      <w:start w:val="1"/>
      <w:numFmt w:val="bullet"/>
      <w:lvlText w:val="•"/>
      <w:lvlJc w:val="left"/>
      <w:pPr>
        <w:tabs>
          <w:tab w:val="num" w:pos="4320"/>
        </w:tabs>
        <w:ind w:left="4320" w:hanging="360"/>
      </w:pPr>
      <w:rPr>
        <w:rFonts w:ascii="Arial" w:hAnsi="Arial" w:hint="default"/>
      </w:rPr>
    </w:lvl>
    <w:lvl w:ilvl="6" w:tplc="95101C88" w:tentative="1">
      <w:start w:val="1"/>
      <w:numFmt w:val="bullet"/>
      <w:lvlText w:val="•"/>
      <w:lvlJc w:val="left"/>
      <w:pPr>
        <w:tabs>
          <w:tab w:val="num" w:pos="5040"/>
        </w:tabs>
        <w:ind w:left="5040" w:hanging="360"/>
      </w:pPr>
      <w:rPr>
        <w:rFonts w:ascii="Arial" w:hAnsi="Arial" w:hint="default"/>
      </w:rPr>
    </w:lvl>
    <w:lvl w:ilvl="7" w:tplc="D72C3C9C" w:tentative="1">
      <w:start w:val="1"/>
      <w:numFmt w:val="bullet"/>
      <w:lvlText w:val="•"/>
      <w:lvlJc w:val="left"/>
      <w:pPr>
        <w:tabs>
          <w:tab w:val="num" w:pos="5760"/>
        </w:tabs>
        <w:ind w:left="5760" w:hanging="360"/>
      </w:pPr>
      <w:rPr>
        <w:rFonts w:ascii="Arial" w:hAnsi="Arial" w:hint="default"/>
      </w:rPr>
    </w:lvl>
    <w:lvl w:ilvl="8" w:tplc="A8184E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C80618"/>
    <w:multiLevelType w:val="hybridMultilevel"/>
    <w:tmpl w:val="EC0A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11F13"/>
    <w:multiLevelType w:val="hybridMultilevel"/>
    <w:tmpl w:val="C2CA5644"/>
    <w:lvl w:ilvl="0" w:tplc="910260B0">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86BB2"/>
    <w:multiLevelType w:val="multilevel"/>
    <w:tmpl w:val="97425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18C31DF"/>
    <w:multiLevelType w:val="multilevel"/>
    <w:tmpl w:val="0EF04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25173D"/>
    <w:multiLevelType w:val="multilevel"/>
    <w:tmpl w:val="76B8F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7D978A3"/>
    <w:multiLevelType w:val="hybridMultilevel"/>
    <w:tmpl w:val="D56E699E"/>
    <w:lvl w:ilvl="0" w:tplc="625A9C88">
      <w:start w:val="1"/>
      <w:numFmt w:val="bullet"/>
      <w:lvlText w:val="•"/>
      <w:lvlJc w:val="left"/>
      <w:pPr>
        <w:tabs>
          <w:tab w:val="num" w:pos="720"/>
        </w:tabs>
        <w:ind w:left="720" w:hanging="360"/>
      </w:pPr>
      <w:rPr>
        <w:rFonts w:ascii="Arial" w:hAnsi="Arial" w:hint="default"/>
      </w:rPr>
    </w:lvl>
    <w:lvl w:ilvl="1" w:tplc="B84489D6" w:tentative="1">
      <w:start w:val="1"/>
      <w:numFmt w:val="bullet"/>
      <w:lvlText w:val="•"/>
      <w:lvlJc w:val="left"/>
      <w:pPr>
        <w:tabs>
          <w:tab w:val="num" w:pos="1440"/>
        </w:tabs>
        <w:ind w:left="1440" w:hanging="360"/>
      </w:pPr>
      <w:rPr>
        <w:rFonts w:ascii="Arial" w:hAnsi="Arial" w:hint="default"/>
      </w:rPr>
    </w:lvl>
    <w:lvl w:ilvl="2" w:tplc="5D6428D6" w:tentative="1">
      <w:start w:val="1"/>
      <w:numFmt w:val="bullet"/>
      <w:lvlText w:val="•"/>
      <w:lvlJc w:val="left"/>
      <w:pPr>
        <w:tabs>
          <w:tab w:val="num" w:pos="2160"/>
        </w:tabs>
        <w:ind w:left="2160" w:hanging="360"/>
      </w:pPr>
      <w:rPr>
        <w:rFonts w:ascii="Arial" w:hAnsi="Arial" w:hint="default"/>
      </w:rPr>
    </w:lvl>
    <w:lvl w:ilvl="3" w:tplc="F2B81A02" w:tentative="1">
      <w:start w:val="1"/>
      <w:numFmt w:val="bullet"/>
      <w:lvlText w:val="•"/>
      <w:lvlJc w:val="left"/>
      <w:pPr>
        <w:tabs>
          <w:tab w:val="num" w:pos="2880"/>
        </w:tabs>
        <w:ind w:left="2880" w:hanging="360"/>
      </w:pPr>
      <w:rPr>
        <w:rFonts w:ascii="Arial" w:hAnsi="Arial" w:hint="default"/>
      </w:rPr>
    </w:lvl>
    <w:lvl w:ilvl="4" w:tplc="4764579E" w:tentative="1">
      <w:start w:val="1"/>
      <w:numFmt w:val="bullet"/>
      <w:lvlText w:val="•"/>
      <w:lvlJc w:val="left"/>
      <w:pPr>
        <w:tabs>
          <w:tab w:val="num" w:pos="3600"/>
        </w:tabs>
        <w:ind w:left="3600" w:hanging="360"/>
      </w:pPr>
      <w:rPr>
        <w:rFonts w:ascii="Arial" w:hAnsi="Arial" w:hint="default"/>
      </w:rPr>
    </w:lvl>
    <w:lvl w:ilvl="5" w:tplc="A60C86CA" w:tentative="1">
      <w:start w:val="1"/>
      <w:numFmt w:val="bullet"/>
      <w:lvlText w:val="•"/>
      <w:lvlJc w:val="left"/>
      <w:pPr>
        <w:tabs>
          <w:tab w:val="num" w:pos="4320"/>
        </w:tabs>
        <w:ind w:left="4320" w:hanging="360"/>
      </w:pPr>
      <w:rPr>
        <w:rFonts w:ascii="Arial" w:hAnsi="Arial" w:hint="default"/>
      </w:rPr>
    </w:lvl>
    <w:lvl w:ilvl="6" w:tplc="95101C88" w:tentative="1">
      <w:start w:val="1"/>
      <w:numFmt w:val="bullet"/>
      <w:lvlText w:val="•"/>
      <w:lvlJc w:val="left"/>
      <w:pPr>
        <w:tabs>
          <w:tab w:val="num" w:pos="5040"/>
        </w:tabs>
        <w:ind w:left="5040" w:hanging="360"/>
      </w:pPr>
      <w:rPr>
        <w:rFonts w:ascii="Arial" w:hAnsi="Arial" w:hint="default"/>
      </w:rPr>
    </w:lvl>
    <w:lvl w:ilvl="7" w:tplc="D72C3C9C" w:tentative="1">
      <w:start w:val="1"/>
      <w:numFmt w:val="bullet"/>
      <w:lvlText w:val="•"/>
      <w:lvlJc w:val="left"/>
      <w:pPr>
        <w:tabs>
          <w:tab w:val="num" w:pos="5760"/>
        </w:tabs>
        <w:ind w:left="5760" w:hanging="360"/>
      </w:pPr>
      <w:rPr>
        <w:rFonts w:ascii="Arial" w:hAnsi="Arial" w:hint="default"/>
      </w:rPr>
    </w:lvl>
    <w:lvl w:ilvl="8" w:tplc="A8184E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7C1A63"/>
    <w:multiLevelType w:val="hybridMultilevel"/>
    <w:tmpl w:val="F50A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4209D"/>
    <w:multiLevelType w:val="hybridMultilevel"/>
    <w:tmpl w:val="A028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D0D2F"/>
    <w:multiLevelType w:val="multilevel"/>
    <w:tmpl w:val="D06C7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1E25447"/>
    <w:multiLevelType w:val="hybridMultilevel"/>
    <w:tmpl w:val="7EA4C28C"/>
    <w:lvl w:ilvl="0" w:tplc="F8F0B042">
      <w:start w:val="8"/>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01469"/>
    <w:multiLevelType w:val="hybridMultilevel"/>
    <w:tmpl w:val="807A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C1AB8"/>
    <w:multiLevelType w:val="hybridMultilevel"/>
    <w:tmpl w:val="394EC23C"/>
    <w:lvl w:ilvl="0" w:tplc="B99E8D6E">
      <w:start w:val="8"/>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34067"/>
    <w:multiLevelType w:val="hybridMultilevel"/>
    <w:tmpl w:val="0174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36AE6"/>
    <w:multiLevelType w:val="multilevel"/>
    <w:tmpl w:val="98F22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E5F5D2C"/>
    <w:multiLevelType w:val="hybridMultilevel"/>
    <w:tmpl w:val="7A70AC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7EF72BDB"/>
    <w:multiLevelType w:val="multilevel"/>
    <w:tmpl w:val="53486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6"/>
  </w:num>
  <w:num w:numId="3">
    <w:abstractNumId w:val="4"/>
  </w:num>
  <w:num w:numId="4">
    <w:abstractNumId w:val="17"/>
  </w:num>
  <w:num w:numId="5">
    <w:abstractNumId w:val="16"/>
  </w:num>
  <w:num w:numId="6">
    <w:abstractNumId w:val="21"/>
  </w:num>
  <w:num w:numId="7">
    <w:abstractNumId w:val="15"/>
  </w:num>
  <w:num w:numId="8">
    <w:abstractNumId w:val="3"/>
  </w:num>
  <w:num w:numId="9">
    <w:abstractNumId w:val="28"/>
  </w:num>
  <w:num w:numId="10">
    <w:abstractNumId w:val="24"/>
  </w:num>
  <w:num w:numId="11">
    <w:abstractNumId w:val="22"/>
  </w:num>
  <w:num w:numId="12">
    <w:abstractNumId w:val="10"/>
  </w:num>
  <w:num w:numId="13">
    <w:abstractNumId w:val="14"/>
  </w:num>
  <w:num w:numId="14">
    <w:abstractNumId w:val="11"/>
  </w:num>
  <w:num w:numId="15">
    <w:abstractNumId w:val="9"/>
  </w:num>
  <w:num w:numId="16">
    <w:abstractNumId w:val="2"/>
  </w:num>
  <w:num w:numId="17">
    <w:abstractNumId w:val="7"/>
  </w:num>
  <w:num w:numId="18">
    <w:abstractNumId w:val="18"/>
  </w:num>
  <w:num w:numId="19">
    <w:abstractNumId w:val="0"/>
  </w:num>
  <w:num w:numId="20">
    <w:abstractNumId w:val="12"/>
  </w:num>
  <w:num w:numId="21">
    <w:abstractNumId w:val="6"/>
  </w:num>
  <w:num w:numId="22">
    <w:abstractNumId w:val="20"/>
  </w:num>
  <w:num w:numId="23">
    <w:abstractNumId w:val="13"/>
  </w:num>
  <w:num w:numId="24">
    <w:abstractNumId w:val="27"/>
  </w:num>
  <w:num w:numId="25">
    <w:abstractNumId w:val="25"/>
  </w:num>
  <w:num w:numId="26">
    <w:abstractNumId w:val="8"/>
  </w:num>
  <w:num w:numId="27">
    <w:abstractNumId w:val="23"/>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3A"/>
    <w:rsid w:val="00014408"/>
    <w:rsid w:val="000857CB"/>
    <w:rsid w:val="000A1EA7"/>
    <w:rsid w:val="000A52F3"/>
    <w:rsid w:val="000D3478"/>
    <w:rsid w:val="000E251A"/>
    <w:rsid w:val="000E72CD"/>
    <w:rsid w:val="000F72AD"/>
    <w:rsid w:val="001009EB"/>
    <w:rsid w:val="00120477"/>
    <w:rsid w:val="0012191D"/>
    <w:rsid w:val="00171742"/>
    <w:rsid w:val="00182835"/>
    <w:rsid w:val="00195EA5"/>
    <w:rsid w:val="001A45B5"/>
    <w:rsid w:val="001A47DD"/>
    <w:rsid w:val="001B5898"/>
    <w:rsid w:val="001D0B8C"/>
    <w:rsid w:val="00201A5B"/>
    <w:rsid w:val="002125CA"/>
    <w:rsid w:val="002150FB"/>
    <w:rsid w:val="00215E8C"/>
    <w:rsid w:val="00224FF3"/>
    <w:rsid w:val="00226FAA"/>
    <w:rsid w:val="002368EE"/>
    <w:rsid w:val="00261EA2"/>
    <w:rsid w:val="00271791"/>
    <w:rsid w:val="0027274A"/>
    <w:rsid w:val="00283184"/>
    <w:rsid w:val="002D3CD5"/>
    <w:rsid w:val="002F7B3B"/>
    <w:rsid w:val="003221C8"/>
    <w:rsid w:val="00335984"/>
    <w:rsid w:val="00336277"/>
    <w:rsid w:val="00344A34"/>
    <w:rsid w:val="003609F3"/>
    <w:rsid w:val="003622F7"/>
    <w:rsid w:val="00375FBE"/>
    <w:rsid w:val="0038151F"/>
    <w:rsid w:val="00382C3A"/>
    <w:rsid w:val="00390CA1"/>
    <w:rsid w:val="003B3AB7"/>
    <w:rsid w:val="003B4EA5"/>
    <w:rsid w:val="003D3C71"/>
    <w:rsid w:val="003E64AA"/>
    <w:rsid w:val="003E7131"/>
    <w:rsid w:val="00442D3B"/>
    <w:rsid w:val="00446D64"/>
    <w:rsid w:val="00456313"/>
    <w:rsid w:val="00476558"/>
    <w:rsid w:val="00477902"/>
    <w:rsid w:val="004779D1"/>
    <w:rsid w:val="00482827"/>
    <w:rsid w:val="004A6C72"/>
    <w:rsid w:val="004B67E8"/>
    <w:rsid w:val="004C4536"/>
    <w:rsid w:val="004D4BDE"/>
    <w:rsid w:val="004E08B5"/>
    <w:rsid w:val="004E22E6"/>
    <w:rsid w:val="004E3AD8"/>
    <w:rsid w:val="004F4DD2"/>
    <w:rsid w:val="005175DA"/>
    <w:rsid w:val="00525113"/>
    <w:rsid w:val="00550C98"/>
    <w:rsid w:val="00572A9D"/>
    <w:rsid w:val="005808CA"/>
    <w:rsid w:val="00581B33"/>
    <w:rsid w:val="00583C9E"/>
    <w:rsid w:val="00597DA7"/>
    <w:rsid w:val="005B5D61"/>
    <w:rsid w:val="005D5148"/>
    <w:rsid w:val="005D536E"/>
    <w:rsid w:val="005E25FB"/>
    <w:rsid w:val="005F093A"/>
    <w:rsid w:val="005F3EA3"/>
    <w:rsid w:val="006221F3"/>
    <w:rsid w:val="00623E78"/>
    <w:rsid w:val="006301BE"/>
    <w:rsid w:val="00632A35"/>
    <w:rsid w:val="00634E34"/>
    <w:rsid w:val="00636121"/>
    <w:rsid w:val="00643646"/>
    <w:rsid w:val="0064371F"/>
    <w:rsid w:val="00643ED3"/>
    <w:rsid w:val="00661180"/>
    <w:rsid w:val="00661F42"/>
    <w:rsid w:val="006675BD"/>
    <w:rsid w:val="006769BD"/>
    <w:rsid w:val="00681FD4"/>
    <w:rsid w:val="00692A3E"/>
    <w:rsid w:val="006C583B"/>
    <w:rsid w:val="006D3C65"/>
    <w:rsid w:val="006E30D4"/>
    <w:rsid w:val="006E6334"/>
    <w:rsid w:val="007071D1"/>
    <w:rsid w:val="007434B6"/>
    <w:rsid w:val="007526BB"/>
    <w:rsid w:val="00767B59"/>
    <w:rsid w:val="00777748"/>
    <w:rsid w:val="00787E53"/>
    <w:rsid w:val="007A00BC"/>
    <w:rsid w:val="007D7C5D"/>
    <w:rsid w:val="007E1805"/>
    <w:rsid w:val="00800982"/>
    <w:rsid w:val="00813108"/>
    <w:rsid w:val="00820DEE"/>
    <w:rsid w:val="00857E89"/>
    <w:rsid w:val="00891427"/>
    <w:rsid w:val="00892E1C"/>
    <w:rsid w:val="00894907"/>
    <w:rsid w:val="008B21BC"/>
    <w:rsid w:val="008E08B9"/>
    <w:rsid w:val="00935D4D"/>
    <w:rsid w:val="00951E35"/>
    <w:rsid w:val="0096083B"/>
    <w:rsid w:val="00970B3E"/>
    <w:rsid w:val="00972428"/>
    <w:rsid w:val="00977225"/>
    <w:rsid w:val="00977B86"/>
    <w:rsid w:val="009A007C"/>
    <w:rsid w:val="009B0374"/>
    <w:rsid w:val="009B12CF"/>
    <w:rsid w:val="009B5767"/>
    <w:rsid w:val="009D4BC9"/>
    <w:rsid w:val="009E02CC"/>
    <w:rsid w:val="009E16CA"/>
    <w:rsid w:val="009E7371"/>
    <w:rsid w:val="009E7C49"/>
    <w:rsid w:val="00A043C6"/>
    <w:rsid w:val="00A17F76"/>
    <w:rsid w:val="00A25E67"/>
    <w:rsid w:val="00A36863"/>
    <w:rsid w:val="00A463CE"/>
    <w:rsid w:val="00A710FA"/>
    <w:rsid w:val="00AA19B0"/>
    <w:rsid w:val="00AC0051"/>
    <w:rsid w:val="00AC7ABB"/>
    <w:rsid w:val="00AD6EEF"/>
    <w:rsid w:val="00AF6163"/>
    <w:rsid w:val="00B1341B"/>
    <w:rsid w:val="00B15233"/>
    <w:rsid w:val="00B20370"/>
    <w:rsid w:val="00B24C87"/>
    <w:rsid w:val="00B74CB2"/>
    <w:rsid w:val="00B83720"/>
    <w:rsid w:val="00B91392"/>
    <w:rsid w:val="00BC48CA"/>
    <w:rsid w:val="00BD4AE7"/>
    <w:rsid w:val="00BD5814"/>
    <w:rsid w:val="00BF12AA"/>
    <w:rsid w:val="00C34F17"/>
    <w:rsid w:val="00C606BE"/>
    <w:rsid w:val="00C63A0C"/>
    <w:rsid w:val="00C80879"/>
    <w:rsid w:val="00C82E71"/>
    <w:rsid w:val="00C86BEB"/>
    <w:rsid w:val="00CA07A3"/>
    <w:rsid w:val="00CB51D7"/>
    <w:rsid w:val="00CC5640"/>
    <w:rsid w:val="00CD05F2"/>
    <w:rsid w:val="00CF1472"/>
    <w:rsid w:val="00CF72EC"/>
    <w:rsid w:val="00D02190"/>
    <w:rsid w:val="00D024E7"/>
    <w:rsid w:val="00D21400"/>
    <w:rsid w:val="00D32E3F"/>
    <w:rsid w:val="00D4271E"/>
    <w:rsid w:val="00D43290"/>
    <w:rsid w:val="00D43370"/>
    <w:rsid w:val="00D62C20"/>
    <w:rsid w:val="00D73B9E"/>
    <w:rsid w:val="00D75B9A"/>
    <w:rsid w:val="00D76AE5"/>
    <w:rsid w:val="00D86C27"/>
    <w:rsid w:val="00D94D60"/>
    <w:rsid w:val="00DA0DE2"/>
    <w:rsid w:val="00DB111F"/>
    <w:rsid w:val="00DC38DE"/>
    <w:rsid w:val="00DC7882"/>
    <w:rsid w:val="00E02026"/>
    <w:rsid w:val="00E21C66"/>
    <w:rsid w:val="00E23DAE"/>
    <w:rsid w:val="00E31C7F"/>
    <w:rsid w:val="00E45BF0"/>
    <w:rsid w:val="00E5687E"/>
    <w:rsid w:val="00E710FD"/>
    <w:rsid w:val="00E772C3"/>
    <w:rsid w:val="00EA3960"/>
    <w:rsid w:val="00EB03A0"/>
    <w:rsid w:val="00EB4480"/>
    <w:rsid w:val="00EB6C17"/>
    <w:rsid w:val="00EB6E26"/>
    <w:rsid w:val="00EC6432"/>
    <w:rsid w:val="00ED24BB"/>
    <w:rsid w:val="00ED3D93"/>
    <w:rsid w:val="00EE0234"/>
    <w:rsid w:val="00EE1F0F"/>
    <w:rsid w:val="00F1054A"/>
    <w:rsid w:val="00F16950"/>
    <w:rsid w:val="00F20711"/>
    <w:rsid w:val="00F34575"/>
    <w:rsid w:val="00F349FA"/>
    <w:rsid w:val="00F3682B"/>
    <w:rsid w:val="00F41320"/>
    <w:rsid w:val="00F451AB"/>
    <w:rsid w:val="00F50922"/>
    <w:rsid w:val="00F51195"/>
    <w:rsid w:val="00F518AD"/>
    <w:rsid w:val="00F56BFA"/>
    <w:rsid w:val="00F56D6D"/>
    <w:rsid w:val="00F575FA"/>
    <w:rsid w:val="00F67522"/>
    <w:rsid w:val="00F83121"/>
    <w:rsid w:val="00F922AE"/>
    <w:rsid w:val="00F92A27"/>
    <w:rsid w:val="00F970BF"/>
    <w:rsid w:val="00FB516F"/>
    <w:rsid w:val="00FB6760"/>
    <w:rsid w:val="00FC1BA4"/>
    <w:rsid w:val="00FC7859"/>
    <w:rsid w:val="00FF5556"/>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4CB3"/>
  <w15:docId w15:val="{5B9BE9A2-4EF5-4717-BB40-73526EE6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2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7"/>
    <w:rPr>
      <w:rFonts w:ascii="Tahoma" w:hAnsi="Tahoma" w:cs="Tahoma"/>
      <w:sz w:val="16"/>
      <w:szCs w:val="16"/>
    </w:rPr>
  </w:style>
  <w:style w:type="paragraph" w:styleId="FootnoteText">
    <w:name w:val="footnote text"/>
    <w:basedOn w:val="Normal"/>
    <w:link w:val="FootnoteTextChar"/>
    <w:uiPriority w:val="99"/>
    <w:semiHidden/>
    <w:unhideWhenUsed/>
    <w:rsid w:val="00D024E7"/>
    <w:pPr>
      <w:spacing w:line="240" w:lineRule="auto"/>
    </w:pPr>
    <w:rPr>
      <w:sz w:val="20"/>
      <w:szCs w:val="20"/>
    </w:rPr>
  </w:style>
  <w:style w:type="character" w:customStyle="1" w:styleId="FootnoteTextChar">
    <w:name w:val="Footnote Text Char"/>
    <w:basedOn w:val="DefaultParagraphFont"/>
    <w:link w:val="FootnoteText"/>
    <w:uiPriority w:val="99"/>
    <w:semiHidden/>
    <w:rsid w:val="00D024E7"/>
    <w:rPr>
      <w:sz w:val="20"/>
      <w:szCs w:val="20"/>
    </w:rPr>
  </w:style>
  <w:style w:type="character" w:styleId="FootnoteReference">
    <w:name w:val="footnote reference"/>
    <w:basedOn w:val="DefaultParagraphFont"/>
    <w:uiPriority w:val="99"/>
    <w:semiHidden/>
    <w:unhideWhenUsed/>
    <w:rsid w:val="00D024E7"/>
    <w:rPr>
      <w:vertAlign w:val="superscript"/>
    </w:rPr>
  </w:style>
  <w:style w:type="paragraph" w:styleId="ListParagraph">
    <w:name w:val="List Paragraph"/>
    <w:basedOn w:val="Normal"/>
    <w:uiPriority w:val="34"/>
    <w:qFormat/>
    <w:rsid w:val="00CD05F2"/>
    <w:pPr>
      <w:ind w:left="720"/>
      <w:contextualSpacing/>
    </w:pPr>
  </w:style>
  <w:style w:type="character" w:styleId="CommentReference">
    <w:name w:val="annotation reference"/>
    <w:basedOn w:val="DefaultParagraphFont"/>
    <w:uiPriority w:val="99"/>
    <w:semiHidden/>
    <w:unhideWhenUsed/>
    <w:rsid w:val="00CD05F2"/>
    <w:rPr>
      <w:sz w:val="16"/>
      <w:szCs w:val="16"/>
    </w:rPr>
  </w:style>
  <w:style w:type="paragraph" w:styleId="CommentText">
    <w:name w:val="annotation text"/>
    <w:basedOn w:val="Normal"/>
    <w:link w:val="CommentTextChar"/>
    <w:uiPriority w:val="99"/>
    <w:semiHidden/>
    <w:unhideWhenUsed/>
    <w:rsid w:val="00CD05F2"/>
    <w:pPr>
      <w:spacing w:line="240" w:lineRule="auto"/>
    </w:pPr>
    <w:rPr>
      <w:sz w:val="20"/>
      <w:szCs w:val="20"/>
    </w:rPr>
  </w:style>
  <w:style w:type="character" w:customStyle="1" w:styleId="CommentTextChar">
    <w:name w:val="Comment Text Char"/>
    <w:basedOn w:val="DefaultParagraphFont"/>
    <w:link w:val="CommentText"/>
    <w:uiPriority w:val="99"/>
    <w:semiHidden/>
    <w:rsid w:val="00CD05F2"/>
    <w:rPr>
      <w:sz w:val="20"/>
      <w:szCs w:val="20"/>
    </w:rPr>
  </w:style>
  <w:style w:type="paragraph" w:styleId="CommentSubject">
    <w:name w:val="annotation subject"/>
    <w:basedOn w:val="CommentText"/>
    <w:next w:val="CommentText"/>
    <w:link w:val="CommentSubjectChar"/>
    <w:uiPriority w:val="99"/>
    <w:semiHidden/>
    <w:unhideWhenUsed/>
    <w:rsid w:val="00CD05F2"/>
    <w:rPr>
      <w:b/>
      <w:bCs/>
    </w:rPr>
  </w:style>
  <w:style w:type="character" w:customStyle="1" w:styleId="CommentSubjectChar">
    <w:name w:val="Comment Subject Char"/>
    <w:basedOn w:val="CommentTextChar"/>
    <w:link w:val="CommentSubject"/>
    <w:uiPriority w:val="99"/>
    <w:semiHidden/>
    <w:rsid w:val="00CD05F2"/>
    <w:rPr>
      <w:b/>
      <w:bCs/>
      <w:sz w:val="20"/>
      <w:szCs w:val="20"/>
    </w:rPr>
  </w:style>
  <w:style w:type="character" w:styleId="Hyperlink">
    <w:name w:val="Hyperlink"/>
    <w:basedOn w:val="DefaultParagraphFont"/>
    <w:uiPriority w:val="99"/>
    <w:unhideWhenUsed/>
    <w:rsid w:val="001D0B8C"/>
    <w:rPr>
      <w:color w:val="0000FF" w:themeColor="hyperlink"/>
      <w:u w:val="single"/>
    </w:rPr>
  </w:style>
  <w:style w:type="character" w:styleId="FollowedHyperlink">
    <w:name w:val="FollowedHyperlink"/>
    <w:basedOn w:val="DefaultParagraphFont"/>
    <w:uiPriority w:val="99"/>
    <w:semiHidden/>
    <w:unhideWhenUsed/>
    <w:rsid w:val="00171742"/>
    <w:rPr>
      <w:color w:val="800080" w:themeColor="followedHyperlink"/>
      <w:u w:val="single"/>
    </w:rPr>
  </w:style>
  <w:style w:type="paragraph" w:styleId="Header">
    <w:name w:val="header"/>
    <w:basedOn w:val="Normal"/>
    <w:link w:val="HeaderChar"/>
    <w:uiPriority w:val="99"/>
    <w:unhideWhenUsed/>
    <w:rsid w:val="00F56D6D"/>
    <w:pPr>
      <w:tabs>
        <w:tab w:val="center" w:pos="4513"/>
        <w:tab w:val="right" w:pos="9026"/>
      </w:tabs>
      <w:spacing w:line="240" w:lineRule="auto"/>
    </w:pPr>
  </w:style>
  <w:style w:type="character" w:customStyle="1" w:styleId="HeaderChar">
    <w:name w:val="Header Char"/>
    <w:basedOn w:val="DefaultParagraphFont"/>
    <w:link w:val="Header"/>
    <w:uiPriority w:val="99"/>
    <w:rsid w:val="00F56D6D"/>
  </w:style>
  <w:style w:type="paragraph" w:styleId="Footer">
    <w:name w:val="footer"/>
    <w:basedOn w:val="Normal"/>
    <w:link w:val="FooterChar"/>
    <w:uiPriority w:val="99"/>
    <w:unhideWhenUsed/>
    <w:rsid w:val="00F56D6D"/>
    <w:pPr>
      <w:tabs>
        <w:tab w:val="center" w:pos="4513"/>
        <w:tab w:val="right" w:pos="9026"/>
      </w:tabs>
      <w:spacing w:line="240" w:lineRule="auto"/>
    </w:pPr>
  </w:style>
  <w:style w:type="character" w:customStyle="1" w:styleId="FooterChar">
    <w:name w:val="Footer Char"/>
    <w:basedOn w:val="DefaultParagraphFont"/>
    <w:link w:val="Footer"/>
    <w:uiPriority w:val="99"/>
    <w:rsid w:val="00F56D6D"/>
  </w:style>
  <w:style w:type="paragraph" w:customStyle="1" w:styleId="Default">
    <w:name w:val="Default"/>
    <w:rsid w:val="00972428"/>
    <w:pPr>
      <w:autoSpaceDE w:val="0"/>
      <w:autoSpaceDN w:val="0"/>
      <w:adjustRightInd w:val="0"/>
      <w:spacing w:line="240" w:lineRule="auto"/>
    </w:pPr>
    <w:rPr>
      <w:rFonts w:ascii="Times New Roman" w:hAnsi="Times New Roman" w:cs="Times New Roman"/>
      <w:sz w:val="24"/>
      <w:szCs w:val="24"/>
    </w:rPr>
  </w:style>
  <w:style w:type="table" w:styleId="TableGrid">
    <w:name w:val="Table Grid"/>
    <w:basedOn w:val="TableNormal"/>
    <w:uiPriority w:val="39"/>
    <w:rsid w:val="005E25FB"/>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8701">
      <w:bodyDiv w:val="1"/>
      <w:marLeft w:val="0"/>
      <w:marRight w:val="0"/>
      <w:marTop w:val="0"/>
      <w:marBottom w:val="0"/>
      <w:divBdr>
        <w:top w:val="none" w:sz="0" w:space="0" w:color="auto"/>
        <w:left w:val="none" w:sz="0" w:space="0" w:color="auto"/>
        <w:bottom w:val="none" w:sz="0" w:space="0" w:color="auto"/>
        <w:right w:val="none" w:sz="0" w:space="0" w:color="auto"/>
      </w:divBdr>
      <w:divsChild>
        <w:div w:id="1920288247">
          <w:marLeft w:val="360"/>
          <w:marRight w:val="0"/>
          <w:marTop w:val="300"/>
          <w:marBottom w:val="0"/>
          <w:divBdr>
            <w:top w:val="none" w:sz="0" w:space="0" w:color="auto"/>
            <w:left w:val="none" w:sz="0" w:space="0" w:color="auto"/>
            <w:bottom w:val="none" w:sz="0" w:space="0" w:color="auto"/>
            <w:right w:val="none" w:sz="0" w:space="0" w:color="auto"/>
          </w:divBdr>
        </w:div>
        <w:div w:id="1607301722">
          <w:marLeft w:val="360"/>
          <w:marRight w:val="0"/>
          <w:marTop w:val="300"/>
          <w:marBottom w:val="0"/>
          <w:divBdr>
            <w:top w:val="none" w:sz="0" w:space="0" w:color="auto"/>
            <w:left w:val="none" w:sz="0" w:space="0" w:color="auto"/>
            <w:bottom w:val="none" w:sz="0" w:space="0" w:color="auto"/>
            <w:right w:val="none" w:sz="0" w:space="0" w:color="auto"/>
          </w:divBdr>
        </w:div>
        <w:div w:id="2039969737">
          <w:marLeft w:val="360"/>
          <w:marRight w:val="0"/>
          <w:marTop w:val="300"/>
          <w:marBottom w:val="0"/>
          <w:divBdr>
            <w:top w:val="none" w:sz="0" w:space="0" w:color="auto"/>
            <w:left w:val="none" w:sz="0" w:space="0" w:color="auto"/>
            <w:bottom w:val="none" w:sz="0" w:space="0" w:color="auto"/>
            <w:right w:val="none" w:sz="0" w:space="0" w:color="auto"/>
          </w:divBdr>
        </w:div>
        <w:div w:id="124737653">
          <w:marLeft w:val="360"/>
          <w:marRight w:val="0"/>
          <w:marTop w:val="300"/>
          <w:marBottom w:val="0"/>
          <w:divBdr>
            <w:top w:val="none" w:sz="0" w:space="0" w:color="auto"/>
            <w:left w:val="none" w:sz="0" w:space="0" w:color="auto"/>
            <w:bottom w:val="none" w:sz="0" w:space="0" w:color="auto"/>
            <w:right w:val="none" w:sz="0" w:space="0" w:color="auto"/>
          </w:divBdr>
        </w:div>
        <w:div w:id="748691744">
          <w:marLeft w:val="360"/>
          <w:marRight w:val="0"/>
          <w:marTop w:val="300"/>
          <w:marBottom w:val="0"/>
          <w:divBdr>
            <w:top w:val="none" w:sz="0" w:space="0" w:color="auto"/>
            <w:left w:val="none" w:sz="0" w:space="0" w:color="auto"/>
            <w:bottom w:val="none" w:sz="0" w:space="0" w:color="auto"/>
            <w:right w:val="none" w:sz="0" w:space="0" w:color="auto"/>
          </w:divBdr>
        </w:div>
        <w:div w:id="1729375667">
          <w:marLeft w:val="360"/>
          <w:marRight w:val="0"/>
          <w:marTop w:val="300"/>
          <w:marBottom w:val="0"/>
          <w:divBdr>
            <w:top w:val="none" w:sz="0" w:space="0" w:color="auto"/>
            <w:left w:val="none" w:sz="0" w:space="0" w:color="auto"/>
            <w:bottom w:val="none" w:sz="0" w:space="0" w:color="auto"/>
            <w:right w:val="none" w:sz="0" w:space="0" w:color="auto"/>
          </w:divBdr>
        </w:div>
        <w:div w:id="949436370">
          <w:marLeft w:val="360"/>
          <w:marRight w:val="0"/>
          <w:marTop w:val="300"/>
          <w:marBottom w:val="0"/>
          <w:divBdr>
            <w:top w:val="none" w:sz="0" w:space="0" w:color="auto"/>
            <w:left w:val="none" w:sz="0" w:space="0" w:color="auto"/>
            <w:bottom w:val="none" w:sz="0" w:space="0" w:color="auto"/>
            <w:right w:val="none" w:sz="0" w:space="0" w:color="auto"/>
          </w:divBdr>
        </w:div>
      </w:divsChild>
    </w:div>
    <w:div w:id="58407662">
      <w:bodyDiv w:val="1"/>
      <w:marLeft w:val="0"/>
      <w:marRight w:val="0"/>
      <w:marTop w:val="0"/>
      <w:marBottom w:val="0"/>
      <w:divBdr>
        <w:top w:val="none" w:sz="0" w:space="0" w:color="auto"/>
        <w:left w:val="none" w:sz="0" w:space="0" w:color="auto"/>
        <w:bottom w:val="none" w:sz="0" w:space="0" w:color="auto"/>
        <w:right w:val="none" w:sz="0" w:space="0" w:color="auto"/>
      </w:divBdr>
    </w:div>
    <w:div w:id="237981355">
      <w:bodyDiv w:val="1"/>
      <w:marLeft w:val="0"/>
      <w:marRight w:val="0"/>
      <w:marTop w:val="0"/>
      <w:marBottom w:val="0"/>
      <w:divBdr>
        <w:top w:val="none" w:sz="0" w:space="0" w:color="auto"/>
        <w:left w:val="none" w:sz="0" w:space="0" w:color="auto"/>
        <w:bottom w:val="none" w:sz="0" w:space="0" w:color="auto"/>
        <w:right w:val="none" w:sz="0" w:space="0" w:color="auto"/>
      </w:divBdr>
      <w:divsChild>
        <w:div w:id="1682581892">
          <w:marLeft w:val="360"/>
          <w:marRight w:val="0"/>
          <w:marTop w:val="200"/>
          <w:marBottom w:val="0"/>
          <w:divBdr>
            <w:top w:val="none" w:sz="0" w:space="0" w:color="auto"/>
            <w:left w:val="none" w:sz="0" w:space="0" w:color="auto"/>
            <w:bottom w:val="none" w:sz="0" w:space="0" w:color="auto"/>
            <w:right w:val="none" w:sz="0" w:space="0" w:color="auto"/>
          </w:divBdr>
        </w:div>
        <w:div w:id="1476144181">
          <w:marLeft w:val="360"/>
          <w:marRight w:val="0"/>
          <w:marTop w:val="200"/>
          <w:marBottom w:val="0"/>
          <w:divBdr>
            <w:top w:val="none" w:sz="0" w:space="0" w:color="auto"/>
            <w:left w:val="none" w:sz="0" w:space="0" w:color="auto"/>
            <w:bottom w:val="none" w:sz="0" w:space="0" w:color="auto"/>
            <w:right w:val="none" w:sz="0" w:space="0" w:color="auto"/>
          </w:divBdr>
        </w:div>
        <w:div w:id="1801680177">
          <w:marLeft w:val="360"/>
          <w:marRight w:val="0"/>
          <w:marTop w:val="200"/>
          <w:marBottom w:val="0"/>
          <w:divBdr>
            <w:top w:val="none" w:sz="0" w:space="0" w:color="auto"/>
            <w:left w:val="none" w:sz="0" w:space="0" w:color="auto"/>
            <w:bottom w:val="none" w:sz="0" w:space="0" w:color="auto"/>
            <w:right w:val="none" w:sz="0" w:space="0" w:color="auto"/>
          </w:divBdr>
        </w:div>
        <w:div w:id="929432867">
          <w:marLeft w:val="360"/>
          <w:marRight w:val="0"/>
          <w:marTop w:val="200"/>
          <w:marBottom w:val="0"/>
          <w:divBdr>
            <w:top w:val="none" w:sz="0" w:space="0" w:color="auto"/>
            <w:left w:val="none" w:sz="0" w:space="0" w:color="auto"/>
            <w:bottom w:val="none" w:sz="0" w:space="0" w:color="auto"/>
            <w:right w:val="none" w:sz="0" w:space="0" w:color="auto"/>
          </w:divBdr>
        </w:div>
      </w:divsChild>
    </w:div>
    <w:div w:id="264272814">
      <w:bodyDiv w:val="1"/>
      <w:marLeft w:val="0"/>
      <w:marRight w:val="0"/>
      <w:marTop w:val="0"/>
      <w:marBottom w:val="0"/>
      <w:divBdr>
        <w:top w:val="none" w:sz="0" w:space="0" w:color="auto"/>
        <w:left w:val="none" w:sz="0" w:space="0" w:color="auto"/>
        <w:bottom w:val="none" w:sz="0" w:space="0" w:color="auto"/>
        <w:right w:val="none" w:sz="0" w:space="0" w:color="auto"/>
      </w:divBdr>
      <w:divsChild>
        <w:div w:id="1222717106">
          <w:marLeft w:val="360"/>
          <w:marRight w:val="0"/>
          <w:marTop w:val="200"/>
          <w:marBottom w:val="0"/>
          <w:divBdr>
            <w:top w:val="none" w:sz="0" w:space="0" w:color="auto"/>
            <w:left w:val="none" w:sz="0" w:space="0" w:color="auto"/>
            <w:bottom w:val="none" w:sz="0" w:space="0" w:color="auto"/>
            <w:right w:val="none" w:sz="0" w:space="0" w:color="auto"/>
          </w:divBdr>
        </w:div>
        <w:div w:id="693307102">
          <w:marLeft w:val="360"/>
          <w:marRight w:val="0"/>
          <w:marTop w:val="200"/>
          <w:marBottom w:val="0"/>
          <w:divBdr>
            <w:top w:val="none" w:sz="0" w:space="0" w:color="auto"/>
            <w:left w:val="none" w:sz="0" w:space="0" w:color="auto"/>
            <w:bottom w:val="none" w:sz="0" w:space="0" w:color="auto"/>
            <w:right w:val="none" w:sz="0" w:space="0" w:color="auto"/>
          </w:divBdr>
        </w:div>
        <w:div w:id="2012484787">
          <w:marLeft w:val="360"/>
          <w:marRight w:val="0"/>
          <w:marTop w:val="200"/>
          <w:marBottom w:val="0"/>
          <w:divBdr>
            <w:top w:val="none" w:sz="0" w:space="0" w:color="auto"/>
            <w:left w:val="none" w:sz="0" w:space="0" w:color="auto"/>
            <w:bottom w:val="none" w:sz="0" w:space="0" w:color="auto"/>
            <w:right w:val="none" w:sz="0" w:space="0" w:color="auto"/>
          </w:divBdr>
        </w:div>
        <w:div w:id="397092021">
          <w:marLeft w:val="360"/>
          <w:marRight w:val="0"/>
          <w:marTop w:val="200"/>
          <w:marBottom w:val="0"/>
          <w:divBdr>
            <w:top w:val="none" w:sz="0" w:space="0" w:color="auto"/>
            <w:left w:val="none" w:sz="0" w:space="0" w:color="auto"/>
            <w:bottom w:val="none" w:sz="0" w:space="0" w:color="auto"/>
            <w:right w:val="none" w:sz="0" w:space="0" w:color="auto"/>
          </w:divBdr>
        </w:div>
        <w:div w:id="624386292">
          <w:marLeft w:val="360"/>
          <w:marRight w:val="0"/>
          <w:marTop w:val="200"/>
          <w:marBottom w:val="0"/>
          <w:divBdr>
            <w:top w:val="none" w:sz="0" w:space="0" w:color="auto"/>
            <w:left w:val="none" w:sz="0" w:space="0" w:color="auto"/>
            <w:bottom w:val="none" w:sz="0" w:space="0" w:color="auto"/>
            <w:right w:val="none" w:sz="0" w:space="0" w:color="auto"/>
          </w:divBdr>
        </w:div>
      </w:divsChild>
    </w:div>
    <w:div w:id="505368308">
      <w:bodyDiv w:val="1"/>
      <w:marLeft w:val="0"/>
      <w:marRight w:val="0"/>
      <w:marTop w:val="0"/>
      <w:marBottom w:val="0"/>
      <w:divBdr>
        <w:top w:val="none" w:sz="0" w:space="0" w:color="auto"/>
        <w:left w:val="none" w:sz="0" w:space="0" w:color="auto"/>
        <w:bottom w:val="none" w:sz="0" w:space="0" w:color="auto"/>
        <w:right w:val="none" w:sz="0" w:space="0" w:color="auto"/>
      </w:divBdr>
      <w:divsChild>
        <w:div w:id="492379577">
          <w:marLeft w:val="360"/>
          <w:marRight w:val="0"/>
          <w:marTop w:val="200"/>
          <w:marBottom w:val="0"/>
          <w:divBdr>
            <w:top w:val="none" w:sz="0" w:space="0" w:color="auto"/>
            <w:left w:val="none" w:sz="0" w:space="0" w:color="auto"/>
            <w:bottom w:val="none" w:sz="0" w:space="0" w:color="auto"/>
            <w:right w:val="none" w:sz="0" w:space="0" w:color="auto"/>
          </w:divBdr>
        </w:div>
        <w:div w:id="595090753">
          <w:marLeft w:val="360"/>
          <w:marRight w:val="0"/>
          <w:marTop w:val="200"/>
          <w:marBottom w:val="0"/>
          <w:divBdr>
            <w:top w:val="none" w:sz="0" w:space="0" w:color="auto"/>
            <w:left w:val="none" w:sz="0" w:space="0" w:color="auto"/>
            <w:bottom w:val="none" w:sz="0" w:space="0" w:color="auto"/>
            <w:right w:val="none" w:sz="0" w:space="0" w:color="auto"/>
          </w:divBdr>
        </w:div>
        <w:div w:id="936449897">
          <w:marLeft w:val="360"/>
          <w:marRight w:val="0"/>
          <w:marTop w:val="200"/>
          <w:marBottom w:val="0"/>
          <w:divBdr>
            <w:top w:val="none" w:sz="0" w:space="0" w:color="auto"/>
            <w:left w:val="none" w:sz="0" w:space="0" w:color="auto"/>
            <w:bottom w:val="none" w:sz="0" w:space="0" w:color="auto"/>
            <w:right w:val="none" w:sz="0" w:space="0" w:color="auto"/>
          </w:divBdr>
        </w:div>
        <w:div w:id="853110418">
          <w:marLeft w:val="360"/>
          <w:marRight w:val="0"/>
          <w:marTop w:val="200"/>
          <w:marBottom w:val="0"/>
          <w:divBdr>
            <w:top w:val="none" w:sz="0" w:space="0" w:color="auto"/>
            <w:left w:val="none" w:sz="0" w:space="0" w:color="auto"/>
            <w:bottom w:val="none" w:sz="0" w:space="0" w:color="auto"/>
            <w:right w:val="none" w:sz="0" w:space="0" w:color="auto"/>
          </w:divBdr>
        </w:div>
        <w:div w:id="847601855">
          <w:marLeft w:val="360"/>
          <w:marRight w:val="0"/>
          <w:marTop w:val="200"/>
          <w:marBottom w:val="0"/>
          <w:divBdr>
            <w:top w:val="none" w:sz="0" w:space="0" w:color="auto"/>
            <w:left w:val="none" w:sz="0" w:space="0" w:color="auto"/>
            <w:bottom w:val="none" w:sz="0" w:space="0" w:color="auto"/>
            <w:right w:val="none" w:sz="0" w:space="0" w:color="auto"/>
          </w:divBdr>
        </w:div>
      </w:divsChild>
    </w:div>
    <w:div w:id="142727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ea.un.org/sites/seea.un.org/files/technical_recommendations_in_support_of_the_seea_eea_final_white_cov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capital_accounting/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ven.king@unep-wcmc.org" TargetMode="External"/><Relationship Id="rId4" Type="http://schemas.openxmlformats.org/officeDocument/2006/relationships/settings" Target="settings.xml"/><Relationship Id="rId9" Type="http://schemas.openxmlformats.org/officeDocument/2006/relationships/hyperlink" Target="mailto:Jan-Erik.Petersen@eea.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8B93-EE3D-48DA-B01D-916EA6CA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10600</Characters>
  <Application>Microsoft Office Word</Application>
  <DocSecurity>4</DocSecurity>
  <Lines>88</Lines>
  <Paragraphs>24</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RM. Milego</dc:creator>
  <cp:lastModifiedBy>Jan-Erik Petersen</cp:lastModifiedBy>
  <cp:revision>2</cp:revision>
  <cp:lastPrinted>2018-03-07T09:10:00Z</cp:lastPrinted>
  <dcterms:created xsi:type="dcterms:W3CDTF">2018-04-12T14:32:00Z</dcterms:created>
  <dcterms:modified xsi:type="dcterms:W3CDTF">2018-04-12T14:32:00Z</dcterms:modified>
</cp:coreProperties>
</file>