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421CD" w14:textId="3D1351E8" w:rsidR="00570BFA" w:rsidRDefault="00FA4A02" w:rsidP="00FA4A02">
      <w:pPr>
        <w:pStyle w:val="Subtitle"/>
      </w:pPr>
      <w:bookmarkStart w:id="0" w:name="_GoBack"/>
      <w:bookmarkEnd w:id="0"/>
      <w:r w:rsidRPr="00FA4A02">
        <w:t>Co-creation process -- Literature on CE monitoring</w:t>
      </w:r>
    </w:p>
    <w:tbl>
      <w:tblPr>
        <w:tblStyle w:val="Tabukasmriekou4zvraznenie51"/>
        <w:tblW w:w="0" w:type="auto"/>
        <w:tblLayout w:type="fixed"/>
        <w:tblLook w:val="06A0" w:firstRow="1" w:lastRow="0" w:firstColumn="1" w:lastColumn="0" w:noHBand="1" w:noVBand="1"/>
      </w:tblPr>
      <w:tblGrid>
        <w:gridCol w:w="1198"/>
        <w:gridCol w:w="701"/>
        <w:gridCol w:w="5467"/>
        <w:gridCol w:w="3311"/>
        <w:gridCol w:w="1896"/>
        <w:gridCol w:w="1375"/>
      </w:tblGrid>
      <w:tr w:rsidR="00F81D86" w:rsidRPr="00D41136" w14:paraId="5E8BA96F" w14:textId="4B06C9BD" w:rsidTr="00F81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gridSpan w:val="2"/>
          </w:tcPr>
          <w:p w14:paraId="1001A186" w14:textId="77777777" w:rsidR="00E36A45" w:rsidRPr="00D41136" w:rsidRDefault="00E36A45" w:rsidP="00FA4A02">
            <w:pPr>
              <w:rPr>
                <w:sz w:val="20"/>
                <w:szCs w:val="20"/>
              </w:rPr>
            </w:pPr>
            <w:r w:rsidRPr="00D41136">
              <w:rPr>
                <w:sz w:val="20"/>
                <w:szCs w:val="20"/>
              </w:rPr>
              <w:t>Field</w:t>
            </w:r>
          </w:p>
        </w:tc>
        <w:tc>
          <w:tcPr>
            <w:tcW w:w="8778" w:type="dxa"/>
            <w:gridSpan w:val="2"/>
          </w:tcPr>
          <w:p w14:paraId="299E424F" w14:textId="77777777" w:rsidR="00E36A45" w:rsidRPr="00D41136" w:rsidRDefault="00E36A45" w:rsidP="00FA4A02">
            <w:pPr>
              <w:cnfStyle w:val="100000000000" w:firstRow="1" w:lastRow="0" w:firstColumn="0" w:lastColumn="0" w:oddVBand="0" w:evenVBand="0" w:oddHBand="0" w:evenHBand="0" w:firstRowFirstColumn="0" w:firstRowLastColumn="0" w:lastRowFirstColumn="0" w:lastRowLastColumn="0"/>
              <w:rPr>
                <w:sz w:val="20"/>
                <w:szCs w:val="20"/>
              </w:rPr>
            </w:pPr>
            <w:r w:rsidRPr="00D41136">
              <w:rPr>
                <w:sz w:val="20"/>
                <w:szCs w:val="20"/>
              </w:rPr>
              <w:t>Source</w:t>
            </w:r>
          </w:p>
        </w:tc>
        <w:tc>
          <w:tcPr>
            <w:tcW w:w="1896" w:type="dxa"/>
          </w:tcPr>
          <w:p w14:paraId="3762A61E" w14:textId="77777777" w:rsidR="00E36A45" w:rsidRPr="00D41136" w:rsidRDefault="00E36A45" w:rsidP="00FA4A02">
            <w:pPr>
              <w:cnfStyle w:val="100000000000" w:firstRow="1" w:lastRow="0" w:firstColumn="0" w:lastColumn="0" w:oddVBand="0" w:evenVBand="0" w:oddHBand="0" w:evenHBand="0" w:firstRowFirstColumn="0" w:firstRowLastColumn="0" w:lastRowFirstColumn="0" w:lastRowLastColumn="0"/>
              <w:rPr>
                <w:sz w:val="20"/>
                <w:szCs w:val="20"/>
              </w:rPr>
            </w:pPr>
            <w:r w:rsidRPr="00D41136">
              <w:rPr>
                <w:sz w:val="20"/>
                <w:szCs w:val="20"/>
              </w:rPr>
              <w:t>Summary information</w:t>
            </w:r>
          </w:p>
        </w:tc>
        <w:tc>
          <w:tcPr>
            <w:tcW w:w="1375" w:type="dxa"/>
          </w:tcPr>
          <w:p w14:paraId="5E76408F" w14:textId="0D9F8C00" w:rsidR="00E36A45" w:rsidRPr="00D41136" w:rsidRDefault="00E36A45" w:rsidP="00FA4A02">
            <w:pPr>
              <w:cnfStyle w:val="100000000000" w:firstRow="1" w:lastRow="0" w:firstColumn="0" w:lastColumn="0" w:oddVBand="0" w:evenVBand="0" w:oddHBand="0" w:evenHBand="0" w:firstRowFirstColumn="0" w:firstRowLastColumn="0" w:lastRowFirstColumn="0" w:lastRowLastColumn="0"/>
              <w:rPr>
                <w:sz w:val="20"/>
                <w:szCs w:val="20"/>
              </w:rPr>
            </w:pPr>
            <w:r w:rsidRPr="00D41136">
              <w:rPr>
                <w:sz w:val="20"/>
                <w:szCs w:val="20"/>
              </w:rPr>
              <w:t>Key message</w:t>
            </w:r>
            <w:r w:rsidR="000901DC" w:rsidRPr="00D41136">
              <w:rPr>
                <w:sz w:val="20"/>
                <w:szCs w:val="20"/>
              </w:rPr>
              <w:t xml:space="preserve"> for CE monitoring</w:t>
            </w:r>
          </w:p>
        </w:tc>
      </w:tr>
      <w:tr w:rsidR="00D41136" w:rsidRPr="00D41136" w14:paraId="5D2BC348" w14:textId="68932C01" w:rsidTr="00F81D86">
        <w:tc>
          <w:tcPr>
            <w:cnfStyle w:val="001000000000" w:firstRow="0" w:lastRow="0" w:firstColumn="1" w:lastColumn="0" w:oddVBand="0" w:evenVBand="0" w:oddHBand="0" w:evenHBand="0" w:firstRowFirstColumn="0" w:firstRowLastColumn="0" w:lastRowFirstColumn="0" w:lastRowLastColumn="0"/>
            <w:tcW w:w="1198" w:type="dxa"/>
          </w:tcPr>
          <w:p w14:paraId="2EEFEDAD" w14:textId="77777777" w:rsidR="00E36A45" w:rsidRPr="00D41136" w:rsidRDefault="00E36A45" w:rsidP="00FA4A02">
            <w:pPr>
              <w:rPr>
                <w:sz w:val="18"/>
                <w:szCs w:val="18"/>
              </w:rPr>
            </w:pPr>
            <w:r w:rsidRPr="00D41136">
              <w:rPr>
                <w:sz w:val="18"/>
                <w:szCs w:val="18"/>
              </w:rPr>
              <w:t>General/ monitoring</w:t>
            </w:r>
          </w:p>
        </w:tc>
        <w:tc>
          <w:tcPr>
            <w:tcW w:w="6168" w:type="dxa"/>
            <w:gridSpan w:val="2"/>
          </w:tcPr>
          <w:p w14:paraId="457DE455" w14:textId="77777777" w:rsidR="00E36A45" w:rsidRPr="00D41136" w:rsidRDefault="00E36A45" w:rsidP="00FA4A0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lang w:val="nl-BE"/>
              </w:rPr>
              <w:t xml:space="preserve">Haas, W., Krausmann, F., Wiedenhofer, D., &amp; Mayer, A. (2020). </w:t>
            </w:r>
            <w:r w:rsidRPr="00D41136">
              <w:rPr>
                <w:sz w:val="18"/>
                <w:szCs w:val="18"/>
              </w:rPr>
              <w:t xml:space="preserve">Spaceship earth’s odyssey to a circular economy - a century long perspective. Resources, Conservation &amp; Recycling, 163(105076). </w:t>
            </w:r>
            <w:hyperlink r:id="rId8" w:history="1">
              <w:r w:rsidRPr="00D41136">
                <w:rPr>
                  <w:rStyle w:val="Hyperlink"/>
                  <w:sz w:val="18"/>
                  <w:szCs w:val="18"/>
                </w:rPr>
                <w:t>https://doi.org/0.1016/j.resconrec.2020.105076</w:t>
              </w:r>
            </w:hyperlink>
          </w:p>
        </w:tc>
        <w:tc>
          <w:tcPr>
            <w:tcW w:w="5207" w:type="dxa"/>
            <w:gridSpan w:val="2"/>
          </w:tcPr>
          <w:p w14:paraId="09AD6C98" w14:textId="77777777" w:rsidR="00E36A45" w:rsidRPr="00D41136" w:rsidRDefault="00E36A45" w:rsidP="00FA4A0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rPr>
              <w:t>The paper gives insights on the distance-to-target regarding a full circular economy. For the first time, a century long perspective is taken to reveal the development of substantially growing material flows. The authors in particular point to the problem that a major part of all material flows is used ‘to manufacture or operate stocks’, hence retaining considerable amounts of materials from potential recycling processes. Realising the transformative potential of the circular economy requires addressing key challenges: limit the growth of material stocks, establish clear criteria for ecological cycling, avoid unsustainable biomass production, integrate the decarbonisation of energy systems in circular economy strategies, and prioritize absolute reductions of non-circular flows over maximizing (re)cycling rates.</w:t>
            </w:r>
          </w:p>
        </w:tc>
        <w:tc>
          <w:tcPr>
            <w:tcW w:w="1375" w:type="dxa"/>
          </w:tcPr>
          <w:p w14:paraId="710C111B" w14:textId="74F8E250" w:rsidR="00E36A45" w:rsidRPr="00D41136" w:rsidRDefault="000901DC" w:rsidP="00FA4A0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rPr>
              <w:t xml:space="preserve">It is necessary to </w:t>
            </w:r>
            <w:r w:rsidR="004B61C6" w:rsidRPr="00D41136">
              <w:rPr>
                <w:sz w:val="18"/>
                <w:szCs w:val="18"/>
              </w:rPr>
              <w:t xml:space="preserve">monitor </w:t>
            </w:r>
            <w:r w:rsidR="00F753D4" w:rsidRPr="00D41136">
              <w:rPr>
                <w:sz w:val="18"/>
                <w:szCs w:val="18"/>
              </w:rPr>
              <w:t xml:space="preserve">trends in </w:t>
            </w:r>
            <w:r w:rsidR="004B61C6" w:rsidRPr="00D41136">
              <w:rPr>
                <w:sz w:val="18"/>
                <w:szCs w:val="18"/>
              </w:rPr>
              <w:t xml:space="preserve">material flows </w:t>
            </w:r>
            <w:r w:rsidR="008C0C83" w:rsidRPr="00D41136">
              <w:rPr>
                <w:sz w:val="18"/>
                <w:szCs w:val="18"/>
              </w:rPr>
              <w:t xml:space="preserve">over time </w:t>
            </w:r>
            <w:r w:rsidR="004B61C6" w:rsidRPr="00D41136">
              <w:rPr>
                <w:sz w:val="18"/>
                <w:szCs w:val="18"/>
              </w:rPr>
              <w:t>in absolute terms</w:t>
            </w:r>
            <w:r w:rsidR="008C0C83" w:rsidRPr="00D41136">
              <w:rPr>
                <w:sz w:val="18"/>
                <w:szCs w:val="18"/>
              </w:rPr>
              <w:t xml:space="preserve"> too, and not only as</w:t>
            </w:r>
            <w:r w:rsidR="00E13071" w:rsidRPr="00D41136">
              <w:rPr>
                <w:sz w:val="18"/>
                <w:szCs w:val="18"/>
              </w:rPr>
              <w:t xml:space="preserve"> rates.</w:t>
            </w:r>
          </w:p>
        </w:tc>
      </w:tr>
      <w:tr w:rsidR="003C31F2" w:rsidRPr="00D41136" w14:paraId="42414CDC"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2BCC3E5D" w14:textId="6B12B6BF" w:rsidR="003C31F2" w:rsidRPr="00D41136" w:rsidRDefault="003C31F2" w:rsidP="003C31F2">
            <w:pPr>
              <w:rPr>
                <w:sz w:val="18"/>
                <w:szCs w:val="18"/>
              </w:rPr>
            </w:pPr>
            <w:r w:rsidRPr="00D41136">
              <w:rPr>
                <w:sz w:val="18"/>
                <w:szCs w:val="18"/>
              </w:rPr>
              <w:t>General/ monitoring</w:t>
            </w:r>
          </w:p>
        </w:tc>
        <w:tc>
          <w:tcPr>
            <w:tcW w:w="6168" w:type="dxa"/>
            <w:gridSpan w:val="2"/>
          </w:tcPr>
          <w:p w14:paraId="55812D4E" w14:textId="09506F99" w:rsidR="003C31F2" w:rsidRPr="003C31F2" w:rsidRDefault="003C31F2" w:rsidP="003C31F2">
            <w:pPr>
              <w:cnfStyle w:val="000000000000" w:firstRow="0" w:lastRow="0" w:firstColumn="0" w:lastColumn="0" w:oddVBand="0" w:evenVBand="0" w:oddHBand="0" w:evenHBand="0" w:firstRowFirstColumn="0" w:firstRowLastColumn="0" w:lastRowFirstColumn="0" w:lastRowLastColumn="0"/>
              <w:rPr>
                <w:sz w:val="18"/>
                <w:szCs w:val="18"/>
                <w:lang w:val="en-US"/>
              </w:rPr>
            </w:pPr>
            <w:r w:rsidRPr="00E87153">
              <w:rPr>
                <w:rFonts w:ascii="Times" w:hAnsi="Times" w:cs="Times New Roman"/>
                <w:b/>
                <w:bCs/>
                <w:sz w:val="18"/>
                <w:szCs w:val="18"/>
                <w:lang w:eastAsia="de-DE"/>
              </w:rPr>
              <w:t>Eco-Innovation Observatory (2020).</w:t>
            </w:r>
            <w:r w:rsidRPr="00E87153">
              <w:rPr>
                <w:rFonts w:ascii="Times" w:hAnsi="Times" w:cs="Times New Roman"/>
                <w:sz w:val="18"/>
                <w:szCs w:val="18"/>
                <w:lang w:eastAsia="de-DE"/>
              </w:rPr>
              <w:t> The Eco-Innovation Scoreboard and the Eco-Innovation Index. </w:t>
            </w:r>
            <w:hyperlink r:id="rId9" w:history="1">
              <w:r w:rsidRPr="00E87153">
                <w:rPr>
                  <w:rFonts w:cs="Times New Roman"/>
                  <w:color w:val="ED7D31" w:themeColor="accent2"/>
                  <w:sz w:val="18"/>
                  <w:szCs w:val="18"/>
                  <w:u w:val="single"/>
                  <w:lang w:eastAsia="de-DE"/>
                </w:rPr>
                <w:t>https://ec.europa.eu/environment/ecoap/indicators/index_en</w:t>
              </w:r>
            </w:hyperlink>
            <w:r w:rsidRPr="00E87153">
              <w:rPr>
                <w:rFonts w:ascii="Times" w:hAnsi="Times" w:cs="Times New Roman"/>
                <w:sz w:val="18"/>
                <w:szCs w:val="18"/>
                <w:lang w:eastAsia="de-DE"/>
              </w:rPr>
              <w:t>  and </w:t>
            </w:r>
            <w:hyperlink r:id="rId10" w:history="1">
              <w:r w:rsidRPr="00E87153">
                <w:rPr>
                  <w:rFonts w:cs="Times New Roman"/>
                  <w:color w:val="ED7D31" w:themeColor="accent2"/>
                  <w:sz w:val="18"/>
                  <w:szCs w:val="18"/>
                  <w:u w:val="single"/>
                  <w:lang w:eastAsia="de-DE"/>
                </w:rPr>
                <w:t>https://ec.europa.eu/environment/ecoap/indicators/circular-economy-indicators_en</w:t>
              </w:r>
            </w:hyperlink>
            <w:r w:rsidRPr="00E87153">
              <w:rPr>
                <w:rFonts w:ascii="Times" w:hAnsi="Times" w:cs="Times New Roman"/>
                <w:sz w:val="18"/>
                <w:szCs w:val="18"/>
                <w:lang w:eastAsia="de-DE"/>
              </w:rPr>
              <w:t> ; next report 2020 is going to be released shortly</w:t>
            </w:r>
          </w:p>
        </w:tc>
        <w:tc>
          <w:tcPr>
            <w:tcW w:w="5207" w:type="dxa"/>
            <w:gridSpan w:val="2"/>
          </w:tcPr>
          <w:p w14:paraId="57B3FA07" w14:textId="44F22A42"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E87153">
              <w:rPr>
                <w:rFonts w:ascii="Times" w:hAnsi="Times" w:cs="Times New Roman"/>
                <w:sz w:val="18"/>
                <w:szCs w:val="18"/>
                <w:lang w:eastAsia="de-DE"/>
              </w:rPr>
              <w:t>The Eco-Innovation Scoreboard (Eco-IS) and the Eco-Innovation Index  illustrate the eco-innovation performance across the EU Member States. They aim at capturing the different aspects of eco-innovation by applying 16 indicators grouped into five dimensions: eco-innovation inputs, eco-innovation activities, eco-innovation outputs, resource efficiency and socio-economic outcomes. Links between eco-innovation and circular economy have been strengthened and the revised index also encompasses new circular economy indicators such as data on employment and revenue in eco-industries and circular economy. The project also compiles 28 country profiles.</w:t>
            </w:r>
          </w:p>
        </w:tc>
        <w:tc>
          <w:tcPr>
            <w:tcW w:w="1375" w:type="dxa"/>
          </w:tcPr>
          <w:p w14:paraId="2E8BBF94" w14:textId="4F624251" w:rsidR="003C31F2" w:rsidRPr="00D41136" w:rsidRDefault="006C17BA" w:rsidP="003C31F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Eco-innovation (monitoring) is a indispensable element of circular economy transition.</w:t>
            </w:r>
          </w:p>
        </w:tc>
      </w:tr>
      <w:tr w:rsidR="003C31F2" w:rsidRPr="00D41136" w14:paraId="75495A67"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0C168CE3" w14:textId="18323E2C" w:rsidR="003C31F2" w:rsidRPr="00D41136" w:rsidRDefault="003C31F2" w:rsidP="003C31F2">
            <w:pPr>
              <w:rPr>
                <w:sz w:val="18"/>
                <w:szCs w:val="18"/>
              </w:rPr>
            </w:pPr>
            <w:r w:rsidRPr="00D41136">
              <w:rPr>
                <w:sz w:val="18"/>
                <w:szCs w:val="18"/>
              </w:rPr>
              <w:t>General/ monitoring</w:t>
            </w:r>
          </w:p>
        </w:tc>
        <w:tc>
          <w:tcPr>
            <w:tcW w:w="6168" w:type="dxa"/>
            <w:gridSpan w:val="2"/>
          </w:tcPr>
          <w:p w14:paraId="5827A6D2" w14:textId="6049AC3F" w:rsidR="003C31F2" w:rsidRPr="00E87153" w:rsidRDefault="003C31F2" w:rsidP="003C31F2">
            <w:pPr>
              <w:cnfStyle w:val="000000000000" w:firstRow="0" w:lastRow="0" w:firstColumn="0" w:lastColumn="0" w:oddVBand="0" w:evenVBand="0" w:oddHBand="0" w:evenHBand="0" w:firstRowFirstColumn="0" w:firstRowLastColumn="0" w:lastRowFirstColumn="0" w:lastRowLastColumn="0"/>
              <w:rPr>
                <w:rFonts w:ascii="Times" w:hAnsi="Times" w:cs="Times New Roman"/>
                <w:b/>
                <w:bCs/>
                <w:sz w:val="18"/>
                <w:szCs w:val="18"/>
                <w:lang w:eastAsia="de-DE"/>
              </w:rPr>
            </w:pPr>
            <w:r w:rsidRPr="003C31F2">
              <w:rPr>
                <w:rFonts w:ascii="Times" w:hAnsi="Times" w:cs="Times New Roman"/>
                <w:sz w:val="18"/>
                <w:szCs w:val="18"/>
                <w:lang w:val="nl-BE" w:eastAsia="de-DE"/>
              </w:rPr>
              <w:t>Mayer, A., Haas, W., Wiedenhofer, D., Krausmann, F., Nuss, P., &amp; Blengini, G. A. (2019). </w:t>
            </w:r>
            <w:r w:rsidRPr="00E87153">
              <w:rPr>
                <w:rFonts w:ascii="Times" w:hAnsi="Times" w:cs="Times New Roman"/>
                <w:b/>
                <w:bCs/>
                <w:sz w:val="18"/>
                <w:szCs w:val="18"/>
                <w:lang w:eastAsia="de-DE"/>
              </w:rPr>
              <w:t>Measuring Progress towards a Circular Economy</w:t>
            </w:r>
            <w:r w:rsidRPr="00E87153">
              <w:rPr>
                <w:rFonts w:ascii="Times" w:hAnsi="Times" w:cs="Times New Roman"/>
                <w:sz w:val="18"/>
                <w:szCs w:val="18"/>
                <w:lang w:eastAsia="de-DE"/>
              </w:rPr>
              <w:t> - A Monitoring Framework for Economy-wide Material Loop Closing in the EU28. </w:t>
            </w:r>
            <w:r w:rsidRPr="00E87153">
              <w:rPr>
                <w:rFonts w:ascii="Times" w:hAnsi="Times" w:cs="Times New Roman"/>
                <w:i/>
                <w:iCs/>
                <w:sz w:val="18"/>
                <w:szCs w:val="18"/>
                <w:lang w:eastAsia="de-DE"/>
              </w:rPr>
              <w:t xml:space="preserve">Journal of </w:t>
            </w:r>
            <w:proofErr w:type="spellStart"/>
            <w:r w:rsidRPr="00E87153">
              <w:rPr>
                <w:rFonts w:ascii="Times" w:hAnsi="Times" w:cs="Times New Roman"/>
                <w:i/>
                <w:iCs/>
                <w:sz w:val="18"/>
                <w:szCs w:val="18"/>
                <w:lang w:eastAsia="de-DE"/>
              </w:rPr>
              <w:t>Lndustrial</w:t>
            </w:r>
            <w:proofErr w:type="spellEnd"/>
            <w:r w:rsidRPr="00E87153">
              <w:rPr>
                <w:rFonts w:ascii="Times" w:hAnsi="Times" w:cs="Times New Roman"/>
                <w:i/>
                <w:iCs/>
                <w:sz w:val="18"/>
                <w:szCs w:val="18"/>
                <w:lang w:eastAsia="de-DE"/>
              </w:rPr>
              <w:t>  Ecology</w:t>
            </w:r>
            <w:r w:rsidRPr="00E87153">
              <w:rPr>
                <w:rFonts w:ascii="Times" w:hAnsi="Times" w:cs="Times New Roman"/>
                <w:sz w:val="18"/>
                <w:szCs w:val="18"/>
                <w:lang w:eastAsia="de-DE"/>
              </w:rPr>
              <w:t>, </w:t>
            </w:r>
            <w:r w:rsidRPr="00E87153">
              <w:rPr>
                <w:rFonts w:ascii="Times" w:hAnsi="Times" w:cs="Times New Roman"/>
                <w:i/>
                <w:iCs/>
                <w:sz w:val="18"/>
                <w:szCs w:val="18"/>
                <w:lang w:eastAsia="de-DE"/>
              </w:rPr>
              <w:t>23</w:t>
            </w:r>
            <w:r w:rsidRPr="00E87153">
              <w:rPr>
                <w:rFonts w:ascii="Times" w:hAnsi="Times" w:cs="Times New Roman"/>
                <w:sz w:val="18"/>
                <w:szCs w:val="18"/>
                <w:lang w:eastAsia="de-DE"/>
              </w:rPr>
              <w:t>(1), 62–76. </w:t>
            </w:r>
            <w:hyperlink r:id="rId11" w:history="1">
              <w:r w:rsidRPr="00E87153">
                <w:rPr>
                  <w:rFonts w:cs="Times New Roman"/>
                  <w:color w:val="ED7D31" w:themeColor="accent2"/>
                  <w:sz w:val="18"/>
                  <w:szCs w:val="18"/>
                  <w:u w:val="single"/>
                  <w:lang w:eastAsia="de-DE"/>
                </w:rPr>
                <w:t>https://doi.org/10.1111/jiec.12809</w:t>
              </w:r>
            </w:hyperlink>
          </w:p>
        </w:tc>
        <w:tc>
          <w:tcPr>
            <w:tcW w:w="5207" w:type="dxa"/>
            <w:gridSpan w:val="2"/>
          </w:tcPr>
          <w:p w14:paraId="0437B5A3" w14:textId="0796F971" w:rsidR="003C31F2" w:rsidRPr="00E87153" w:rsidRDefault="003C31F2" w:rsidP="003C31F2">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r w:rsidRPr="00E87153">
              <w:rPr>
                <w:rFonts w:ascii="Times" w:hAnsi="Times" w:cs="Times New Roman"/>
                <w:sz w:val="18"/>
                <w:szCs w:val="18"/>
                <w:lang w:eastAsia="de-DE"/>
              </w:rPr>
              <w:t>The paper investigates the material flows in the four well-known material groups through the EU28 economy depicting that secondary materials only count for a small part of material input needed to run the economy (approx. 9 per cent in 2014). The authors state that “recycling was surprisingly low, considering the fact that the EU-28 has strict waste regulations, elaborate waste collection and recovery systems, and high material category-specific recovery rates that range from 25% for biomass to 70% for metals”.</w:t>
            </w:r>
            <w:r w:rsidR="006C17BA">
              <w:rPr>
                <w:rFonts w:ascii="Times" w:hAnsi="Times" w:cs="Times New Roman"/>
                <w:sz w:val="18"/>
                <w:szCs w:val="18"/>
                <w:lang w:eastAsia="de-DE"/>
              </w:rPr>
              <w:t xml:space="preserve"> </w:t>
            </w:r>
            <w:r w:rsidRPr="00E87153">
              <w:rPr>
                <w:rFonts w:ascii="Times" w:hAnsi="Times" w:cs="Times New Roman"/>
                <w:sz w:val="18"/>
                <w:szCs w:val="18"/>
                <w:lang w:eastAsia="de-DE"/>
              </w:rPr>
              <w:t>The authors propose a comprehensive set of indicators that measure the scale and circularity of total material and waste flows and their socioeconomic and ecological loop closing by contrasting input and output oriented CE indicators.</w:t>
            </w:r>
          </w:p>
        </w:tc>
        <w:tc>
          <w:tcPr>
            <w:tcW w:w="1375" w:type="dxa"/>
          </w:tcPr>
          <w:p w14:paraId="683FDE8B" w14:textId="15EE4739" w:rsidR="003C31F2" w:rsidRPr="00D41136" w:rsidRDefault="00756793" w:rsidP="0075679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Approach shows i</w:t>
            </w:r>
            <w:r w:rsidR="006C17BA" w:rsidRPr="006C17BA">
              <w:rPr>
                <w:sz w:val="18"/>
                <w:szCs w:val="18"/>
              </w:rPr>
              <w:t>nput-and</w:t>
            </w:r>
            <w:r>
              <w:rPr>
                <w:sz w:val="18"/>
                <w:szCs w:val="18"/>
              </w:rPr>
              <w:t xml:space="preserve"> </w:t>
            </w:r>
            <w:r w:rsidR="006C17BA" w:rsidRPr="006C17BA">
              <w:rPr>
                <w:sz w:val="18"/>
                <w:szCs w:val="18"/>
              </w:rPr>
              <w:t>output-side</w:t>
            </w:r>
            <w:r>
              <w:rPr>
                <w:sz w:val="18"/>
                <w:szCs w:val="18"/>
              </w:rPr>
              <w:t xml:space="preserve"> </w:t>
            </w:r>
            <w:r w:rsidR="006C17BA" w:rsidRPr="006C17BA">
              <w:rPr>
                <w:sz w:val="18"/>
                <w:szCs w:val="18"/>
              </w:rPr>
              <w:t>CE</w:t>
            </w:r>
            <w:r>
              <w:rPr>
                <w:sz w:val="18"/>
                <w:szCs w:val="18"/>
              </w:rPr>
              <w:t xml:space="preserve"> </w:t>
            </w:r>
            <w:r w:rsidR="006C17BA" w:rsidRPr="006C17BA">
              <w:rPr>
                <w:sz w:val="18"/>
                <w:szCs w:val="18"/>
              </w:rPr>
              <w:t>indicators</w:t>
            </w:r>
          </w:p>
        </w:tc>
      </w:tr>
      <w:tr w:rsidR="003C31F2" w:rsidRPr="00D41136" w14:paraId="647FBEF5"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0C7C3F0B" w14:textId="21471256" w:rsidR="003C31F2" w:rsidRPr="00D41136" w:rsidRDefault="003C31F2" w:rsidP="003C31F2">
            <w:pPr>
              <w:rPr>
                <w:sz w:val="18"/>
                <w:szCs w:val="18"/>
              </w:rPr>
            </w:pPr>
            <w:r w:rsidRPr="00D41136">
              <w:rPr>
                <w:sz w:val="18"/>
                <w:szCs w:val="18"/>
              </w:rPr>
              <w:lastRenderedPageBreak/>
              <w:t>General/ monitoring</w:t>
            </w:r>
          </w:p>
        </w:tc>
        <w:tc>
          <w:tcPr>
            <w:tcW w:w="6168" w:type="dxa"/>
            <w:gridSpan w:val="2"/>
          </w:tcPr>
          <w:p w14:paraId="158B4731" w14:textId="13CDAA41" w:rsidR="003C31F2" w:rsidRPr="003C31F2" w:rsidRDefault="003C31F2" w:rsidP="003C31F2">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val="nl-BE" w:eastAsia="de-DE"/>
              </w:rPr>
            </w:pPr>
            <w:r w:rsidRPr="003C31F2">
              <w:rPr>
                <w:rFonts w:ascii="Times" w:hAnsi="Times" w:cs="Times New Roman"/>
                <w:sz w:val="18"/>
                <w:szCs w:val="18"/>
                <w:lang w:val="nl-BE" w:eastAsia="de-DE"/>
              </w:rPr>
              <w:t>Moraga, G., Huysfeld, S., Mathieux, F., Blengini, G.A., Alaerts, L., Van Acker, K., Meester, S. de, and Dewulf, J. (2019).</w:t>
            </w:r>
            <w:r w:rsidRPr="003C31F2">
              <w:rPr>
                <w:rFonts w:ascii="Times" w:hAnsi="Times" w:cs="Times New Roman"/>
                <w:b/>
                <w:bCs/>
                <w:sz w:val="18"/>
                <w:szCs w:val="18"/>
                <w:lang w:val="nl-BE" w:eastAsia="de-DE"/>
              </w:rPr>
              <w:t> </w:t>
            </w:r>
            <w:r w:rsidRPr="00E87153">
              <w:rPr>
                <w:rFonts w:ascii="Times" w:hAnsi="Times" w:cs="Times New Roman"/>
                <w:b/>
                <w:bCs/>
                <w:sz w:val="18"/>
                <w:szCs w:val="18"/>
                <w:lang w:eastAsia="de-DE"/>
              </w:rPr>
              <w:t>Circular economy indicators? </w:t>
            </w:r>
            <w:r w:rsidRPr="00E87153">
              <w:rPr>
                <w:rFonts w:ascii="Times" w:hAnsi="Times" w:cs="Times New Roman"/>
                <w:sz w:val="18"/>
                <w:szCs w:val="18"/>
                <w:lang w:eastAsia="de-DE"/>
              </w:rPr>
              <w:t>What do they measure? Resources, Conservation &amp; Recycling </w:t>
            </w:r>
            <w:r w:rsidRPr="00E87153">
              <w:rPr>
                <w:rFonts w:ascii="Times" w:hAnsi="Times" w:cs="Times New Roman"/>
                <w:i/>
                <w:iCs/>
                <w:sz w:val="18"/>
                <w:szCs w:val="18"/>
                <w:lang w:eastAsia="de-DE"/>
              </w:rPr>
              <w:t>146</w:t>
            </w:r>
            <w:r w:rsidRPr="00E87153">
              <w:rPr>
                <w:rFonts w:ascii="Times" w:hAnsi="Times" w:cs="Times New Roman"/>
                <w:sz w:val="18"/>
                <w:szCs w:val="18"/>
                <w:lang w:eastAsia="de-DE"/>
              </w:rPr>
              <w:t>, 452–461. </w:t>
            </w:r>
            <w:hyperlink r:id="rId12" w:history="1">
              <w:r w:rsidRPr="00E87153">
                <w:rPr>
                  <w:rFonts w:cs="Times New Roman"/>
                  <w:color w:val="ED7D31" w:themeColor="accent2"/>
                  <w:sz w:val="18"/>
                  <w:szCs w:val="18"/>
                  <w:u w:val="single"/>
                  <w:lang w:eastAsia="de-DE"/>
                </w:rPr>
                <w:t>https://doi.org/10.1016/j.resconrec.2019.03.045</w:t>
              </w:r>
            </w:hyperlink>
            <w:r w:rsidRPr="00E87153">
              <w:rPr>
                <w:rFonts w:ascii="Times" w:hAnsi="Times" w:cs="Times New Roman"/>
                <w:sz w:val="18"/>
                <w:szCs w:val="18"/>
                <w:lang w:eastAsia="de-DE"/>
              </w:rPr>
              <w:t> </w:t>
            </w:r>
          </w:p>
        </w:tc>
        <w:tc>
          <w:tcPr>
            <w:tcW w:w="5207" w:type="dxa"/>
            <w:gridSpan w:val="2"/>
          </w:tcPr>
          <w:p w14:paraId="1B36CD23" w14:textId="17F3153D" w:rsidR="003C31F2" w:rsidRPr="00E87153" w:rsidRDefault="003C31F2" w:rsidP="003C31F2">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r w:rsidRPr="00E87153">
              <w:rPr>
                <w:rFonts w:ascii="Times" w:hAnsi="Times" w:cs="Times New Roman"/>
                <w:sz w:val="18"/>
                <w:szCs w:val="18"/>
                <w:lang w:eastAsia="de-DE"/>
              </w:rPr>
              <w:t>The paper develops a classification framework to categorise indicators according to reasoning on what (CE strategies) and how (measurement scope). To illustrate the classification framework, the authors select quantitative micro scale indicators (products, businesses, and companies) from literature and macro scale indicators from the European Union ‘CE monitoring framework’. It shows that most of the indicators focus on the preservation of materials, with strategies such as recycling. However, micro scale indicators can also focus on other CE strategies considering a Life Cycle Thinking approach, while the European indicators mostly account for materials often without taking life cycling thinking into account. None of the available indicators can assess the preservation of functions instead of products, with strategies such as sharing platforms, schemes for product redundancy, or multifunctionality. This calls for a wider and advanced set of indicators.</w:t>
            </w:r>
          </w:p>
        </w:tc>
        <w:tc>
          <w:tcPr>
            <w:tcW w:w="1375" w:type="dxa"/>
          </w:tcPr>
          <w:p w14:paraId="2068833F" w14:textId="6B0CC26F" w:rsidR="003C31F2" w:rsidRPr="00D41136" w:rsidRDefault="00756793" w:rsidP="00756793">
            <w:pPr>
              <w:cnfStyle w:val="000000000000" w:firstRow="0" w:lastRow="0" w:firstColumn="0" w:lastColumn="0" w:oddVBand="0" w:evenVBand="0" w:oddHBand="0" w:evenHBand="0" w:firstRowFirstColumn="0" w:firstRowLastColumn="0" w:lastRowFirstColumn="0" w:lastRowLastColumn="0"/>
              <w:rPr>
                <w:sz w:val="18"/>
                <w:szCs w:val="18"/>
              </w:rPr>
            </w:pPr>
            <w:r w:rsidRPr="00E87153">
              <w:rPr>
                <w:rFonts w:ascii="Times" w:hAnsi="Times" w:cs="Times New Roman"/>
                <w:sz w:val="18"/>
                <w:szCs w:val="18"/>
                <w:lang w:eastAsia="de-DE"/>
              </w:rPr>
              <w:t xml:space="preserve">None of the </w:t>
            </w:r>
            <w:r>
              <w:rPr>
                <w:rFonts w:ascii="Times" w:hAnsi="Times" w:cs="Times New Roman"/>
                <w:sz w:val="18"/>
                <w:szCs w:val="18"/>
                <w:lang w:eastAsia="de-DE"/>
              </w:rPr>
              <w:t xml:space="preserve">currently </w:t>
            </w:r>
            <w:r w:rsidRPr="00E87153">
              <w:rPr>
                <w:rFonts w:ascii="Times" w:hAnsi="Times" w:cs="Times New Roman"/>
                <w:sz w:val="18"/>
                <w:szCs w:val="18"/>
                <w:lang w:eastAsia="de-DE"/>
              </w:rPr>
              <w:t>available indicators can assess the preservation of functions instead of products</w:t>
            </w:r>
            <w:r>
              <w:rPr>
                <w:rFonts w:ascii="Times" w:hAnsi="Times" w:cs="Times New Roman"/>
                <w:sz w:val="18"/>
                <w:szCs w:val="18"/>
                <w:lang w:eastAsia="de-DE"/>
              </w:rPr>
              <w:t>.</w:t>
            </w:r>
          </w:p>
        </w:tc>
      </w:tr>
      <w:tr w:rsidR="00400415" w:rsidRPr="00D41136" w14:paraId="2839813B" w14:textId="77777777" w:rsidTr="00D667B5">
        <w:tc>
          <w:tcPr>
            <w:cnfStyle w:val="001000000000" w:firstRow="0" w:lastRow="0" w:firstColumn="1" w:lastColumn="0" w:oddVBand="0" w:evenVBand="0" w:oddHBand="0" w:evenHBand="0" w:firstRowFirstColumn="0" w:firstRowLastColumn="0" w:lastRowFirstColumn="0" w:lastRowLastColumn="0"/>
            <w:tcW w:w="1198" w:type="dxa"/>
            <w:shd w:val="clear" w:color="auto" w:fill="FFE599" w:themeFill="accent4" w:themeFillTint="66"/>
          </w:tcPr>
          <w:p w14:paraId="448BE006" w14:textId="4A83C573" w:rsidR="00400415" w:rsidRPr="00D41136" w:rsidRDefault="00400415" w:rsidP="003C31F2">
            <w:pPr>
              <w:rPr>
                <w:sz w:val="18"/>
                <w:szCs w:val="18"/>
              </w:rPr>
            </w:pPr>
            <w:r w:rsidRPr="00D41136">
              <w:rPr>
                <w:sz w:val="18"/>
                <w:szCs w:val="18"/>
              </w:rPr>
              <w:t>General/ monitoring</w:t>
            </w:r>
          </w:p>
        </w:tc>
        <w:tc>
          <w:tcPr>
            <w:tcW w:w="6168" w:type="dxa"/>
            <w:gridSpan w:val="2"/>
            <w:shd w:val="clear" w:color="auto" w:fill="FFE599" w:themeFill="accent4" w:themeFillTint="66"/>
          </w:tcPr>
          <w:p w14:paraId="6BB3E47E" w14:textId="2124AF86" w:rsidR="00591492" w:rsidRPr="00591492" w:rsidRDefault="00591492" w:rsidP="0059149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sz w:val="18"/>
                <w:szCs w:val="18"/>
                <w:lang w:val="en-US"/>
              </w:rPr>
            </w:pPr>
            <w:r w:rsidRPr="00591492">
              <w:rPr>
                <w:rFonts w:cs="MyriadPro-Bold"/>
                <w:bCs/>
                <w:sz w:val="18"/>
                <w:szCs w:val="18"/>
                <w:lang w:val="en-US"/>
              </w:rPr>
              <w:t xml:space="preserve">Eurostat Manuals and guidelines (2014), </w:t>
            </w:r>
            <w:r w:rsidRPr="00591492">
              <w:rPr>
                <w:rFonts w:cs="MyriadPro-Bold"/>
                <w:b/>
                <w:bCs/>
                <w:sz w:val="18"/>
                <w:szCs w:val="18"/>
                <w:lang w:val="en-US"/>
              </w:rPr>
              <w:t xml:space="preserve">Towards a </w:t>
            </w:r>
            <w:proofErr w:type="spellStart"/>
            <w:r w:rsidRPr="00591492">
              <w:rPr>
                <w:rFonts w:cs="MyriadPro-Bold"/>
                <w:b/>
                <w:bCs/>
                <w:sz w:val="18"/>
                <w:szCs w:val="18"/>
                <w:lang w:val="en-US"/>
              </w:rPr>
              <w:t>harmonised</w:t>
            </w:r>
            <w:proofErr w:type="spellEnd"/>
            <w:r w:rsidRPr="00591492">
              <w:rPr>
                <w:rFonts w:cs="MyriadPro-Bold"/>
                <w:b/>
                <w:bCs/>
                <w:sz w:val="18"/>
                <w:szCs w:val="18"/>
                <w:lang w:val="en-US"/>
              </w:rPr>
              <w:t xml:space="preserve"> methodology for statistical indicators</w:t>
            </w:r>
            <w:r w:rsidRPr="00591492">
              <w:rPr>
                <w:rFonts w:cs="MyriadPro-Bold"/>
                <w:bCs/>
                <w:sz w:val="18"/>
                <w:szCs w:val="18"/>
                <w:lang w:val="en-US"/>
              </w:rPr>
              <w:t xml:space="preserve">, </w:t>
            </w:r>
            <w:r w:rsidRPr="00591492">
              <w:rPr>
                <w:b/>
                <w:sz w:val="18"/>
                <w:szCs w:val="18"/>
                <w:lang w:val="en-US"/>
              </w:rPr>
              <w:t>Part 1: Indicator typologies and terminologies</w:t>
            </w:r>
          </w:p>
          <w:p w14:paraId="6F51A724" w14:textId="77777777" w:rsidR="00591492" w:rsidRPr="00591492" w:rsidRDefault="0075744B" w:rsidP="00591492">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lang w:val="en-US"/>
              </w:rPr>
            </w:pPr>
            <w:hyperlink r:id="rId13" w:history="1">
              <w:r w:rsidR="00591492" w:rsidRPr="00591492">
                <w:rPr>
                  <w:rStyle w:val="Hyperlink"/>
                  <w:sz w:val="18"/>
                  <w:szCs w:val="18"/>
                  <w:lang w:val="en-US"/>
                </w:rPr>
                <w:t>https://ec.europa.eu/eurostat/documents/3859598/5937481/KS-GQ-14-011-EN.PDF/82855e3b-bb6e-498a-a177-07e7884e9bcb</w:t>
              </w:r>
            </w:hyperlink>
          </w:p>
          <w:p w14:paraId="451E1348" w14:textId="77777777" w:rsidR="00400415" w:rsidRPr="003C31F2" w:rsidRDefault="00400415" w:rsidP="003C31F2">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val="nl-BE" w:eastAsia="de-DE"/>
              </w:rPr>
            </w:pPr>
          </w:p>
        </w:tc>
        <w:tc>
          <w:tcPr>
            <w:tcW w:w="5207" w:type="dxa"/>
            <w:gridSpan w:val="2"/>
            <w:shd w:val="clear" w:color="auto" w:fill="FFE599" w:themeFill="accent4" w:themeFillTint="66"/>
          </w:tcPr>
          <w:p w14:paraId="1B379764" w14:textId="3B312368" w:rsidR="00591492" w:rsidRPr="00207ECC" w:rsidRDefault="00591492" w:rsidP="00591492">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lang w:val="en-US"/>
              </w:rPr>
            </w:pPr>
            <w:r w:rsidRPr="00207ECC">
              <w:rPr>
                <w:sz w:val="18"/>
                <w:szCs w:val="18"/>
                <w:lang w:val="en-US"/>
              </w:rPr>
              <w:t xml:space="preserve">Publication aims to provide a point of reference for general questions about indicators and indicator sets: why do we use them? what can they measure? and how do they represent reality? by referring to the existing literature on indicators and to concrete examples drawn from the experience of Eurostat and the European Commission as a whole, as well as other national and international institutions. </w:t>
            </w:r>
          </w:p>
          <w:p w14:paraId="3EB7A2DB" w14:textId="77777777" w:rsidR="00591492" w:rsidRPr="00207ECC" w:rsidRDefault="00591492" w:rsidP="00591492">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lang w:val="en-US"/>
              </w:rPr>
            </w:pPr>
            <w:r w:rsidRPr="00207ECC">
              <w:rPr>
                <w:sz w:val="18"/>
                <w:szCs w:val="18"/>
                <w:lang w:val="en-US"/>
              </w:rPr>
              <w:t xml:space="preserve">This paper is the first in a series of three papers on statistical indicators published by Eurostat. A second paper on </w:t>
            </w:r>
            <w:r w:rsidRPr="00AC1DB8">
              <w:rPr>
                <w:sz w:val="18"/>
                <w:szCs w:val="18"/>
                <w:lang w:val="en-US"/>
              </w:rPr>
              <w:t>Communicating through indicators</w:t>
            </w:r>
            <w:r w:rsidRPr="00207ECC">
              <w:rPr>
                <w:sz w:val="18"/>
                <w:szCs w:val="18"/>
                <w:lang w:val="en-US"/>
              </w:rPr>
              <w:t xml:space="preserve"> was published in 2017. The third paper on Relevance for policy making was released in 2017. </w:t>
            </w:r>
          </w:p>
          <w:p w14:paraId="2DD6877A" w14:textId="77777777" w:rsidR="00400415" w:rsidRPr="00E87153" w:rsidRDefault="00400415" w:rsidP="003C31F2">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p>
        </w:tc>
        <w:tc>
          <w:tcPr>
            <w:tcW w:w="1375" w:type="dxa"/>
            <w:shd w:val="clear" w:color="auto" w:fill="FFE599" w:themeFill="accent4" w:themeFillTint="66"/>
          </w:tcPr>
          <w:p w14:paraId="71676584" w14:textId="77777777" w:rsidR="00591492" w:rsidRPr="00207ECC" w:rsidRDefault="00591492" w:rsidP="00591492">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lang w:val="en-US"/>
              </w:rPr>
            </w:pPr>
            <w:r w:rsidRPr="00207ECC">
              <w:rPr>
                <w:sz w:val="18"/>
                <w:szCs w:val="18"/>
                <w:lang w:val="en-US"/>
              </w:rPr>
              <w:t>Information about indicators in general</w:t>
            </w:r>
          </w:p>
          <w:p w14:paraId="1A181064" w14:textId="77777777" w:rsidR="00400415" w:rsidRPr="00E87153" w:rsidRDefault="00400415" w:rsidP="00756793">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p>
        </w:tc>
      </w:tr>
      <w:tr w:rsidR="00400415" w:rsidRPr="00D41136" w14:paraId="1E247C34" w14:textId="77777777" w:rsidTr="00D667B5">
        <w:tc>
          <w:tcPr>
            <w:cnfStyle w:val="001000000000" w:firstRow="0" w:lastRow="0" w:firstColumn="1" w:lastColumn="0" w:oddVBand="0" w:evenVBand="0" w:oddHBand="0" w:evenHBand="0" w:firstRowFirstColumn="0" w:firstRowLastColumn="0" w:lastRowFirstColumn="0" w:lastRowLastColumn="0"/>
            <w:tcW w:w="1198" w:type="dxa"/>
            <w:shd w:val="clear" w:color="auto" w:fill="FFE599" w:themeFill="accent4" w:themeFillTint="66"/>
          </w:tcPr>
          <w:p w14:paraId="601065CF" w14:textId="3C3A9D1A" w:rsidR="00400415" w:rsidRPr="00D41136" w:rsidRDefault="00400415" w:rsidP="003C31F2">
            <w:pPr>
              <w:rPr>
                <w:sz w:val="18"/>
                <w:szCs w:val="18"/>
              </w:rPr>
            </w:pPr>
            <w:r w:rsidRPr="00D41136">
              <w:rPr>
                <w:sz w:val="18"/>
                <w:szCs w:val="18"/>
              </w:rPr>
              <w:t>General/ monitoring</w:t>
            </w:r>
          </w:p>
        </w:tc>
        <w:tc>
          <w:tcPr>
            <w:tcW w:w="6168" w:type="dxa"/>
            <w:gridSpan w:val="2"/>
            <w:shd w:val="clear" w:color="auto" w:fill="FFE599" w:themeFill="accent4" w:themeFillTint="66"/>
          </w:tcPr>
          <w:p w14:paraId="29C846D3" w14:textId="19A25ADE" w:rsidR="00591492" w:rsidRPr="00AC1DB8" w:rsidRDefault="00591492" w:rsidP="00591492">
            <w:pPr>
              <w:outlineLvl w:val="1"/>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sk-SK"/>
              </w:rPr>
            </w:pPr>
            <w:r w:rsidRPr="00207ECC">
              <w:rPr>
                <w:rFonts w:cs="MyriadPro-Bold"/>
                <w:bCs/>
                <w:sz w:val="18"/>
                <w:szCs w:val="18"/>
                <w:lang w:val="en-US"/>
              </w:rPr>
              <w:t xml:space="preserve">Eurostat Manuals and guidelines (2017), </w:t>
            </w:r>
            <w:r w:rsidRPr="00AC1DB8">
              <w:rPr>
                <w:rFonts w:eastAsia="Times New Roman" w:cs="Times New Roman"/>
                <w:b/>
                <w:bCs/>
                <w:sz w:val="18"/>
                <w:szCs w:val="18"/>
                <w:lang w:val="en-US" w:eastAsia="sk-SK"/>
              </w:rPr>
              <w:t xml:space="preserve">Towards a </w:t>
            </w:r>
            <w:proofErr w:type="spellStart"/>
            <w:r w:rsidRPr="00AC1DB8">
              <w:rPr>
                <w:rFonts w:eastAsia="Times New Roman" w:cs="Times New Roman"/>
                <w:b/>
                <w:bCs/>
                <w:sz w:val="18"/>
                <w:szCs w:val="18"/>
                <w:lang w:val="en-US" w:eastAsia="sk-SK"/>
              </w:rPr>
              <w:t>harmonised</w:t>
            </w:r>
            <w:proofErr w:type="spellEnd"/>
            <w:r w:rsidRPr="00AC1DB8">
              <w:rPr>
                <w:rFonts w:eastAsia="Times New Roman" w:cs="Times New Roman"/>
                <w:b/>
                <w:bCs/>
                <w:sz w:val="18"/>
                <w:szCs w:val="18"/>
                <w:lang w:val="en-US" w:eastAsia="sk-SK"/>
              </w:rPr>
              <w:t xml:space="preserve"> methodolo</w:t>
            </w:r>
            <w:r>
              <w:rPr>
                <w:rFonts w:eastAsia="Times New Roman" w:cs="Times New Roman"/>
                <w:b/>
                <w:bCs/>
                <w:sz w:val="18"/>
                <w:szCs w:val="18"/>
                <w:lang w:val="en-US" w:eastAsia="sk-SK"/>
              </w:rPr>
              <w:t xml:space="preserve">gy for statistical indicators, </w:t>
            </w:r>
            <w:r w:rsidRPr="00AC1DB8">
              <w:rPr>
                <w:rFonts w:eastAsia="Times New Roman" w:cs="Times New Roman"/>
                <w:b/>
                <w:bCs/>
                <w:sz w:val="18"/>
                <w:szCs w:val="18"/>
                <w:lang w:val="en-US" w:eastAsia="sk-SK"/>
              </w:rPr>
              <w:t>Part 2: Communicating through indicators</w:t>
            </w:r>
          </w:p>
          <w:p w14:paraId="0351DC9B" w14:textId="77777777" w:rsidR="00591492" w:rsidRPr="00207ECC" w:rsidRDefault="0075744B" w:rsidP="00591492">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lang w:val="en-US"/>
              </w:rPr>
            </w:pPr>
            <w:hyperlink r:id="rId14" w:history="1">
              <w:r w:rsidR="00591492" w:rsidRPr="00207ECC">
                <w:rPr>
                  <w:rStyle w:val="Hyperlink"/>
                  <w:sz w:val="18"/>
                  <w:szCs w:val="18"/>
                  <w:lang w:val="en-US"/>
                </w:rPr>
                <w:t>https://ec.europa.eu/eurostat/documents/3859598/7862432/KS-GQ-17-001-EN-N.pdf/3a226be6-efe0-4668-b09f-3dcd20f8ff11</w:t>
              </w:r>
            </w:hyperlink>
          </w:p>
          <w:p w14:paraId="701E902F" w14:textId="77777777" w:rsidR="00400415" w:rsidRPr="003C31F2" w:rsidRDefault="00400415" w:rsidP="003C31F2">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val="nl-BE" w:eastAsia="de-DE"/>
              </w:rPr>
            </w:pPr>
          </w:p>
        </w:tc>
        <w:tc>
          <w:tcPr>
            <w:tcW w:w="5207" w:type="dxa"/>
            <w:gridSpan w:val="2"/>
            <w:shd w:val="clear" w:color="auto" w:fill="FFE599" w:themeFill="accent4" w:themeFillTint="66"/>
          </w:tcPr>
          <w:p w14:paraId="1159E84D" w14:textId="77777777" w:rsidR="00591492" w:rsidRPr="00207ECC" w:rsidRDefault="00591492" w:rsidP="0059149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207ECC">
              <w:rPr>
                <w:rFonts w:asciiTheme="minorHAnsi" w:hAnsiTheme="minorHAnsi"/>
                <w:sz w:val="18"/>
                <w:szCs w:val="18"/>
                <w:lang w:val="en-US"/>
              </w:rPr>
              <w:t>Indicators are used in many areas of social and environmental science, economics, business, and project management. A vast empirical experience of communicating through indicators now exists. However, only limited attempts to develop a methodology for this topic have so far been carried out. The purpose of this paper is to make an initial summary of the existing best practices on this theme encompassing communication and statistical knowledge. The paper should be regarded as an occasion to raise awareness and stimulate a debate about what is good communication through statistical indicators.</w:t>
            </w:r>
          </w:p>
          <w:p w14:paraId="4131993B" w14:textId="09D479A5" w:rsidR="00591492" w:rsidRPr="00207ECC" w:rsidRDefault="00591492" w:rsidP="00591492">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lang w:val="en-US"/>
              </w:rPr>
            </w:pPr>
            <w:r w:rsidRPr="00207ECC">
              <w:rPr>
                <w:sz w:val="18"/>
                <w:szCs w:val="18"/>
                <w:lang w:val="en-US"/>
              </w:rPr>
              <w:t xml:space="preserve">This paper is the second in a series of three papers on statistical indicators published by Eurostat. A first paper on Indicator typologies and terminologies was published in 2014. The third paper on Relevance for policy making was released in 2017. </w:t>
            </w:r>
          </w:p>
          <w:p w14:paraId="5F8E610B" w14:textId="77777777" w:rsidR="00400415" w:rsidRPr="00E87153" w:rsidRDefault="00400415" w:rsidP="003C31F2">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p>
        </w:tc>
        <w:tc>
          <w:tcPr>
            <w:tcW w:w="1375" w:type="dxa"/>
            <w:shd w:val="clear" w:color="auto" w:fill="FFE599" w:themeFill="accent4" w:themeFillTint="66"/>
          </w:tcPr>
          <w:p w14:paraId="26AE72B7" w14:textId="77777777" w:rsidR="00591492" w:rsidRPr="00207ECC" w:rsidRDefault="00591492" w:rsidP="00591492">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lang w:val="en-US"/>
              </w:rPr>
            </w:pPr>
            <w:r w:rsidRPr="00207ECC">
              <w:rPr>
                <w:sz w:val="18"/>
                <w:szCs w:val="18"/>
                <w:lang w:val="en-US"/>
              </w:rPr>
              <w:lastRenderedPageBreak/>
              <w:t>Information about indicators in general</w:t>
            </w:r>
          </w:p>
          <w:p w14:paraId="742DDA81" w14:textId="77777777" w:rsidR="00400415" w:rsidRPr="00E87153" w:rsidRDefault="00400415" w:rsidP="00756793">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p>
        </w:tc>
      </w:tr>
      <w:tr w:rsidR="00400415" w:rsidRPr="00D41136" w14:paraId="5105DAF2" w14:textId="77777777" w:rsidTr="00D667B5">
        <w:tc>
          <w:tcPr>
            <w:cnfStyle w:val="001000000000" w:firstRow="0" w:lastRow="0" w:firstColumn="1" w:lastColumn="0" w:oddVBand="0" w:evenVBand="0" w:oddHBand="0" w:evenHBand="0" w:firstRowFirstColumn="0" w:firstRowLastColumn="0" w:lastRowFirstColumn="0" w:lastRowLastColumn="0"/>
            <w:tcW w:w="1198" w:type="dxa"/>
            <w:shd w:val="clear" w:color="auto" w:fill="FFE599" w:themeFill="accent4" w:themeFillTint="66"/>
          </w:tcPr>
          <w:p w14:paraId="1ECE18D5" w14:textId="2FA9BD7F" w:rsidR="00400415" w:rsidRPr="00D41136" w:rsidRDefault="00400415" w:rsidP="003C31F2">
            <w:pPr>
              <w:rPr>
                <w:sz w:val="18"/>
                <w:szCs w:val="18"/>
              </w:rPr>
            </w:pPr>
            <w:r w:rsidRPr="00D41136">
              <w:rPr>
                <w:sz w:val="18"/>
                <w:szCs w:val="18"/>
              </w:rPr>
              <w:t>General/ monitoring</w:t>
            </w:r>
          </w:p>
        </w:tc>
        <w:tc>
          <w:tcPr>
            <w:tcW w:w="6168" w:type="dxa"/>
            <w:gridSpan w:val="2"/>
            <w:shd w:val="clear" w:color="auto" w:fill="FFE599" w:themeFill="accent4" w:themeFillTint="66"/>
          </w:tcPr>
          <w:p w14:paraId="14E26461" w14:textId="7F820CC7" w:rsidR="00591492" w:rsidRPr="00207ECC" w:rsidRDefault="00591492" w:rsidP="00591492">
            <w:pPr>
              <w:pStyle w:val="Heading2"/>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207ECC">
              <w:rPr>
                <w:rFonts w:asciiTheme="minorHAnsi" w:hAnsiTheme="minorHAnsi" w:cs="MyriadPro-Bold"/>
                <w:b w:val="0"/>
                <w:bCs w:val="0"/>
                <w:sz w:val="18"/>
                <w:szCs w:val="18"/>
                <w:lang w:val="en-US"/>
              </w:rPr>
              <w:t>Eurostat Manuals and guidelines (2017),</w:t>
            </w:r>
            <w:r w:rsidRPr="00207ECC">
              <w:rPr>
                <w:rFonts w:asciiTheme="minorHAnsi" w:hAnsiTheme="minorHAnsi" w:cs="MyriadPro-Bold"/>
                <w:bCs w:val="0"/>
                <w:sz w:val="18"/>
                <w:szCs w:val="18"/>
                <w:lang w:val="en-US"/>
              </w:rPr>
              <w:t xml:space="preserve"> </w:t>
            </w:r>
            <w:r w:rsidRPr="00207ECC">
              <w:rPr>
                <w:rFonts w:asciiTheme="minorHAnsi" w:hAnsiTheme="minorHAnsi"/>
                <w:sz w:val="18"/>
                <w:szCs w:val="18"/>
                <w:lang w:val="en-US"/>
              </w:rPr>
              <w:t xml:space="preserve">Towards a </w:t>
            </w:r>
            <w:proofErr w:type="spellStart"/>
            <w:r w:rsidRPr="00207ECC">
              <w:rPr>
                <w:rFonts w:asciiTheme="minorHAnsi" w:hAnsiTheme="minorHAnsi"/>
                <w:sz w:val="18"/>
                <w:szCs w:val="18"/>
                <w:lang w:val="en-US"/>
              </w:rPr>
              <w:t>harmonised</w:t>
            </w:r>
            <w:proofErr w:type="spellEnd"/>
            <w:r w:rsidRPr="00207ECC">
              <w:rPr>
                <w:rFonts w:asciiTheme="minorHAnsi" w:hAnsiTheme="minorHAnsi"/>
                <w:sz w:val="18"/>
                <w:szCs w:val="18"/>
                <w:lang w:val="en-US"/>
              </w:rPr>
              <w:t xml:space="preserve"> methodolo</w:t>
            </w:r>
            <w:r>
              <w:rPr>
                <w:rFonts w:asciiTheme="minorHAnsi" w:hAnsiTheme="minorHAnsi"/>
                <w:sz w:val="18"/>
                <w:szCs w:val="18"/>
                <w:lang w:val="en-US"/>
              </w:rPr>
              <w:t xml:space="preserve">gy for statistical indicators, </w:t>
            </w:r>
            <w:r w:rsidRPr="00207ECC">
              <w:rPr>
                <w:rFonts w:asciiTheme="minorHAnsi" w:hAnsiTheme="minorHAnsi"/>
                <w:sz w:val="18"/>
                <w:szCs w:val="18"/>
                <w:lang w:val="en-US"/>
              </w:rPr>
              <w:t xml:space="preserve">Part 3: Relevance for policy making, </w:t>
            </w:r>
          </w:p>
          <w:p w14:paraId="4C31A000" w14:textId="77777777" w:rsidR="00591492" w:rsidRPr="00207ECC" w:rsidRDefault="00591492" w:rsidP="00591492">
            <w:pPr>
              <w:pStyle w:val="Heading2"/>
              <w:spacing w:before="0" w:beforeAutospacing="0" w:after="0" w:afterAutospacing="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8"/>
                <w:szCs w:val="18"/>
                <w:lang w:val="en-US"/>
              </w:rPr>
            </w:pPr>
            <w:r w:rsidRPr="00207ECC">
              <w:rPr>
                <w:rFonts w:asciiTheme="minorHAnsi" w:hAnsiTheme="minorHAnsi"/>
                <w:b w:val="0"/>
                <w:sz w:val="18"/>
                <w:szCs w:val="18"/>
                <w:lang w:val="en-US"/>
              </w:rPr>
              <w:t>https://ec.europa.eu/eurostat/documents/3859598/8071770/KS-GQ-17-007-EN-N.pdf/7d34c904-2d07-4e71-bd6f-8fe9ee373b60</w:t>
            </w:r>
          </w:p>
          <w:p w14:paraId="639B58BA" w14:textId="77777777" w:rsidR="00400415" w:rsidRPr="003C31F2" w:rsidRDefault="00400415" w:rsidP="003C31F2">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val="nl-BE" w:eastAsia="de-DE"/>
              </w:rPr>
            </w:pPr>
          </w:p>
        </w:tc>
        <w:tc>
          <w:tcPr>
            <w:tcW w:w="5207" w:type="dxa"/>
            <w:gridSpan w:val="2"/>
            <w:shd w:val="clear" w:color="auto" w:fill="FFE599" w:themeFill="accent4" w:themeFillTint="66"/>
          </w:tcPr>
          <w:p w14:paraId="07D8F08B" w14:textId="77777777" w:rsidR="00591492" w:rsidRPr="00207ECC" w:rsidRDefault="00591492" w:rsidP="0059149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207ECC">
              <w:rPr>
                <w:rFonts w:asciiTheme="minorHAnsi" w:hAnsiTheme="minorHAnsi"/>
                <w:sz w:val="18"/>
                <w:szCs w:val="18"/>
                <w:lang w:val="en-US"/>
              </w:rPr>
              <w:t>Th</w:t>
            </w:r>
            <w:r>
              <w:rPr>
                <w:rFonts w:asciiTheme="minorHAnsi" w:hAnsiTheme="minorHAnsi"/>
                <w:sz w:val="18"/>
                <w:szCs w:val="18"/>
                <w:lang w:val="en-US"/>
              </w:rPr>
              <w:t xml:space="preserve">is paper </w:t>
            </w:r>
            <w:r w:rsidRPr="00207ECC">
              <w:rPr>
                <w:rFonts w:asciiTheme="minorHAnsi" w:hAnsiTheme="minorHAnsi"/>
                <w:sz w:val="18"/>
                <w:szCs w:val="18"/>
                <w:lang w:val="en-US"/>
              </w:rPr>
              <w:t>aims to help professionals who develop, produce and communicate policy indicators. It analyses how indicators are used at particular stages of the policy making process; it considers the implications of the increasing role of statistical indicators in policy making for official statisticians and indicator developers; finally, it includes recommendations on how to develop and maintain policy relevant indicators. And in describing the opportunities and pitfalls of indicator use in the policy making process, the paper will also be relevant for policymakers using the indicators.</w:t>
            </w:r>
          </w:p>
          <w:p w14:paraId="59A7BDFF" w14:textId="4263CE22" w:rsidR="00400415" w:rsidRPr="00591492" w:rsidRDefault="00591492" w:rsidP="00D667B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207ECC">
              <w:rPr>
                <w:rFonts w:asciiTheme="minorHAnsi" w:hAnsiTheme="minorHAnsi"/>
                <w:sz w:val="18"/>
                <w:szCs w:val="18"/>
                <w:lang w:val="en-US"/>
              </w:rPr>
              <w:t>This paper is the last in a series of three papers on statistical indicators published by Eurostat. The first paper on Indicator typologies and terminologies was publishe</w:t>
            </w:r>
            <w:r w:rsidR="00D667B5">
              <w:rPr>
                <w:rFonts w:asciiTheme="minorHAnsi" w:hAnsiTheme="minorHAnsi"/>
                <w:sz w:val="18"/>
                <w:szCs w:val="18"/>
                <w:lang w:val="en-US"/>
              </w:rPr>
              <w:t xml:space="preserve">d in 2014. The second paper on </w:t>
            </w:r>
            <w:r w:rsidRPr="00207ECC">
              <w:rPr>
                <w:rFonts w:asciiTheme="minorHAnsi" w:hAnsiTheme="minorHAnsi"/>
                <w:sz w:val="18"/>
                <w:szCs w:val="18"/>
                <w:lang w:val="en-US"/>
              </w:rPr>
              <w:t>Co</w:t>
            </w:r>
            <w:r w:rsidR="00D667B5">
              <w:rPr>
                <w:rFonts w:asciiTheme="minorHAnsi" w:hAnsiTheme="minorHAnsi"/>
                <w:sz w:val="18"/>
                <w:szCs w:val="18"/>
                <w:lang w:val="en-US"/>
              </w:rPr>
              <w:t xml:space="preserve">mmunicating through indicators' </w:t>
            </w:r>
            <w:r w:rsidRPr="00207ECC">
              <w:rPr>
                <w:rFonts w:asciiTheme="minorHAnsi" w:hAnsiTheme="minorHAnsi"/>
                <w:sz w:val="18"/>
                <w:szCs w:val="18"/>
                <w:lang w:val="en-US"/>
              </w:rPr>
              <w:t xml:space="preserve">was released in 2017. </w:t>
            </w:r>
          </w:p>
        </w:tc>
        <w:tc>
          <w:tcPr>
            <w:tcW w:w="1375" w:type="dxa"/>
            <w:shd w:val="clear" w:color="auto" w:fill="FFE599" w:themeFill="accent4" w:themeFillTint="66"/>
          </w:tcPr>
          <w:p w14:paraId="0D739067" w14:textId="77777777" w:rsidR="00591492" w:rsidRPr="00207ECC" w:rsidRDefault="00591492" w:rsidP="00591492">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lang w:val="en-US"/>
              </w:rPr>
            </w:pPr>
            <w:r w:rsidRPr="00207ECC">
              <w:rPr>
                <w:sz w:val="18"/>
                <w:szCs w:val="18"/>
                <w:lang w:val="en-US"/>
              </w:rPr>
              <w:t>Information about indicators in general</w:t>
            </w:r>
          </w:p>
          <w:p w14:paraId="1330C518" w14:textId="77777777" w:rsidR="00400415" w:rsidRPr="00E87153" w:rsidRDefault="00400415" w:rsidP="00756793">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p>
        </w:tc>
      </w:tr>
      <w:tr w:rsidR="003C31F2" w:rsidRPr="00D41136" w14:paraId="005649E2" w14:textId="4F7C1122" w:rsidTr="00F81D86">
        <w:tc>
          <w:tcPr>
            <w:cnfStyle w:val="001000000000" w:firstRow="0" w:lastRow="0" w:firstColumn="1" w:lastColumn="0" w:oddVBand="0" w:evenVBand="0" w:oddHBand="0" w:evenHBand="0" w:firstRowFirstColumn="0" w:firstRowLastColumn="0" w:lastRowFirstColumn="0" w:lastRowLastColumn="0"/>
            <w:tcW w:w="1198" w:type="dxa"/>
          </w:tcPr>
          <w:p w14:paraId="72EF869B" w14:textId="7C30492D" w:rsidR="003C31F2" w:rsidRPr="00D41136" w:rsidRDefault="003C31F2" w:rsidP="003C31F2">
            <w:pPr>
              <w:rPr>
                <w:sz w:val="18"/>
                <w:szCs w:val="18"/>
              </w:rPr>
            </w:pPr>
            <w:r w:rsidRPr="00D41136">
              <w:rPr>
                <w:sz w:val="18"/>
                <w:szCs w:val="18"/>
              </w:rPr>
              <w:t>Metrics for CE monitoring</w:t>
            </w:r>
          </w:p>
        </w:tc>
        <w:tc>
          <w:tcPr>
            <w:tcW w:w="6168" w:type="dxa"/>
            <w:gridSpan w:val="2"/>
          </w:tcPr>
          <w:p w14:paraId="6A0BE643" w14:textId="5A1676DE"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rPr>
              <w:t xml:space="preserve">Parchomenko, A., Nelen, D., Gillabel, J. and Rechberger H. (2019). Measuring the circular economy – A Multiple Correspondence Analysis of 63 metrics. Journal of Cleaner Production, 210, pp. 200–216. </w:t>
            </w:r>
            <w:hyperlink r:id="rId15" w:history="1">
              <w:r w:rsidRPr="00D41136">
                <w:rPr>
                  <w:rStyle w:val="Hyperlink"/>
                  <w:sz w:val="18"/>
                  <w:szCs w:val="18"/>
                </w:rPr>
                <w:t>https://doi.org/10.1016/j.jclepro.2018.10.357</w:t>
              </w:r>
            </w:hyperlink>
          </w:p>
        </w:tc>
        <w:tc>
          <w:tcPr>
            <w:tcW w:w="5207" w:type="dxa"/>
            <w:gridSpan w:val="2"/>
          </w:tcPr>
          <w:p w14:paraId="658D7F37" w14:textId="2513C571"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rPr>
              <w:t>The authors observed there is no generally accepted framework that allows monitoring progress towards a circular economy. The paper analysed existing assessment methodologies and the corresponding metrics that cover different and varied aspects of the CE transition. The main contribution of this paper is the provision of a structured picture of the current stock of CE metrics. 63 CE metrics were assessed and 24 features relevant to CE, such as recycling efficiency, longevity and stock availability. The analysis identified three main clusters of metrics, (1) a resource-efficiency cluster, (2) a materials stocks and flows cluster, (3) a product-centric cluster. The analysis shows a poor integration of resource-efficiency and product-centric perspectives, while the product-centric and system-dynamic perspectives are least frequently assessed. A standardized visualisation framework for CE metrics is derived, which allows to compare individual metrics in a simple and illustrative way.</w:t>
            </w:r>
          </w:p>
        </w:tc>
        <w:tc>
          <w:tcPr>
            <w:tcW w:w="1375" w:type="dxa"/>
          </w:tcPr>
          <w:p w14:paraId="65AA22DC" w14:textId="081E8D19"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rPr>
              <w:t>Monitoring progress towards circular economy requires a balanced set of metrics that covers all relevant features of circular economy.</w:t>
            </w:r>
          </w:p>
        </w:tc>
      </w:tr>
      <w:tr w:rsidR="003C31F2" w:rsidRPr="00D41136" w14:paraId="42157678" w14:textId="5DDC797E" w:rsidTr="00F81D86">
        <w:tc>
          <w:tcPr>
            <w:cnfStyle w:val="001000000000" w:firstRow="0" w:lastRow="0" w:firstColumn="1" w:lastColumn="0" w:oddVBand="0" w:evenVBand="0" w:oddHBand="0" w:evenHBand="0" w:firstRowFirstColumn="0" w:firstRowLastColumn="0" w:lastRowFirstColumn="0" w:lastRowLastColumn="0"/>
            <w:tcW w:w="1198" w:type="dxa"/>
          </w:tcPr>
          <w:p w14:paraId="095D21F8" w14:textId="62BFA577" w:rsidR="003C31F2" w:rsidRPr="00D41136" w:rsidRDefault="003C31F2" w:rsidP="003C31F2">
            <w:pPr>
              <w:rPr>
                <w:sz w:val="18"/>
                <w:szCs w:val="18"/>
              </w:rPr>
            </w:pPr>
            <w:r w:rsidRPr="00D41136">
              <w:rPr>
                <w:sz w:val="18"/>
                <w:szCs w:val="18"/>
              </w:rPr>
              <w:t>Spatial system boundaries</w:t>
            </w:r>
          </w:p>
        </w:tc>
        <w:tc>
          <w:tcPr>
            <w:tcW w:w="6168" w:type="dxa"/>
            <w:gridSpan w:val="2"/>
          </w:tcPr>
          <w:p w14:paraId="54ECE9C8" w14:textId="5F88D2ED"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lang w:val="es-ES"/>
              </w:rPr>
              <w:t xml:space="preserve">Graedel, T., Reck, B., Ciacci, L., &amp; Passarini, F. (2019). </w:t>
            </w:r>
            <w:r w:rsidRPr="00D41136">
              <w:rPr>
                <w:sz w:val="18"/>
                <w:szCs w:val="18"/>
              </w:rPr>
              <w:t xml:space="preserve">On the Spatial Dimension of the Circular Economy. Resources, 8(1), 32. </w:t>
            </w:r>
            <w:hyperlink r:id="rId16" w:history="1">
              <w:r w:rsidRPr="00D41136">
                <w:rPr>
                  <w:rStyle w:val="Hyperlink"/>
                  <w:sz w:val="18"/>
                  <w:szCs w:val="18"/>
                </w:rPr>
                <w:t>https://doi:10.3390/resources8010032</w:t>
              </w:r>
            </w:hyperlink>
          </w:p>
        </w:tc>
        <w:tc>
          <w:tcPr>
            <w:tcW w:w="5207" w:type="dxa"/>
            <w:gridSpan w:val="2"/>
          </w:tcPr>
          <w:p w14:paraId="1FD178D6" w14:textId="5839C697"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rPr>
              <w:t xml:space="preserve">The authors observed that circular economy approaches thus far are clearly focused on materials, often considering a regional, mostly European scale. It is however economically impractical to imagine that a circular economy system can be realized within arbitrary geographical borders, due to globalized systems of production and consumption. The authors show in a case study on the national life cycle stages of four metals and one alloy, that a material flow approach is useful to highlight the magnitude of carbon emissions embodied in international trade, but that production-based emissions inventories may be preferable for </w:t>
            </w:r>
            <w:r w:rsidRPr="00D41136">
              <w:rPr>
                <w:sz w:val="18"/>
                <w:szCs w:val="18"/>
              </w:rPr>
              <w:lastRenderedPageBreak/>
              <w:t>demonstrating implications to global climate policy. They conclude that circular economy must be conceived at the global level, and must be cognizant of the losses that are inevitable at every life stage, and that the circularity concept should not be slavishly followed to the detriment of other environmental goals. A truly circular economy can only be realized at the global level.</w:t>
            </w:r>
          </w:p>
        </w:tc>
        <w:tc>
          <w:tcPr>
            <w:tcW w:w="1375" w:type="dxa"/>
          </w:tcPr>
          <w:p w14:paraId="6E2DB5C8" w14:textId="7F5D10B2"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rPr>
              <w:lastRenderedPageBreak/>
              <w:t xml:space="preserve">The monitoring of environmental and economic effects of regional or national circular economy strategies is </w:t>
            </w:r>
            <w:r w:rsidRPr="00D41136">
              <w:rPr>
                <w:sz w:val="18"/>
                <w:szCs w:val="18"/>
              </w:rPr>
              <w:lastRenderedPageBreak/>
              <w:t>only meaningful when considering the global level.</w:t>
            </w:r>
          </w:p>
        </w:tc>
      </w:tr>
      <w:tr w:rsidR="003C31F2" w:rsidRPr="00D41136" w14:paraId="690274C4" w14:textId="0007D488" w:rsidTr="00F81D86">
        <w:tc>
          <w:tcPr>
            <w:cnfStyle w:val="001000000000" w:firstRow="0" w:lastRow="0" w:firstColumn="1" w:lastColumn="0" w:oddVBand="0" w:evenVBand="0" w:oddHBand="0" w:evenHBand="0" w:firstRowFirstColumn="0" w:firstRowLastColumn="0" w:lastRowFirstColumn="0" w:lastRowLastColumn="0"/>
            <w:tcW w:w="1198" w:type="dxa"/>
          </w:tcPr>
          <w:p w14:paraId="4C6EB36F" w14:textId="6C980583" w:rsidR="003C31F2" w:rsidRPr="00D41136" w:rsidRDefault="003C31F2" w:rsidP="003C31F2">
            <w:pPr>
              <w:rPr>
                <w:sz w:val="18"/>
                <w:szCs w:val="18"/>
              </w:rPr>
            </w:pPr>
            <w:r w:rsidRPr="00D41136">
              <w:rPr>
                <w:sz w:val="18"/>
                <w:szCs w:val="18"/>
              </w:rPr>
              <w:lastRenderedPageBreak/>
              <w:t>Rebound effects</w:t>
            </w:r>
          </w:p>
        </w:tc>
        <w:tc>
          <w:tcPr>
            <w:tcW w:w="6168" w:type="dxa"/>
            <w:gridSpan w:val="2"/>
          </w:tcPr>
          <w:p w14:paraId="3E0BA5DD" w14:textId="77777777" w:rsidR="003C31F2"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rPr>
              <w:t xml:space="preserve">Zink, T., &amp; Geyer, R. (2017). </w:t>
            </w:r>
            <w:r w:rsidRPr="00756793">
              <w:rPr>
                <w:b/>
                <w:sz w:val="18"/>
                <w:szCs w:val="18"/>
              </w:rPr>
              <w:t>Circular economy rebound</w:t>
            </w:r>
            <w:r w:rsidRPr="00D41136">
              <w:rPr>
                <w:sz w:val="18"/>
                <w:szCs w:val="18"/>
              </w:rPr>
              <w:t xml:space="preserve">. Journal of Industrial Ecology, 21(3), 593-602. </w:t>
            </w:r>
          </w:p>
          <w:p w14:paraId="4DE67AFF" w14:textId="5FE6DA70" w:rsidR="003C31F2" w:rsidRPr="00D41136" w:rsidRDefault="0075744B" w:rsidP="003C31F2">
            <w:pPr>
              <w:cnfStyle w:val="000000000000" w:firstRow="0" w:lastRow="0" w:firstColumn="0" w:lastColumn="0" w:oddVBand="0" w:evenVBand="0" w:oddHBand="0" w:evenHBand="0" w:firstRowFirstColumn="0" w:firstRowLastColumn="0" w:lastRowFirstColumn="0" w:lastRowLastColumn="0"/>
              <w:rPr>
                <w:sz w:val="18"/>
                <w:szCs w:val="18"/>
              </w:rPr>
            </w:pPr>
            <w:hyperlink r:id="rId17" w:history="1">
              <w:r w:rsidR="003C31F2" w:rsidRPr="00D41136">
                <w:rPr>
                  <w:rStyle w:val="Hyperlink"/>
                  <w:sz w:val="18"/>
                  <w:szCs w:val="18"/>
                </w:rPr>
                <w:t>https://doi.org/10.1016/j.rcrx.2019.100028</w:t>
              </w:r>
            </w:hyperlink>
          </w:p>
        </w:tc>
        <w:tc>
          <w:tcPr>
            <w:tcW w:w="5207" w:type="dxa"/>
            <w:gridSpan w:val="2"/>
          </w:tcPr>
          <w:p w14:paraId="1E096207" w14:textId="5BC963B8"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rPr>
              <w:t>The authors observed that idea of substituting lower‐impact secondary production for environmentally intensive primary production gives the circular economy a strong intuitive environmental appeal. They found that the central tenet behind the environmental merits of the circular economy is whether secondary production activities actually reduce, or 'displace,’ primary production. If so, the intuitive promise of the circular economy is achieved; if not, we are left with the impacts of increased secondary production in addition to the impacts of primary production. Circular economy rebound occurs when circular economy activities, which have lower per‐unit‐production impacts, also cause increased levels of production, reducing their benefit. The paper describes the mechanisms that cause circular economy rebound, which include the limited ability of secondary products to substitute for primary products, and price effects. They then offer some potential strategies for avoiding such rebound.</w:t>
            </w:r>
          </w:p>
        </w:tc>
        <w:tc>
          <w:tcPr>
            <w:tcW w:w="1375" w:type="dxa"/>
          </w:tcPr>
          <w:p w14:paraId="4771203A" w14:textId="562A9AAA"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rPr>
              <w:t>Monitoring methods of circular economy effects should carefully consider the substitution potential of (products with) secondary raw materials in order to account for the risk of rebound effects.</w:t>
            </w:r>
          </w:p>
        </w:tc>
      </w:tr>
      <w:tr w:rsidR="003C31F2" w:rsidRPr="00D41136" w14:paraId="7C8AEF4D"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0CEC60F8" w14:textId="6A05FA75" w:rsidR="003C31F2" w:rsidRPr="00D41136" w:rsidRDefault="003C31F2" w:rsidP="003C31F2">
            <w:pPr>
              <w:rPr>
                <w:sz w:val="18"/>
                <w:szCs w:val="18"/>
              </w:rPr>
            </w:pPr>
            <w:r w:rsidRPr="00D41136">
              <w:rPr>
                <w:sz w:val="18"/>
                <w:szCs w:val="18"/>
              </w:rPr>
              <w:t>EU Circular Economy Action Plan</w:t>
            </w:r>
          </w:p>
        </w:tc>
        <w:tc>
          <w:tcPr>
            <w:tcW w:w="6168" w:type="dxa"/>
            <w:gridSpan w:val="2"/>
          </w:tcPr>
          <w:p w14:paraId="38A466CB" w14:textId="77777777" w:rsidR="003C31F2" w:rsidRDefault="003C31F2" w:rsidP="003C31F2">
            <w:pPr>
              <w:cnfStyle w:val="000000000000" w:firstRow="0" w:lastRow="0" w:firstColumn="0" w:lastColumn="0" w:oddVBand="0" w:evenVBand="0" w:oddHBand="0" w:evenHBand="0" w:firstRowFirstColumn="0" w:firstRowLastColumn="0" w:lastRowFirstColumn="0" w:lastRowLastColumn="0"/>
              <w:rPr>
                <w:rFonts w:cs="Times New Roman"/>
                <w:sz w:val="18"/>
                <w:szCs w:val="18"/>
                <w:lang w:eastAsia="de-DE"/>
              </w:rPr>
            </w:pPr>
            <w:proofErr w:type="spellStart"/>
            <w:r w:rsidRPr="00D41136">
              <w:rPr>
                <w:rFonts w:cs="Times New Roman"/>
                <w:sz w:val="18"/>
                <w:szCs w:val="18"/>
                <w:lang w:eastAsia="de-DE"/>
              </w:rPr>
              <w:t>Pantzar</w:t>
            </w:r>
            <w:proofErr w:type="spellEnd"/>
            <w:r w:rsidRPr="00D41136">
              <w:rPr>
                <w:rFonts w:cs="Times New Roman"/>
                <w:sz w:val="18"/>
                <w:szCs w:val="18"/>
                <w:lang w:eastAsia="de-DE"/>
              </w:rPr>
              <w:t xml:space="preserve">, M., &amp; </w:t>
            </w:r>
            <w:proofErr w:type="spellStart"/>
            <w:r w:rsidRPr="00D41136">
              <w:rPr>
                <w:rFonts w:cs="Times New Roman"/>
                <w:sz w:val="18"/>
                <w:szCs w:val="18"/>
                <w:lang w:eastAsia="de-DE"/>
              </w:rPr>
              <w:t>Suljada</w:t>
            </w:r>
            <w:proofErr w:type="spellEnd"/>
            <w:r w:rsidRPr="00D41136">
              <w:rPr>
                <w:rFonts w:cs="Times New Roman"/>
                <w:sz w:val="18"/>
                <w:szCs w:val="18"/>
                <w:lang w:eastAsia="de-DE"/>
              </w:rPr>
              <w:t>, T. (2020). Delivering a circular economy within the planet’s boundaries: An analysis of the new EU Circular Economy Action Plan. Institute for European Environmental Policy (IEEP) and Stockholm Environment Institute (SEI). </w:t>
            </w:r>
          </w:p>
          <w:p w14:paraId="6350CF40" w14:textId="16085C94" w:rsidR="003C31F2" w:rsidRPr="00D41136" w:rsidRDefault="0075744B" w:rsidP="003C31F2">
            <w:pPr>
              <w:cnfStyle w:val="000000000000" w:firstRow="0" w:lastRow="0" w:firstColumn="0" w:lastColumn="0" w:oddVBand="0" w:evenVBand="0" w:oddHBand="0" w:evenHBand="0" w:firstRowFirstColumn="0" w:firstRowLastColumn="0" w:lastRowFirstColumn="0" w:lastRowLastColumn="0"/>
              <w:rPr>
                <w:sz w:val="18"/>
                <w:szCs w:val="18"/>
              </w:rPr>
            </w:pPr>
            <w:hyperlink r:id="rId18" w:history="1">
              <w:r w:rsidR="003C31F2" w:rsidRPr="00D41136">
                <w:rPr>
                  <w:rFonts w:cs="Times New Roman"/>
                  <w:color w:val="ED7D31" w:themeColor="accent2"/>
                  <w:sz w:val="18"/>
                  <w:szCs w:val="18"/>
                  <w:u w:val="single"/>
                  <w:lang w:eastAsia="de-DE"/>
                </w:rPr>
                <w:t>https://ieep.eu/publications/an-analysis-of-the-new-eu-circular-economy-action-plan</w:t>
              </w:r>
            </w:hyperlink>
          </w:p>
        </w:tc>
        <w:tc>
          <w:tcPr>
            <w:tcW w:w="5207" w:type="dxa"/>
            <w:gridSpan w:val="2"/>
          </w:tcPr>
          <w:p w14:paraId="2E2BBD31" w14:textId="6F27587B"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rFonts w:eastAsia="Times New Roman" w:cs="Times New Roman"/>
                <w:bCs/>
                <w:sz w:val="18"/>
                <w:szCs w:val="18"/>
                <w:lang w:val="en-CA" w:eastAsia="sk-SK"/>
              </w:rPr>
              <w:t>Publication contains analysis assesses to what extent actions included in the new EU Circular Economy Action Plan that relate to demand may  help reduce environmental pressures and contribute to a more circular European economy within the boundaries of the planet</w:t>
            </w:r>
            <w:r w:rsidRPr="00D41136">
              <w:rPr>
                <w:rFonts w:eastAsia="Times New Roman" w:cs="Times New Roman"/>
                <w:b/>
                <w:bCs/>
                <w:sz w:val="18"/>
                <w:szCs w:val="18"/>
                <w:lang w:val="en-CA" w:eastAsia="sk-SK"/>
              </w:rPr>
              <w:t xml:space="preserve">.  </w:t>
            </w:r>
            <w:r w:rsidRPr="00D41136">
              <w:rPr>
                <w:rFonts w:eastAsia="Times New Roman" w:cs="Times New Roman"/>
                <w:bCs/>
                <w:sz w:val="18"/>
                <w:szCs w:val="18"/>
                <w:lang w:val="en-CA" w:eastAsia="sk-SK"/>
              </w:rPr>
              <w:t>A</w:t>
            </w:r>
            <w:r w:rsidRPr="00D41136">
              <w:rPr>
                <w:rFonts w:eastAsia="Times New Roman" w:cs="Times New Roman"/>
                <w:sz w:val="18"/>
                <w:szCs w:val="18"/>
                <w:lang w:val="en-CA" w:eastAsia="sk-SK"/>
              </w:rPr>
              <w:t>ttention is paid also to analysis of</w:t>
            </w:r>
            <w:r w:rsidRPr="00D41136">
              <w:rPr>
                <w:rFonts w:eastAsia="Times New Roman" w:cs="Times New Roman"/>
                <w:b/>
                <w:bCs/>
                <w:sz w:val="18"/>
                <w:szCs w:val="18"/>
                <w:lang w:val="en-CA" w:eastAsia="sk-SK"/>
              </w:rPr>
              <w:t xml:space="preserve"> </w:t>
            </w:r>
            <w:r w:rsidRPr="00D41136">
              <w:rPr>
                <w:rFonts w:cs="Times New Roman"/>
                <w:sz w:val="18"/>
                <w:szCs w:val="18"/>
                <w:lang w:val="en-CA"/>
              </w:rPr>
              <w:t xml:space="preserve">updating the Circular Economy </w:t>
            </w:r>
            <w:r w:rsidRPr="00D41136">
              <w:rPr>
                <w:rStyle w:val="highlight"/>
                <w:rFonts w:cs="Times New Roman"/>
                <w:sz w:val="18"/>
                <w:szCs w:val="18"/>
                <w:lang w:val="en-CA"/>
              </w:rPr>
              <w:t>Monitor</w:t>
            </w:r>
            <w:r w:rsidRPr="00D41136">
              <w:rPr>
                <w:rFonts w:cs="Times New Roman"/>
                <w:sz w:val="18"/>
                <w:szCs w:val="18"/>
                <w:lang w:val="en-CA"/>
              </w:rPr>
              <w:t>ing Framework to reflect new policy priorities and develop further indicators on resource use, including consumption and material footprints</w:t>
            </w:r>
          </w:p>
        </w:tc>
        <w:tc>
          <w:tcPr>
            <w:tcW w:w="1375" w:type="dxa"/>
          </w:tcPr>
          <w:p w14:paraId="5F05CCB4" w14:textId="680C9BAE"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rFonts w:eastAsia="Times New Roman" w:cs="Times New Roman"/>
                <w:bCs/>
                <w:sz w:val="18"/>
                <w:szCs w:val="18"/>
                <w:lang w:val="en-CA" w:eastAsia="sk-SK"/>
              </w:rPr>
              <w:t>Analysis of the EU Circular Economy Monitoring Framework</w:t>
            </w:r>
          </w:p>
        </w:tc>
      </w:tr>
      <w:tr w:rsidR="003C31F2" w:rsidRPr="00D41136" w14:paraId="3E82A230"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00BDBFA1" w14:textId="46BD5081" w:rsidR="003C31F2" w:rsidRPr="00D41136" w:rsidRDefault="003C31F2" w:rsidP="003C31F2">
            <w:pPr>
              <w:rPr>
                <w:sz w:val="18"/>
                <w:szCs w:val="18"/>
              </w:rPr>
            </w:pPr>
            <w:r w:rsidRPr="00D41136">
              <w:rPr>
                <w:sz w:val="18"/>
                <w:szCs w:val="18"/>
              </w:rPr>
              <w:t>CE indicators for business</w:t>
            </w:r>
          </w:p>
        </w:tc>
        <w:tc>
          <w:tcPr>
            <w:tcW w:w="6168" w:type="dxa"/>
            <w:gridSpan w:val="2"/>
          </w:tcPr>
          <w:p w14:paraId="6F9438DF" w14:textId="77777777" w:rsidR="003C31F2" w:rsidRDefault="003C31F2" w:rsidP="003C31F2">
            <w:pPr>
              <w:cnfStyle w:val="000000000000" w:firstRow="0" w:lastRow="0" w:firstColumn="0" w:lastColumn="0" w:oddVBand="0" w:evenVBand="0" w:oddHBand="0" w:evenHBand="0" w:firstRowFirstColumn="0" w:firstRowLastColumn="0" w:lastRowFirstColumn="0" w:lastRowLastColumn="0"/>
              <w:rPr>
                <w:rFonts w:cs="Times New Roman"/>
                <w:sz w:val="18"/>
                <w:szCs w:val="18"/>
                <w:lang w:eastAsia="de-DE"/>
              </w:rPr>
            </w:pPr>
            <w:r w:rsidRPr="00D41136">
              <w:rPr>
                <w:rFonts w:cs="Times New Roman"/>
                <w:sz w:val="18"/>
                <w:szCs w:val="18"/>
                <w:lang w:eastAsia="de-DE"/>
              </w:rPr>
              <w:t>WBCSD (2020). Circular transition indicators V1.0 - Metrics for business, by business (Geneva: World Business Council for Sustainable Development).</w:t>
            </w:r>
          </w:p>
          <w:p w14:paraId="0A6D3CBD" w14:textId="2456AE76"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rFonts w:cs="Times New Roman"/>
                <w:sz w:val="18"/>
                <w:szCs w:val="18"/>
                <w:lang w:eastAsia="de-DE"/>
              </w:rPr>
              <w:t> </w:t>
            </w:r>
            <w:hyperlink r:id="rId19" w:history="1">
              <w:r w:rsidRPr="00D41136">
                <w:rPr>
                  <w:rFonts w:cs="Times New Roman"/>
                  <w:color w:val="ED7D31" w:themeColor="accent2"/>
                  <w:sz w:val="18"/>
                  <w:szCs w:val="18"/>
                  <w:u w:val="single"/>
                  <w:lang w:eastAsia="de-DE"/>
                </w:rPr>
                <w:t>https://www.wbcsd.org/Programs/Circular-Economy/Factor-10/Metrics-Measurement/Resources/Circular-Transition-Indicators-V1.0-Metrics-for-business-by-business</w:t>
              </w:r>
            </w:hyperlink>
          </w:p>
        </w:tc>
        <w:tc>
          <w:tcPr>
            <w:tcW w:w="5207" w:type="dxa"/>
            <w:gridSpan w:val="2"/>
          </w:tcPr>
          <w:p w14:paraId="1BBFC973" w14:textId="65FF5021"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rFonts w:eastAsia="Times New Roman" w:cs="Times New Roman"/>
                <w:bCs/>
                <w:sz w:val="18"/>
                <w:szCs w:val="18"/>
                <w:lang w:val="en-CA" w:eastAsia="sk-SK"/>
              </w:rPr>
              <w:t>The publication deals with the results of the work of 26 WBCSD member companies on the Circular Transition Indicators (CTI). CTI is an objective and quantitative framework for companies of any industry, value chain position and size to consistently measure their circularity and understand the associated risks and opportunities to the business. Through this framework, companies can understand their progress in moving towards circularity, monitor this over time, and use it to inform key decisions and advise key stakeholders. It also contains user´s manual of CTI online tool that structures data and calculates the outcome. (www.ctitool.com).</w:t>
            </w:r>
          </w:p>
        </w:tc>
        <w:tc>
          <w:tcPr>
            <w:tcW w:w="1375" w:type="dxa"/>
          </w:tcPr>
          <w:p w14:paraId="279FF4E4" w14:textId="044E8F69"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rFonts w:eastAsia="Times New Roman" w:cs="Times New Roman"/>
                <w:bCs/>
                <w:sz w:val="18"/>
                <w:szCs w:val="18"/>
                <w:lang w:val="en-CA" w:eastAsia="sk-SK"/>
              </w:rPr>
              <w:t>Circular Transition Indicators online tool for business</w:t>
            </w:r>
          </w:p>
        </w:tc>
      </w:tr>
      <w:tr w:rsidR="003C31F2" w:rsidRPr="00D41136" w14:paraId="728741F2"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54D90DB2" w14:textId="55A13C0C" w:rsidR="003C31F2" w:rsidRPr="00D41136" w:rsidRDefault="003C31F2" w:rsidP="003C31F2">
            <w:pPr>
              <w:rPr>
                <w:sz w:val="18"/>
                <w:szCs w:val="18"/>
              </w:rPr>
            </w:pPr>
            <w:r w:rsidRPr="00D41136">
              <w:rPr>
                <w:sz w:val="18"/>
                <w:szCs w:val="18"/>
              </w:rPr>
              <w:lastRenderedPageBreak/>
              <w:t>CE monitoring in cities</w:t>
            </w:r>
          </w:p>
        </w:tc>
        <w:tc>
          <w:tcPr>
            <w:tcW w:w="6168" w:type="dxa"/>
            <w:gridSpan w:val="2"/>
          </w:tcPr>
          <w:p w14:paraId="7062FFC8" w14:textId="77777777" w:rsidR="003C31F2" w:rsidRDefault="003C31F2" w:rsidP="003C31F2">
            <w:pPr>
              <w:cnfStyle w:val="000000000000" w:firstRow="0" w:lastRow="0" w:firstColumn="0" w:lastColumn="0" w:oddVBand="0" w:evenVBand="0" w:oddHBand="0" w:evenHBand="0" w:firstRowFirstColumn="0" w:firstRowLastColumn="0" w:lastRowFirstColumn="0" w:lastRowLastColumn="0"/>
              <w:rPr>
                <w:rFonts w:cs="Times New Roman"/>
                <w:sz w:val="18"/>
                <w:szCs w:val="18"/>
                <w:lang w:eastAsia="de-DE"/>
              </w:rPr>
            </w:pPr>
            <w:r w:rsidRPr="00D41136">
              <w:rPr>
                <w:rFonts w:cs="Times New Roman"/>
                <w:sz w:val="18"/>
                <w:szCs w:val="18"/>
                <w:lang w:eastAsia="de-DE"/>
              </w:rPr>
              <w:t>OECD (2020). The Circular Economy in Cities and Regions (Paris: Organisation for</w:t>
            </w:r>
            <w:r>
              <w:rPr>
                <w:rFonts w:cs="Times New Roman"/>
                <w:sz w:val="18"/>
                <w:szCs w:val="18"/>
                <w:lang w:eastAsia="de-DE"/>
              </w:rPr>
              <w:t xml:space="preserve"> Economic Co-operation and </w:t>
            </w:r>
            <w:r w:rsidRPr="00D41136">
              <w:rPr>
                <w:rFonts w:cs="Times New Roman"/>
                <w:sz w:val="18"/>
                <w:szCs w:val="18"/>
                <w:lang w:eastAsia="de-DE"/>
              </w:rPr>
              <w:t>Development). </w:t>
            </w:r>
          </w:p>
          <w:p w14:paraId="25EF45B9" w14:textId="20FB9BC9"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Pr>
                <w:rFonts w:cs="Times New Roman"/>
                <w:sz w:val="18"/>
                <w:szCs w:val="18"/>
                <w:lang w:eastAsia="de-DE"/>
              </w:rPr>
              <w:t xml:space="preserve"> </w:t>
            </w:r>
            <w:hyperlink r:id="rId20" w:history="1">
              <w:r w:rsidRPr="00D41136">
                <w:rPr>
                  <w:rFonts w:cs="Times New Roman"/>
                  <w:color w:val="ED7D31" w:themeColor="accent2"/>
                  <w:sz w:val="18"/>
                  <w:szCs w:val="18"/>
                  <w:u w:val="single"/>
                  <w:lang w:eastAsia="de-DE"/>
                </w:rPr>
                <w:t>https://www.oecd.org/regional/cities/circular-economy-cities.htm</w:t>
              </w:r>
            </w:hyperlink>
          </w:p>
        </w:tc>
        <w:tc>
          <w:tcPr>
            <w:tcW w:w="5207" w:type="dxa"/>
            <w:gridSpan w:val="2"/>
          </w:tcPr>
          <w:p w14:paraId="36D5FDD6" w14:textId="77777777"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lang w:val="en-CA" w:eastAsia="sk-SK"/>
              </w:rPr>
            </w:pPr>
            <w:r w:rsidRPr="00D41136">
              <w:rPr>
                <w:rFonts w:eastAsia="Times New Roman" w:cs="Times New Roman"/>
                <w:bCs/>
                <w:sz w:val="18"/>
                <w:szCs w:val="18"/>
                <w:lang w:val="en-CA" w:eastAsia="sk-SK"/>
              </w:rPr>
              <w:t xml:space="preserve">Brochure is the survey that gathered data and information on the status of the circular economy in 34 cities and regions (31 cities and 3 regions), and the main tools, obstacles and good practices available to date. It targeted cities and regions at any level of implementation of circular economy initiatives, from pioneers to newcomers. The OECD is developing a set of tools towards a circular economy framework. First is key input, process and output indicators regarding circular economy initiatives in place, with a focus on the economic and social aspects, second is a scoreboard for measuring how circular a city/region is, based on key dimensions, such as innovation, system change, jobs and skills, economic and finance and third functional approach and a self-assessment tool to identify whether governance conditions are in place, work well or need to be improved. </w:t>
            </w:r>
          </w:p>
          <w:p w14:paraId="67529ECD" w14:textId="77777777"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p>
        </w:tc>
        <w:tc>
          <w:tcPr>
            <w:tcW w:w="1375" w:type="dxa"/>
          </w:tcPr>
          <w:p w14:paraId="67A2FB15" w14:textId="4E33440E" w:rsidR="003C31F2" w:rsidRPr="00D41136" w:rsidRDefault="008B115F" w:rsidP="008B115F">
            <w:pPr>
              <w:cnfStyle w:val="000000000000" w:firstRow="0" w:lastRow="0" w:firstColumn="0" w:lastColumn="0" w:oddVBand="0" w:evenVBand="0" w:oddHBand="0" w:evenHBand="0" w:firstRowFirstColumn="0" w:firstRowLastColumn="0" w:lastRowFirstColumn="0" w:lastRowLastColumn="0"/>
              <w:rPr>
                <w:sz w:val="18"/>
                <w:szCs w:val="18"/>
              </w:rPr>
            </w:pPr>
            <w:r>
              <w:rPr>
                <w:rFonts w:eastAsia="Times New Roman" w:cs="Times New Roman"/>
                <w:bCs/>
                <w:sz w:val="18"/>
                <w:szCs w:val="18"/>
                <w:lang w:val="en-CA" w:eastAsia="sk-SK"/>
              </w:rPr>
              <w:t>The survey</w:t>
            </w:r>
            <w:r w:rsidR="003C31F2" w:rsidRPr="00D73482">
              <w:rPr>
                <w:rFonts w:eastAsia="Times New Roman" w:cs="Times New Roman"/>
                <w:bCs/>
                <w:sz w:val="18"/>
                <w:szCs w:val="18"/>
                <w:lang w:val="en-CA" w:eastAsia="sk-SK"/>
              </w:rPr>
              <w:t xml:space="preserve"> gathered data and information on the status of the circular economy in 34 cities and regions</w:t>
            </w:r>
            <w:r>
              <w:rPr>
                <w:sz w:val="18"/>
                <w:szCs w:val="18"/>
              </w:rPr>
              <w:t>.</w:t>
            </w:r>
          </w:p>
        </w:tc>
      </w:tr>
      <w:tr w:rsidR="003C31F2" w:rsidRPr="00D41136" w14:paraId="76DB2217"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46A6AE41" w14:textId="264FDAE1" w:rsidR="003C31F2" w:rsidRPr="00D41136" w:rsidRDefault="003C31F2" w:rsidP="003C31F2">
            <w:pPr>
              <w:rPr>
                <w:sz w:val="18"/>
                <w:szCs w:val="18"/>
              </w:rPr>
            </w:pPr>
            <w:r w:rsidRPr="00D41136">
              <w:rPr>
                <w:sz w:val="18"/>
                <w:szCs w:val="18"/>
              </w:rPr>
              <w:t>LCA and impact of consumption</w:t>
            </w:r>
          </w:p>
        </w:tc>
        <w:tc>
          <w:tcPr>
            <w:tcW w:w="6168" w:type="dxa"/>
            <w:gridSpan w:val="2"/>
          </w:tcPr>
          <w:p w14:paraId="52F19A16" w14:textId="77777777" w:rsidR="003C31F2" w:rsidRDefault="003C31F2" w:rsidP="003C31F2">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r w:rsidRPr="00E87153">
              <w:rPr>
                <w:rFonts w:ascii="Times" w:hAnsi="Times" w:cs="Times New Roman"/>
                <w:sz w:val="18"/>
                <w:szCs w:val="18"/>
                <w:lang w:eastAsia="de-DE"/>
              </w:rPr>
              <w:t>JRC (2019). Indicators and assessment of the environmental impact of EU consumption - Consumption and Consumer Footprints for assessing and monitoring EU policies with Life Cycle Assessment (Luxembourg: Publications Office of the European Union).</w:t>
            </w:r>
          </w:p>
          <w:p w14:paraId="0377C8BC" w14:textId="19B10F4B" w:rsidR="003C31F2" w:rsidRPr="00F81D86" w:rsidRDefault="0075744B" w:rsidP="003C31F2">
            <w:pPr>
              <w:cnfStyle w:val="000000000000" w:firstRow="0" w:lastRow="0" w:firstColumn="0" w:lastColumn="0" w:oddVBand="0" w:evenVBand="0" w:oddHBand="0" w:evenHBand="0" w:firstRowFirstColumn="0" w:firstRowLastColumn="0" w:lastRowFirstColumn="0" w:lastRowLastColumn="0"/>
              <w:rPr>
                <w:rFonts w:cs="Times New Roman"/>
                <w:sz w:val="18"/>
                <w:szCs w:val="18"/>
                <w:lang w:eastAsia="de-DE"/>
              </w:rPr>
            </w:pPr>
            <w:hyperlink r:id="rId21" w:history="1">
              <w:r w:rsidR="003C31F2" w:rsidRPr="00E87153">
                <w:rPr>
                  <w:rFonts w:cs="Times New Roman"/>
                  <w:color w:val="ED7D31" w:themeColor="accent2"/>
                  <w:sz w:val="18"/>
                  <w:szCs w:val="18"/>
                  <w:u w:val="single"/>
                  <w:lang w:eastAsia="de-DE"/>
                </w:rPr>
                <w:t>https://publications.jrc.ec.europa.eu/repository/bitstream/JRC114814/science_for_policy_report_final_on_line.pdf</w:t>
              </w:r>
            </w:hyperlink>
            <w:r w:rsidR="003C31F2" w:rsidRPr="00E87153">
              <w:rPr>
                <w:rFonts w:ascii="Times" w:hAnsi="Times" w:cs="Times New Roman"/>
                <w:sz w:val="18"/>
                <w:szCs w:val="18"/>
                <w:lang w:eastAsia="de-DE"/>
              </w:rPr>
              <w:t> </w:t>
            </w:r>
          </w:p>
        </w:tc>
        <w:tc>
          <w:tcPr>
            <w:tcW w:w="5207" w:type="dxa"/>
            <w:gridSpan w:val="2"/>
          </w:tcPr>
          <w:p w14:paraId="255C94F6" w14:textId="11FAF67F" w:rsidR="003C31F2" w:rsidRPr="00D41136" w:rsidRDefault="003C31F2" w:rsidP="003C31F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lang w:val="en-CA" w:eastAsia="sk-SK"/>
              </w:rPr>
            </w:pPr>
            <w:r w:rsidRPr="00D41136">
              <w:rPr>
                <w:rFonts w:eastAsia="Times New Roman" w:cs="Times New Roman"/>
                <w:bCs/>
                <w:sz w:val="18"/>
                <w:szCs w:val="18"/>
                <w:lang w:val="en-CA" w:eastAsia="sk-SK"/>
              </w:rPr>
              <w:t>This report provides an overview of the result of the application of Life Cycle Assessment (LCA) to assess the environmental impacts of consumption in the European Union (EU) as a basis to support policies and to improve the appraisal of impacts and benefits thereof. This study has proposed the implementation of different LCA-based approaches to estimate environmental pressures and impacts due to EU Consumption, distinguishing 16 impacts on the environment and resources (e.g. climate change, freshwater ecotoxicity, land use, water use). The assessment has been performed at different scales: the EU as whole, 28 individual Member States, sectors and products, and individual citizens. It is the first study that systematically explores different approaches to model the impact of EU consumption, to evaluate the decoupling of EU economic growth from environmental degradation (including 16 impact categories), comparing their results, including assessment to the Planetary Boundaries and aiming towards a single headline indicator (a weighted score of the 16 environmental impacts covered) for communicating these results.</w:t>
            </w:r>
          </w:p>
        </w:tc>
        <w:tc>
          <w:tcPr>
            <w:tcW w:w="1375" w:type="dxa"/>
          </w:tcPr>
          <w:p w14:paraId="6BCB71D6" w14:textId="1FC6A92D"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rFonts w:eastAsia="Times New Roman" w:cs="Times New Roman"/>
                <w:bCs/>
                <w:sz w:val="18"/>
                <w:szCs w:val="18"/>
                <w:lang w:val="en-CA" w:eastAsia="sk-SK"/>
              </w:rPr>
              <w:t>The application of Life Cycle Assessment (LCA) to assess the environmental impacts of consumption in the EU</w:t>
            </w:r>
            <w:r w:rsidR="008B115F">
              <w:rPr>
                <w:rFonts w:eastAsia="Times New Roman" w:cs="Times New Roman"/>
                <w:bCs/>
                <w:sz w:val="18"/>
                <w:szCs w:val="18"/>
                <w:lang w:val="en-CA" w:eastAsia="sk-SK"/>
              </w:rPr>
              <w:t>.</w:t>
            </w:r>
          </w:p>
        </w:tc>
      </w:tr>
      <w:tr w:rsidR="003C31F2" w:rsidRPr="00D41136" w14:paraId="02DE3F88"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362174B0" w14:textId="6BBCE36E" w:rsidR="003C31F2" w:rsidRPr="00D41136" w:rsidRDefault="001E3E6C" w:rsidP="003C31F2">
            <w:pPr>
              <w:rPr>
                <w:sz w:val="18"/>
                <w:szCs w:val="18"/>
              </w:rPr>
            </w:pPr>
            <w:r w:rsidRPr="00C23389">
              <w:rPr>
                <w:rFonts w:ascii="Times" w:hAnsi="Times" w:cs="Times New Roman"/>
                <w:sz w:val="18"/>
                <w:szCs w:val="18"/>
                <w:lang w:eastAsia="de-DE"/>
              </w:rPr>
              <w:t>Solutions, good practice, future options</w:t>
            </w:r>
          </w:p>
        </w:tc>
        <w:tc>
          <w:tcPr>
            <w:tcW w:w="6168" w:type="dxa"/>
            <w:gridSpan w:val="2"/>
          </w:tcPr>
          <w:p w14:paraId="3C864EA4" w14:textId="5DC508BE" w:rsidR="003C31F2" w:rsidRPr="00D41136" w:rsidRDefault="00E25483" w:rsidP="003C31F2">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E87153">
              <w:rPr>
                <w:rFonts w:ascii="Times" w:hAnsi="Times" w:cs="Times New Roman"/>
                <w:sz w:val="18"/>
                <w:szCs w:val="18"/>
                <w:lang w:eastAsia="de-DE"/>
              </w:rPr>
              <w:t>Milios</w:t>
            </w:r>
            <w:proofErr w:type="spellEnd"/>
            <w:r w:rsidRPr="00E87153">
              <w:rPr>
                <w:rFonts w:ascii="Times" w:hAnsi="Times" w:cs="Times New Roman"/>
                <w:sz w:val="18"/>
                <w:szCs w:val="18"/>
                <w:lang w:eastAsia="de-DE"/>
              </w:rPr>
              <w:t>, L. (2020). </w:t>
            </w:r>
            <w:r w:rsidRPr="00E87153">
              <w:rPr>
                <w:rFonts w:ascii="Times" w:hAnsi="Times" w:cs="Times New Roman"/>
                <w:b/>
                <w:bCs/>
                <w:sz w:val="18"/>
                <w:szCs w:val="18"/>
                <w:lang w:eastAsia="de-DE"/>
              </w:rPr>
              <w:t>Policy Framework for Material Resource Efficiency - Pathway Towards a Circular Economy</w:t>
            </w:r>
            <w:r w:rsidRPr="00E87153">
              <w:rPr>
                <w:rFonts w:ascii="Times" w:hAnsi="Times" w:cs="Times New Roman"/>
                <w:sz w:val="18"/>
                <w:szCs w:val="18"/>
                <w:lang w:eastAsia="de-DE"/>
              </w:rPr>
              <w:t>. Lund University, The International Institute for Industrial Environmental Economics. </w:t>
            </w:r>
            <w:hyperlink r:id="rId22" w:history="1">
              <w:r w:rsidRPr="00E87153">
                <w:rPr>
                  <w:rFonts w:cs="Times New Roman"/>
                  <w:color w:val="ED7D31" w:themeColor="accent2"/>
                  <w:sz w:val="18"/>
                  <w:szCs w:val="18"/>
                  <w:u w:val="single"/>
                  <w:lang w:eastAsia="de-DE"/>
                </w:rPr>
                <w:t>https://portal.research.lu.se/portal/files/77553169/PhDthesis_LM_web.pdf</w:t>
              </w:r>
            </w:hyperlink>
          </w:p>
        </w:tc>
        <w:tc>
          <w:tcPr>
            <w:tcW w:w="5207" w:type="dxa"/>
            <w:gridSpan w:val="2"/>
          </w:tcPr>
          <w:p w14:paraId="0783C718" w14:textId="720B784F" w:rsidR="003C31F2" w:rsidRPr="00D41136" w:rsidRDefault="00AA658B" w:rsidP="003C31F2">
            <w:pPr>
              <w:cnfStyle w:val="000000000000" w:firstRow="0" w:lastRow="0" w:firstColumn="0" w:lastColumn="0" w:oddVBand="0" w:evenVBand="0" w:oddHBand="0" w:evenHBand="0" w:firstRowFirstColumn="0" w:firstRowLastColumn="0" w:lastRowFirstColumn="0" w:lastRowLastColumn="0"/>
              <w:rPr>
                <w:sz w:val="18"/>
                <w:szCs w:val="18"/>
              </w:rPr>
            </w:pPr>
            <w:r w:rsidRPr="00E87153">
              <w:rPr>
                <w:rFonts w:ascii="Times" w:hAnsi="Times" w:cs="Times New Roman"/>
                <w:sz w:val="18"/>
                <w:szCs w:val="18"/>
                <w:lang w:eastAsia="de-DE"/>
              </w:rPr>
              <w:t>This doctoral thesis traces the theoretical and political lines from the material efficiency policies towards an integrated circular economy and provides an overview of the gaps in the policy framework, the obstacles to implementation, potentials and the enabling conditions of a circular economy.</w:t>
            </w:r>
          </w:p>
        </w:tc>
        <w:tc>
          <w:tcPr>
            <w:tcW w:w="1375" w:type="dxa"/>
          </w:tcPr>
          <w:p w14:paraId="65798B34" w14:textId="7A15458A" w:rsidR="003C31F2" w:rsidRPr="00D41136" w:rsidRDefault="008B115F" w:rsidP="003C31F2">
            <w:pPr>
              <w:cnfStyle w:val="000000000000" w:firstRow="0" w:lastRow="0" w:firstColumn="0" w:lastColumn="0" w:oddVBand="0" w:evenVBand="0" w:oddHBand="0" w:evenHBand="0" w:firstRowFirstColumn="0" w:firstRowLastColumn="0" w:lastRowFirstColumn="0" w:lastRowLastColumn="0"/>
              <w:rPr>
                <w:sz w:val="18"/>
                <w:szCs w:val="18"/>
              </w:rPr>
            </w:pPr>
            <w:r>
              <w:rPr>
                <w:rFonts w:ascii="Times" w:hAnsi="Times" w:cs="Times New Roman"/>
                <w:sz w:val="18"/>
                <w:szCs w:val="18"/>
                <w:lang w:eastAsia="de-DE"/>
              </w:rPr>
              <w:t>O</w:t>
            </w:r>
            <w:r w:rsidRPr="00E87153">
              <w:rPr>
                <w:rFonts w:ascii="Times" w:hAnsi="Times" w:cs="Times New Roman"/>
                <w:sz w:val="18"/>
                <w:szCs w:val="18"/>
                <w:lang w:eastAsia="de-DE"/>
              </w:rPr>
              <w:t xml:space="preserve">verview of the gaps in the </w:t>
            </w:r>
            <w:r>
              <w:rPr>
                <w:rFonts w:ascii="Times" w:hAnsi="Times" w:cs="Times New Roman"/>
                <w:sz w:val="18"/>
                <w:szCs w:val="18"/>
                <w:lang w:eastAsia="de-DE"/>
              </w:rPr>
              <w:t xml:space="preserve">CE </w:t>
            </w:r>
            <w:r w:rsidRPr="00E87153">
              <w:rPr>
                <w:rFonts w:ascii="Times" w:hAnsi="Times" w:cs="Times New Roman"/>
                <w:sz w:val="18"/>
                <w:szCs w:val="18"/>
                <w:lang w:eastAsia="de-DE"/>
              </w:rPr>
              <w:t>policy framework</w:t>
            </w:r>
            <w:r>
              <w:rPr>
                <w:rFonts w:ascii="Times" w:hAnsi="Times" w:cs="Times New Roman"/>
                <w:sz w:val="18"/>
                <w:szCs w:val="18"/>
                <w:lang w:eastAsia="de-DE"/>
              </w:rPr>
              <w:t>.</w:t>
            </w:r>
          </w:p>
        </w:tc>
      </w:tr>
      <w:tr w:rsidR="008B115F" w:rsidRPr="00D41136" w14:paraId="2F5A2A47"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71FE5870" w14:textId="72E2865A" w:rsidR="008B115F" w:rsidRPr="00C23389" w:rsidRDefault="00F13B87" w:rsidP="003C31F2">
            <w:pPr>
              <w:rPr>
                <w:rFonts w:ascii="Times" w:hAnsi="Times" w:cs="Times New Roman"/>
                <w:sz w:val="18"/>
                <w:szCs w:val="18"/>
                <w:lang w:eastAsia="de-DE"/>
              </w:rPr>
            </w:pPr>
            <w:r>
              <w:rPr>
                <w:rFonts w:ascii="Times" w:hAnsi="Times" w:cs="Times New Roman"/>
                <w:sz w:val="18"/>
                <w:szCs w:val="18"/>
                <w:lang w:eastAsia="de-DE"/>
              </w:rPr>
              <w:lastRenderedPageBreak/>
              <w:t xml:space="preserve">Drivers &amp; </w:t>
            </w:r>
            <w:r w:rsidR="008B115F">
              <w:rPr>
                <w:rFonts w:ascii="Times" w:hAnsi="Times" w:cs="Times New Roman"/>
                <w:sz w:val="18"/>
                <w:szCs w:val="18"/>
                <w:lang w:eastAsia="de-DE"/>
              </w:rPr>
              <w:t>Barriers</w:t>
            </w:r>
          </w:p>
        </w:tc>
        <w:tc>
          <w:tcPr>
            <w:tcW w:w="6168" w:type="dxa"/>
            <w:gridSpan w:val="2"/>
          </w:tcPr>
          <w:p w14:paraId="7B75F6F8" w14:textId="7790915C" w:rsidR="00F73B60" w:rsidRPr="00F73B60" w:rsidRDefault="00F73B60" w:rsidP="00F73B6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lang w:val="de-DE" w:eastAsia="de-DE"/>
              </w:rPr>
            </w:pPr>
            <w:proofErr w:type="spellStart"/>
            <w:r>
              <w:rPr>
                <w:rFonts w:ascii="Times" w:hAnsi="Times" w:cs="Times New Roman"/>
                <w:sz w:val="18"/>
                <w:szCs w:val="18"/>
                <w:lang w:eastAsia="de-DE"/>
              </w:rPr>
              <w:t>Grafström</w:t>
            </w:r>
            <w:proofErr w:type="spellEnd"/>
            <w:r>
              <w:rPr>
                <w:rFonts w:ascii="Times" w:hAnsi="Times" w:cs="Times New Roman"/>
                <w:sz w:val="18"/>
                <w:szCs w:val="18"/>
                <w:lang w:eastAsia="de-DE"/>
              </w:rPr>
              <w:t xml:space="preserve">, J. </w:t>
            </w:r>
            <w:proofErr w:type="spellStart"/>
            <w:r>
              <w:rPr>
                <w:rFonts w:ascii="Times" w:hAnsi="Times" w:cs="Times New Roman"/>
                <w:sz w:val="18"/>
                <w:szCs w:val="18"/>
                <w:lang w:eastAsia="de-DE"/>
              </w:rPr>
              <w:t>Aasma</w:t>
            </w:r>
            <w:proofErr w:type="spellEnd"/>
            <w:r>
              <w:rPr>
                <w:rFonts w:ascii="Times" w:hAnsi="Times" w:cs="Times New Roman"/>
                <w:sz w:val="18"/>
                <w:szCs w:val="18"/>
                <w:lang w:eastAsia="de-DE"/>
              </w:rPr>
              <w:t xml:space="preserve">, S. (2020). </w:t>
            </w:r>
            <w:r w:rsidRPr="00F73B60">
              <w:rPr>
                <w:rFonts w:ascii="Times" w:hAnsi="Times" w:cs="Times New Roman"/>
                <w:b/>
                <w:sz w:val="18"/>
                <w:szCs w:val="18"/>
                <w:lang w:eastAsia="de-DE"/>
              </w:rPr>
              <w:t>Breaking Circular Economy Barriers</w:t>
            </w:r>
            <w:r>
              <w:rPr>
                <w:rFonts w:ascii="Times" w:hAnsi="Times" w:cs="Times New Roman"/>
                <w:sz w:val="18"/>
                <w:szCs w:val="18"/>
                <w:lang w:eastAsia="de-DE"/>
              </w:rPr>
              <w:t xml:space="preserve">. Stockholm, The Ratio Institute. </w:t>
            </w:r>
            <w:r w:rsidRPr="00F73B60">
              <w:rPr>
                <w:rFonts w:ascii="Times" w:eastAsia="Times New Roman" w:hAnsi="Times" w:cs="Times New Roman"/>
                <w:sz w:val="20"/>
                <w:szCs w:val="20"/>
                <w:lang w:val="de-DE" w:eastAsia="de-DE"/>
              </w:rPr>
              <w:t xml:space="preserve">DOI: </w:t>
            </w:r>
            <w:hyperlink r:id="rId23" w:history="1">
              <w:r w:rsidRPr="009075AB">
                <w:rPr>
                  <w:rFonts w:ascii="Times" w:eastAsia="Times New Roman" w:hAnsi="Times" w:cs="Times New Roman"/>
                  <w:color w:val="0000FF"/>
                  <w:sz w:val="18"/>
                  <w:szCs w:val="18"/>
                  <w:u w:val="single"/>
                  <w:lang w:val="de-DE" w:eastAsia="de-DE"/>
                </w:rPr>
                <w:t>10.13140/RG.2.2.12383.48809</w:t>
              </w:r>
            </w:hyperlink>
          </w:p>
          <w:p w14:paraId="4593A95D" w14:textId="0770026A" w:rsidR="008B115F" w:rsidRPr="00E87153" w:rsidRDefault="008B115F" w:rsidP="003C31F2">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p>
        </w:tc>
        <w:tc>
          <w:tcPr>
            <w:tcW w:w="5207" w:type="dxa"/>
            <w:gridSpan w:val="2"/>
          </w:tcPr>
          <w:p w14:paraId="4CD5252F" w14:textId="5FBFEF84" w:rsidR="008B115F" w:rsidRPr="00E87153" w:rsidRDefault="00F73B60" w:rsidP="004066B2">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r>
              <w:rPr>
                <w:rFonts w:ascii="Times" w:hAnsi="Times" w:cs="Times New Roman"/>
                <w:sz w:val="18"/>
                <w:szCs w:val="18"/>
                <w:lang w:eastAsia="de-DE"/>
              </w:rPr>
              <w:t>I</w:t>
            </w:r>
            <w:r w:rsidRPr="00F73B60">
              <w:rPr>
                <w:rFonts w:ascii="Times" w:hAnsi="Times" w:cs="Times New Roman"/>
                <w:sz w:val="18"/>
                <w:szCs w:val="18"/>
                <w:lang w:eastAsia="de-DE"/>
              </w:rPr>
              <w:t>mplementation of a circular economy (CE) in most areas is generally slow. The paper examine</w:t>
            </w:r>
            <w:r>
              <w:rPr>
                <w:rFonts w:ascii="Times" w:hAnsi="Times" w:cs="Times New Roman"/>
                <w:sz w:val="18"/>
                <w:szCs w:val="18"/>
                <w:lang w:eastAsia="de-DE"/>
              </w:rPr>
              <w:t>s</w:t>
            </w:r>
            <w:r w:rsidRPr="00F73B60">
              <w:rPr>
                <w:rFonts w:ascii="Times" w:hAnsi="Times" w:cs="Times New Roman"/>
                <w:sz w:val="18"/>
                <w:szCs w:val="18"/>
                <w:lang w:eastAsia="de-DE"/>
              </w:rPr>
              <w:t xml:space="preserve"> the potential causes to this and illustrate</w:t>
            </w:r>
            <w:r>
              <w:rPr>
                <w:rFonts w:ascii="Times" w:hAnsi="Times" w:cs="Times New Roman"/>
                <w:sz w:val="18"/>
                <w:szCs w:val="18"/>
                <w:lang w:eastAsia="de-DE"/>
              </w:rPr>
              <w:t xml:space="preserve">s </w:t>
            </w:r>
            <w:r w:rsidRPr="00F73B60">
              <w:rPr>
                <w:rFonts w:ascii="Times" w:hAnsi="Times" w:cs="Times New Roman"/>
                <w:sz w:val="18"/>
                <w:szCs w:val="18"/>
                <w:lang w:eastAsia="de-DE"/>
              </w:rPr>
              <w:t xml:space="preserve">different types of barriers (technological, market, institutional and cultural) </w:t>
            </w:r>
            <w:r w:rsidR="004066B2">
              <w:rPr>
                <w:rFonts w:ascii="Times" w:hAnsi="Times" w:cs="Times New Roman"/>
                <w:sz w:val="18"/>
                <w:szCs w:val="18"/>
                <w:lang w:eastAsia="de-DE"/>
              </w:rPr>
              <w:t>The systematic literature review revealed as most</w:t>
            </w:r>
            <w:r w:rsidR="001B6FF7">
              <w:rPr>
                <w:rFonts w:ascii="Times" w:hAnsi="Times" w:cs="Times New Roman"/>
                <w:sz w:val="18"/>
                <w:szCs w:val="18"/>
                <w:lang w:eastAsia="de-DE"/>
              </w:rPr>
              <w:t xml:space="preserve"> cited barriers</w:t>
            </w:r>
            <w:r w:rsidR="001B6FF7" w:rsidRPr="001B6FF7">
              <w:rPr>
                <w:rFonts w:ascii="Times" w:hAnsi="Times" w:cs="Times New Roman"/>
                <w:sz w:val="18"/>
                <w:szCs w:val="18"/>
                <w:lang w:eastAsia="de-DE"/>
              </w:rPr>
              <w:t>:</w:t>
            </w:r>
            <w:r w:rsidR="001B6FF7">
              <w:rPr>
                <w:rFonts w:ascii="Times" w:hAnsi="Times" w:cs="Times New Roman"/>
                <w:sz w:val="18"/>
                <w:szCs w:val="18"/>
                <w:lang w:eastAsia="de-DE"/>
              </w:rPr>
              <w:t xml:space="preserve"> </w:t>
            </w:r>
            <w:r w:rsidR="001B6FF7" w:rsidRPr="001B6FF7">
              <w:rPr>
                <w:rFonts w:ascii="Times" w:hAnsi="Times" w:cs="Times New Roman"/>
                <w:sz w:val="18"/>
                <w:szCs w:val="18"/>
                <w:lang w:eastAsia="de-DE"/>
              </w:rPr>
              <w:t>1) Lack of a market and bad institutions</w:t>
            </w:r>
            <w:r w:rsidR="001B6FF7">
              <w:rPr>
                <w:rFonts w:ascii="Times" w:hAnsi="Times" w:cs="Times New Roman"/>
                <w:sz w:val="18"/>
                <w:szCs w:val="18"/>
                <w:lang w:eastAsia="de-DE"/>
              </w:rPr>
              <w:t xml:space="preserve">, </w:t>
            </w:r>
            <w:r w:rsidR="001B6FF7" w:rsidRPr="001B6FF7">
              <w:rPr>
                <w:rFonts w:ascii="Times" w:hAnsi="Times" w:cs="Times New Roman"/>
                <w:sz w:val="18"/>
                <w:szCs w:val="18"/>
                <w:lang w:eastAsia="de-DE"/>
              </w:rPr>
              <w:t>2) inconsistent policies across countries and for trade,</w:t>
            </w:r>
            <w:r w:rsidR="001B6FF7">
              <w:rPr>
                <w:rFonts w:ascii="Times" w:hAnsi="Times" w:cs="Times New Roman"/>
                <w:sz w:val="18"/>
                <w:szCs w:val="18"/>
                <w:lang w:eastAsia="de-DE"/>
              </w:rPr>
              <w:t xml:space="preserve"> </w:t>
            </w:r>
            <w:r w:rsidR="001B6FF7" w:rsidRPr="001B6FF7">
              <w:rPr>
                <w:rFonts w:ascii="Times" w:hAnsi="Times" w:cs="Times New Roman"/>
                <w:sz w:val="18"/>
                <w:szCs w:val="18"/>
                <w:lang w:eastAsia="de-DE"/>
              </w:rPr>
              <w:t>3) high up-front investment costs with poor access to finance, 4) low consumer awareness and</w:t>
            </w:r>
            <w:r w:rsidR="001B6FF7">
              <w:rPr>
                <w:rFonts w:ascii="Times" w:hAnsi="Times" w:cs="Times New Roman"/>
                <w:sz w:val="18"/>
                <w:szCs w:val="18"/>
                <w:lang w:eastAsia="de-DE"/>
              </w:rPr>
              <w:t xml:space="preserve"> </w:t>
            </w:r>
            <w:r w:rsidR="001B6FF7" w:rsidRPr="001B6FF7">
              <w:rPr>
                <w:rFonts w:ascii="Times" w:hAnsi="Times" w:cs="Times New Roman"/>
                <w:sz w:val="18"/>
                <w:szCs w:val="18"/>
                <w:lang w:eastAsia="de-DE"/>
              </w:rPr>
              <w:t>5) externalities not internalised through taxes (and subsidies).</w:t>
            </w:r>
          </w:p>
        </w:tc>
        <w:tc>
          <w:tcPr>
            <w:tcW w:w="1375" w:type="dxa"/>
          </w:tcPr>
          <w:p w14:paraId="28005218" w14:textId="23EF8843" w:rsidR="008B115F" w:rsidRDefault="0051144D" w:rsidP="003C31F2">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r>
              <w:rPr>
                <w:rFonts w:ascii="Times" w:hAnsi="Times" w:cs="Times New Roman"/>
                <w:sz w:val="18"/>
                <w:szCs w:val="18"/>
                <w:lang w:eastAsia="de-DE"/>
              </w:rPr>
              <w:t>Investigation of CE barriers and their implications</w:t>
            </w:r>
            <w:r w:rsidR="005301E8">
              <w:rPr>
                <w:rFonts w:ascii="Times" w:hAnsi="Times" w:cs="Times New Roman"/>
                <w:sz w:val="18"/>
                <w:szCs w:val="18"/>
                <w:lang w:eastAsia="de-DE"/>
              </w:rPr>
              <w:t>.</w:t>
            </w:r>
          </w:p>
        </w:tc>
      </w:tr>
      <w:tr w:rsidR="009075AB" w:rsidRPr="00D41136" w14:paraId="5464F448"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55B09F03" w14:textId="77492F64" w:rsidR="009075AB" w:rsidRDefault="00F13B87" w:rsidP="003C31F2">
            <w:pPr>
              <w:rPr>
                <w:rFonts w:ascii="Times" w:hAnsi="Times" w:cs="Times New Roman"/>
                <w:sz w:val="18"/>
                <w:szCs w:val="18"/>
                <w:lang w:eastAsia="de-DE"/>
              </w:rPr>
            </w:pPr>
            <w:r>
              <w:rPr>
                <w:rFonts w:ascii="Times" w:hAnsi="Times" w:cs="Times New Roman"/>
                <w:sz w:val="18"/>
                <w:szCs w:val="18"/>
                <w:lang w:eastAsia="de-DE"/>
              </w:rPr>
              <w:t xml:space="preserve">Drivers &amp; </w:t>
            </w:r>
            <w:r w:rsidR="00DF19AF">
              <w:rPr>
                <w:rFonts w:ascii="Times" w:hAnsi="Times" w:cs="Times New Roman"/>
                <w:sz w:val="18"/>
                <w:szCs w:val="18"/>
                <w:lang w:eastAsia="de-DE"/>
              </w:rPr>
              <w:t>Barriers</w:t>
            </w:r>
          </w:p>
        </w:tc>
        <w:tc>
          <w:tcPr>
            <w:tcW w:w="6168" w:type="dxa"/>
            <w:gridSpan w:val="2"/>
          </w:tcPr>
          <w:p w14:paraId="73D11F23" w14:textId="31F76242" w:rsidR="009075AB" w:rsidRPr="008E4F57" w:rsidRDefault="009075AB" w:rsidP="008E4F57">
            <w:pPr>
              <w:widowControl w:val="0"/>
              <w:autoSpaceDE w:val="0"/>
              <w:autoSpaceDN w:val="0"/>
              <w:adjustRightInd w:val="0"/>
              <w:spacing w:after="240" w:line="180" w:lineRule="atLeas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lang w:val="de-DE"/>
              </w:rPr>
            </w:pPr>
            <w:proofErr w:type="spellStart"/>
            <w:r>
              <w:rPr>
                <w:rFonts w:ascii="Times" w:hAnsi="Times" w:cs="Times New Roman"/>
                <w:sz w:val="18"/>
                <w:szCs w:val="18"/>
                <w:lang w:eastAsia="de-DE"/>
              </w:rPr>
              <w:t>Kirchherr</w:t>
            </w:r>
            <w:proofErr w:type="spellEnd"/>
            <w:r>
              <w:rPr>
                <w:rFonts w:ascii="Times" w:hAnsi="Times" w:cs="Times New Roman"/>
                <w:sz w:val="18"/>
                <w:szCs w:val="18"/>
                <w:lang w:eastAsia="de-DE"/>
              </w:rPr>
              <w:t xml:space="preserve">, J. et al. (2018). </w:t>
            </w:r>
            <w:r w:rsidRPr="00F13B87">
              <w:rPr>
                <w:rFonts w:ascii="Times" w:hAnsi="Times" w:cs="Times New Roman"/>
                <w:b/>
                <w:sz w:val="18"/>
                <w:szCs w:val="18"/>
                <w:lang w:eastAsia="de-DE"/>
              </w:rPr>
              <w:t>Barriers to the Circular Economy</w:t>
            </w:r>
            <w:r w:rsidRPr="009075AB">
              <w:rPr>
                <w:rFonts w:ascii="Times" w:hAnsi="Times" w:cs="Times New Roman"/>
                <w:sz w:val="18"/>
                <w:szCs w:val="18"/>
                <w:lang w:eastAsia="de-DE"/>
              </w:rPr>
              <w:t>: Evidence From the European Union (EU)</w:t>
            </w:r>
            <w:r>
              <w:rPr>
                <w:rFonts w:ascii="Times" w:hAnsi="Times" w:cs="Times New Roman"/>
                <w:sz w:val="18"/>
                <w:szCs w:val="18"/>
                <w:lang w:eastAsia="de-DE"/>
              </w:rPr>
              <w:t xml:space="preserve">, Ecological Economics 150 (2018), 264-272, Doi: </w:t>
            </w:r>
            <w:hyperlink r:id="rId24" w:history="1">
              <w:r w:rsidR="008E4F57" w:rsidRPr="006224DB">
                <w:rPr>
                  <w:rStyle w:val="Hyperlink"/>
                  <w:rFonts w:ascii="Times" w:hAnsi="Times" w:cs="Times"/>
                  <w:sz w:val="16"/>
                  <w:szCs w:val="16"/>
                  <w:lang w:val="de-DE"/>
                </w:rPr>
                <w:t>https://doi.org/10.1016/j.ecolecon.2018.04.028</w:t>
              </w:r>
            </w:hyperlink>
            <w:r w:rsidR="008E4F57">
              <w:rPr>
                <w:rFonts w:ascii="Times" w:hAnsi="Times" w:cs="Times"/>
                <w:color w:val="000000"/>
                <w:sz w:val="16"/>
                <w:szCs w:val="16"/>
                <w:lang w:val="de-DE"/>
              </w:rPr>
              <w:t xml:space="preserve"> </w:t>
            </w:r>
          </w:p>
        </w:tc>
        <w:tc>
          <w:tcPr>
            <w:tcW w:w="5207" w:type="dxa"/>
            <w:gridSpan w:val="2"/>
          </w:tcPr>
          <w:p w14:paraId="38A474E1" w14:textId="1247CB2C" w:rsidR="009075AB" w:rsidRDefault="008E4F57" w:rsidP="008E4F57">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r>
              <w:rPr>
                <w:rFonts w:ascii="Times" w:hAnsi="Times" w:cs="Times New Roman"/>
                <w:sz w:val="18"/>
                <w:szCs w:val="18"/>
                <w:lang w:eastAsia="de-DE"/>
              </w:rPr>
              <w:t>L</w:t>
            </w:r>
            <w:r w:rsidRPr="008E4F57">
              <w:rPr>
                <w:rFonts w:ascii="Times" w:hAnsi="Times" w:cs="Times New Roman"/>
                <w:sz w:val="18"/>
                <w:szCs w:val="18"/>
                <w:lang w:eastAsia="de-DE"/>
              </w:rPr>
              <w:t xml:space="preserve">imited progress has been accomplished regarding </w:t>
            </w:r>
            <w:r>
              <w:rPr>
                <w:rFonts w:ascii="Times" w:hAnsi="Times" w:cs="Times New Roman"/>
                <w:sz w:val="18"/>
                <w:szCs w:val="18"/>
                <w:lang w:eastAsia="de-DE"/>
              </w:rPr>
              <w:t xml:space="preserve">the </w:t>
            </w:r>
            <w:r w:rsidRPr="008E4F57">
              <w:rPr>
                <w:rFonts w:ascii="Times" w:hAnsi="Times" w:cs="Times New Roman"/>
                <w:sz w:val="18"/>
                <w:szCs w:val="18"/>
                <w:lang w:eastAsia="de-DE"/>
              </w:rPr>
              <w:t>implementation</w:t>
            </w:r>
            <w:r>
              <w:rPr>
                <w:rFonts w:ascii="Times" w:hAnsi="Times" w:cs="Times New Roman"/>
                <w:sz w:val="18"/>
                <w:szCs w:val="18"/>
                <w:lang w:eastAsia="de-DE"/>
              </w:rPr>
              <w:t xml:space="preserve"> of the CE concept</w:t>
            </w:r>
            <w:r w:rsidRPr="008E4F57">
              <w:rPr>
                <w:rFonts w:ascii="Times" w:hAnsi="Times" w:cs="Times New Roman"/>
                <w:sz w:val="18"/>
                <w:szCs w:val="18"/>
                <w:lang w:eastAsia="de-DE"/>
              </w:rPr>
              <w:t xml:space="preserve">. Most scholarly studies blame this on various technological barriers. </w:t>
            </w:r>
            <w:r>
              <w:rPr>
                <w:rFonts w:ascii="Times" w:hAnsi="Times" w:cs="Times New Roman"/>
                <w:sz w:val="18"/>
                <w:szCs w:val="18"/>
                <w:lang w:eastAsia="de-DE"/>
              </w:rPr>
              <w:t>The authors</w:t>
            </w:r>
            <w:r w:rsidRPr="008E4F57">
              <w:rPr>
                <w:rFonts w:ascii="Times" w:hAnsi="Times" w:cs="Times New Roman"/>
                <w:sz w:val="18"/>
                <w:szCs w:val="18"/>
                <w:lang w:eastAsia="de-DE"/>
              </w:rPr>
              <w:t xml:space="preserve"> find that cultural barriers, particularly a lack of consumer interest and awareness as well as a hesitant company culture, are considered the main circular economy barriers by businesses and policy-makers. These are driven by market barriers which, in turn, are induced by a lack of synergistic governmental interventions to accelerate the transit</w:t>
            </w:r>
            <w:r>
              <w:rPr>
                <w:rFonts w:ascii="Times" w:hAnsi="Times" w:cs="Times New Roman"/>
                <w:sz w:val="18"/>
                <w:szCs w:val="18"/>
                <w:lang w:eastAsia="de-DE"/>
              </w:rPr>
              <w:t>ion towards a circular economy</w:t>
            </w:r>
            <w:r w:rsidRPr="008E4F57">
              <w:rPr>
                <w:rFonts w:ascii="Times" w:hAnsi="Times" w:cs="Times New Roman"/>
                <w:sz w:val="18"/>
                <w:szCs w:val="18"/>
                <w:lang w:eastAsia="de-DE"/>
              </w:rPr>
              <w:t>.</w:t>
            </w:r>
          </w:p>
        </w:tc>
        <w:tc>
          <w:tcPr>
            <w:tcW w:w="1375" w:type="dxa"/>
          </w:tcPr>
          <w:p w14:paraId="1824BCA0" w14:textId="70F9F0E1" w:rsidR="009075AB" w:rsidRDefault="00491CE4" w:rsidP="00491CE4">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r>
              <w:rPr>
                <w:rFonts w:ascii="Times" w:hAnsi="Times" w:cs="Times New Roman"/>
                <w:sz w:val="18"/>
                <w:szCs w:val="18"/>
                <w:lang w:eastAsia="de-DE"/>
              </w:rPr>
              <w:t xml:space="preserve">Inter alia, </w:t>
            </w:r>
            <w:r w:rsidRPr="00491CE4">
              <w:rPr>
                <w:rFonts w:ascii="Times" w:hAnsi="Times" w:cs="Times New Roman"/>
                <w:sz w:val="18"/>
                <w:szCs w:val="18"/>
                <w:lang w:eastAsia="de-DE"/>
              </w:rPr>
              <w:t>provides a visual o</w:t>
            </w:r>
            <w:r>
              <w:rPr>
                <w:rFonts w:ascii="Times" w:hAnsi="Times" w:cs="Times New Roman"/>
                <w:sz w:val="18"/>
                <w:szCs w:val="18"/>
                <w:lang w:eastAsia="de-DE"/>
              </w:rPr>
              <w:t>verview of the core CE barriers</w:t>
            </w:r>
            <w:r w:rsidRPr="00491CE4">
              <w:rPr>
                <w:rFonts w:ascii="Times" w:hAnsi="Times" w:cs="Times New Roman"/>
                <w:sz w:val="18"/>
                <w:szCs w:val="18"/>
                <w:lang w:eastAsia="de-DE"/>
              </w:rPr>
              <w:t xml:space="preserve"> and their possible interactions, hamper</w:t>
            </w:r>
            <w:r>
              <w:rPr>
                <w:rFonts w:ascii="Times" w:hAnsi="Times" w:cs="Times New Roman"/>
                <w:sz w:val="18"/>
                <w:szCs w:val="18"/>
                <w:lang w:eastAsia="de-DE"/>
              </w:rPr>
              <w:t>ing</w:t>
            </w:r>
            <w:r w:rsidRPr="00491CE4">
              <w:rPr>
                <w:rFonts w:ascii="Times" w:hAnsi="Times" w:cs="Times New Roman"/>
                <w:sz w:val="18"/>
                <w:szCs w:val="18"/>
                <w:lang w:eastAsia="de-DE"/>
              </w:rPr>
              <w:t xml:space="preserve"> the transition to a CE. </w:t>
            </w:r>
          </w:p>
        </w:tc>
      </w:tr>
      <w:tr w:rsidR="00F13B87" w:rsidRPr="00D41136" w14:paraId="63A915F7"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17D269E5" w14:textId="68BC97BE" w:rsidR="00F13B87" w:rsidRDefault="00F13B87" w:rsidP="003C31F2">
            <w:pPr>
              <w:rPr>
                <w:rFonts w:ascii="Times" w:hAnsi="Times" w:cs="Times New Roman"/>
                <w:sz w:val="18"/>
                <w:szCs w:val="18"/>
                <w:lang w:eastAsia="de-DE"/>
              </w:rPr>
            </w:pPr>
            <w:r>
              <w:rPr>
                <w:rFonts w:ascii="Times" w:hAnsi="Times" w:cs="Times New Roman"/>
                <w:sz w:val="18"/>
                <w:szCs w:val="18"/>
                <w:lang w:eastAsia="de-DE"/>
              </w:rPr>
              <w:t>Drivers &amp; Barriers</w:t>
            </w:r>
          </w:p>
        </w:tc>
        <w:tc>
          <w:tcPr>
            <w:tcW w:w="6168" w:type="dxa"/>
            <w:gridSpan w:val="2"/>
          </w:tcPr>
          <w:p w14:paraId="7E353C3F" w14:textId="756BE243" w:rsidR="00F13B87" w:rsidRDefault="003C777E" w:rsidP="008E4F57">
            <w:pPr>
              <w:widowControl w:val="0"/>
              <w:autoSpaceDE w:val="0"/>
              <w:autoSpaceDN w:val="0"/>
              <w:adjustRightInd w:val="0"/>
              <w:spacing w:after="240" w:line="180" w:lineRule="atLeast"/>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proofErr w:type="spellStart"/>
            <w:r>
              <w:rPr>
                <w:rFonts w:ascii="Times" w:hAnsi="Times" w:cs="Times New Roman"/>
                <w:sz w:val="18"/>
                <w:szCs w:val="18"/>
                <w:lang w:eastAsia="de-DE"/>
              </w:rPr>
              <w:t>Morseletto</w:t>
            </w:r>
            <w:proofErr w:type="spellEnd"/>
            <w:r>
              <w:rPr>
                <w:rFonts w:ascii="Times" w:hAnsi="Times" w:cs="Times New Roman"/>
                <w:sz w:val="18"/>
                <w:szCs w:val="18"/>
                <w:lang w:eastAsia="de-DE"/>
              </w:rPr>
              <w:t xml:space="preserve">, P. (2020). </w:t>
            </w:r>
            <w:r w:rsidRPr="003C777E">
              <w:rPr>
                <w:rFonts w:ascii="Times" w:hAnsi="Times" w:cs="Times New Roman"/>
                <w:b/>
                <w:sz w:val="18"/>
                <w:szCs w:val="18"/>
                <w:lang w:eastAsia="de-DE"/>
              </w:rPr>
              <w:t>Targets</w:t>
            </w:r>
            <w:r w:rsidRPr="003C777E">
              <w:rPr>
                <w:rFonts w:ascii="Times" w:hAnsi="Times" w:cs="Times New Roman"/>
                <w:sz w:val="18"/>
                <w:szCs w:val="18"/>
                <w:lang w:eastAsia="de-DE"/>
              </w:rPr>
              <w:t xml:space="preserve"> for a circular economy</w:t>
            </w:r>
            <w:r>
              <w:rPr>
                <w:rFonts w:ascii="Times" w:hAnsi="Times" w:cs="Times New Roman"/>
                <w:sz w:val="18"/>
                <w:szCs w:val="18"/>
                <w:lang w:eastAsia="de-DE"/>
              </w:rPr>
              <w:t xml:space="preserve">. Resources, Conservation &amp; </w:t>
            </w:r>
            <w:proofErr w:type="spellStart"/>
            <w:r>
              <w:rPr>
                <w:rFonts w:ascii="Times" w:hAnsi="Times" w:cs="Times New Roman"/>
                <w:sz w:val="18"/>
                <w:szCs w:val="18"/>
                <w:lang w:eastAsia="de-DE"/>
              </w:rPr>
              <w:t>Recycing</w:t>
            </w:r>
            <w:proofErr w:type="spellEnd"/>
            <w:r>
              <w:rPr>
                <w:rFonts w:ascii="Times" w:hAnsi="Times" w:cs="Times New Roman"/>
                <w:sz w:val="18"/>
                <w:szCs w:val="18"/>
                <w:lang w:eastAsia="de-DE"/>
              </w:rPr>
              <w:t xml:space="preserve"> 153 (2020), 104553, </w:t>
            </w:r>
            <w:proofErr w:type="spellStart"/>
            <w:r>
              <w:rPr>
                <w:rFonts w:ascii="Times" w:hAnsi="Times" w:cs="Times New Roman"/>
                <w:sz w:val="18"/>
                <w:szCs w:val="18"/>
                <w:lang w:eastAsia="de-DE"/>
              </w:rPr>
              <w:t>doi</w:t>
            </w:r>
            <w:proofErr w:type="spellEnd"/>
            <w:r>
              <w:rPr>
                <w:rFonts w:ascii="Times" w:hAnsi="Times" w:cs="Times New Roman"/>
                <w:sz w:val="18"/>
                <w:szCs w:val="18"/>
                <w:lang w:eastAsia="de-DE"/>
              </w:rPr>
              <w:t xml:space="preserve">: </w:t>
            </w:r>
            <w:hyperlink r:id="rId25" w:history="1">
              <w:r w:rsidRPr="006224DB">
                <w:rPr>
                  <w:rStyle w:val="Hyperlink"/>
                  <w:rFonts w:ascii="Times" w:hAnsi="Times" w:cs="Times New Roman"/>
                  <w:sz w:val="18"/>
                  <w:szCs w:val="18"/>
                  <w:lang w:eastAsia="de-DE"/>
                </w:rPr>
                <w:t>https://doi.org/10.1016/j.resconrec.2019.104553</w:t>
              </w:r>
            </w:hyperlink>
            <w:r>
              <w:rPr>
                <w:rFonts w:ascii="Times" w:hAnsi="Times" w:cs="Times New Roman"/>
                <w:sz w:val="18"/>
                <w:szCs w:val="18"/>
                <w:lang w:eastAsia="de-DE"/>
              </w:rPr>
              <w:t xml:space="preserve"> </w:t>
            </w:r>
          </w:p>
        </w:tc>
        <w:tc>
          <w:tcPr>
            <w:tcW w:w="5207" w:type="dxa"/>
            <w:gridSpan w:val="2"/>
          </w:tcPr>
          <w:p w14:paraId="5B5536B8" w14:textId="286C560C" w:rsidR="00F13B87" w:rsidRDefault="003C777E" w:rsidP="00F9259A">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r>
              <w:rPr>
                <w:rFonts w:ascii="Times" w:hAnsi="Times" w:cs="Times New Roman"/>
                <w:sz w:val="18"/>
                <w:szCs w:val="18"/>
                <w:lang w:eastAsia="de-DE"/>
              </w:rPr>
              <w:t>The paper</w:t>
            </w:r>
            <w:r w:rsidRPr="003C777E">
              <w:rPr>
                <w:rFonts w:ascii="Times" w:hAnsi="Times" w:cs="Times New Roman"/>
                <w:sz w:val="18"/>
                <w:szCs w:val="18"/>
                <w:lang w:eastAsia="de-DE"/>
              </w:rPr>
              <w:t xml:space="preserve"> examines which targets can facilitate the transit</w:t>
            </w:r>
            <w:r>
              <w:rPr>
                <w:rFonts w:ascii="Times" w:hAnsi="Times" w:cs="Times New Roman"/>
                <w:sz w:val="18"/>
                <w:szCs w:val="18"/>
                <w:lang w:eastAsia="de-DE"/>
              </w:rPr>
              <w:t xml:space="preserve">ion towards a circular economy, focusing on both </w:t>
            </w:r>
            <w:r w:rsidR="00F9259A">
              <w:rPr>
                <w:rFonts w:ascii="Times" w:hAnsi="Times" w:cs="Times New Roman"/>
                <w:sz w:val="18"/>
                <w:szCs w:val="18"/>
                <w:lang w:eastAsia="de-DE"/>
              </w:rPr>
              <w:t>on existing and new targets.</w:t>
            </w:r>
            <w:r w:rsidRPr="003C777E">
              <w:rPr>
                <w:rFonts w:ascii="Times" w:hAnsi="Times" w:cs="Times New Roman"/>
                <w:sz w:val="18"/>
                <w:szCs w:val="18"/>
                <w:lang w:eastAsia="de-DE"/>
              </w:rPr>
              <w:t xml:space="preserve"> A framework based on 10 common circular economy strategies (i.e. recover, recycling, repurpose, remanufacture, re- furbish, repair, re-use, reduce, rethink, refuse) is applied to scrutinise the selected targets. The study clarifies that existing targets for recovery and recycling do not necessarily promote a circular economy, </w:t>
            </w:r>
            <w:r w:rsidR="00F9259A">
              <w:rPr>
                <w:rFonts w:ascii="Times" w:hAnsi="Times" w:cs="Times New Roman"/>
                <w:sz w:val="18"/>
                <w:szCs w:val="18"/>
                <w:lang w:eastAsia="de-DE"/>
              </w:rPr>
              <w:t xml:space="preserve">despite </w:t>
            </w:r>
            <w:r w:rsidRPr="003C777E">
              <w:rPr>
                <w:rFonts w:ascii="Times" w:hAnsi="Times" w:cs="Times New Roman"/>
                <w:sz w:val="18"/>
                <w:szCs w:val="18"/>
                <w:lang w:eastAsia="de-DE"/>
              </w:rPr>
              <w:t xml:space="preserve">the most commonly applied targets so far. </w:t>
            </w:r>
            <w:r w:rsidR="00F9259A">
              <w:rPr>
                <w:rFonts w:ascii="Times" w:hAnsi="Times" w:cs="Times New Roman"/>
                <w:sz w:val="18"/>
                <w:szCs w:val="18"/>
                <w:lang w:eastAsia="de-DE"/>
              </w:rPr>
              <w:t xml:space="preserve">Due to </w:t>
            </w:r>
            <w:r w:rsidRPr="003C777E">
              <w:rPr>
                <w:rFonts w:ascii="Times" w:hAnsi="Times" w:cs="Times New Roman"/>
                <w:sz w:val="18"/>
                <w:szCs w:val="18"/>
                <w:lang w:eastAsia="de-DE"/>
              </w:rPr>
              <w:t xml:space="preserve">efficacy </w:t>
            </w:r>
            <w:r w:rsidR="00F9259A">
              <w:rPr>
                <w:rFonts w:ascii="Times" w:hAnsi="Times" w:cs="Times New Roman"/>
                <w:sz w:val="18"/>
                <w:szCs w:val="18"/>
                <w:lang w:eastAsia="de-DE"/>
              </w:rPr>
              <w:t xml:space="preserve">lack </w:t>
            </w:r>
            <w:r w:rsidRPr="003C777E">
              <w:rPr>
                <w:rFonts w:ascii="Times" w:hAnsi="Times" w:cs="Times New Roman"/>
                <w:sz w:val="18"/>
                <w:szCs w:val="18"/>
                <w:lang w:eastAsia="de-DE"/>
              </w:rPr>
              <w:t>of recover</w:t>
            </w:r>
            <w:r w:rsidR="00F9259A">
              <w:rPr>
                <w:rFonts w:ascii="Times" w:hAnsi="Times" w:cs="Times New Roman"/>
                <w:sz w:val="18"/>
                <w:szCs w:val="18"/>
                <w:lang w:eastAsia="de-DE"/>
              </w:rPr>
              <w:t>y and recycling, targets should</w:t>
            </w:r>
            <w:r w:rsidRPr="003C777E">
              <w:rPr>
                <w:rFonts w:ascii="Times" w:hAnsi="Times" w:cs="Times New Roman"/>
                <w:sz w:val="18"/>
                <w:szCs w:val="18"/>
                <w:lang w:eastAsia="de-DE"/>
              </w:rPr>
              <w:t xml:space="preserve"> favour other </w:t>
            </w:r>
            <w:r w:rsidR="00F9259A">
              <w:rPr>
                <w:rFonts w:ascii="Times" w:hAnsi="Times" w:cs="Times New Roman"/>
                <w:sz w:val="18"/>
                <w:szCs w:val="18"/>
                <w:lang w:eastAsia="de-DE"/>
              </w:rPr>
              <w:t>circular economy strategies</w:t>
            </w:r>
            <w:r w:rsidRPr="003C777E">
              <w:rPr>
                <w:rFonts w:ascii="Times" w:hAnsi="Times" w:cs="Times New Roman"/>
                <w:sz w:val="18"/>
                <w:szCs w:val="18"/>
                <w:lang w:eastAsia="de-DE"/>
              </w:rPr>
              <w:t xml:space="preserve">. </w:t>
            </w:r>
          </w:p>
        </w:tc>
        <w:tc>
          <w:tcPr>
            <w:tcW w:w="1375" w:type="dxa"/>
          </w:tcPr>
          <w:p w14:paraId="6F21182B" w14:textId="4D2E3C17" w:rsidR="00F13B87" w:rsidRDefault="00F9259A" w:rsidP="00F9259A">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r>
              <w:rPr>
                <w:rFonts w:ascii="Times" w:hAnsi="Times" w:cs="Times New Roman"/>
                <w:sz w:val="18"/>
                <w:szCs w:val="18"/>
                <w:lang w:eastAsia="de-DE"/>
              </w:rPr>
              <w:t>The</w:t>
            </w:r>
            <w:r w:rsidRPr="003C777E">
              <w:rPr>
                <w:rFonts w:ascii="Times" w:hAnsi="Times" w:cs="Times New Roman"/>
                <w:sz w:val="18"/>
                <w:szCs w:val="18"/>
                <w:lang w:eastAsia="de-DE"/>
              </w:rPr>
              <w:t xml:space="preserve"> </w:t>
            </w:r>
            <w:r>
              <w:rPr>
                <w:rFonts w:ascii="Times" w:hAnsi="Times" w:cs="Times New Roman"/>
                <w:sz w:val="18"/>
                <w:szCs w:val="18"/>
                <w:lang w:eastAsia="de-DE"/>
              </w:rPr>
              <w:t>shows need for an</w:t>
            </w:r>
            <w:r w:rsidRPr="003C777E">
              <w:rPr>
                <w:rFonts w:ascii="Times" w:hAnsi="Times" w:cs="Times New Roman"/>
                <w:sz w:val="18"/>
                <w:szCs w:val="18"/>
                <w:lang w:eastAsia="de-DE"/>
              </w:rPr>
              <w:t xml:space="preserve"> expanded set of new targets</w:t>
            </w:r>
            <w:r>
              <w:rPr>
                <w:rFonts w:ascii="Times" w:hAnsi="Times" w:cs="Times New Roman"/>
                <w:sz w:val="18"/>
                <w:szCs w:val="18"/>
                <w:lang w:eastAsia="de-DE"/>
              </w:rPr>
              <w:t>.</w:t>
            </w:r>
          </w:p>
        </w:tc>
      </w:tr>
      <w:tr w:rsidR="00400415" w:rsidRPr="00D41136" w14:paraId="4FA976B4"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0A70051D" w14:textId="77777777" w:rsidR="00400415" w:rsidRDefault="00400415" w:rsidP="003C31F2">
            <w:pPr>
              <w:rPr>
                <w:rFonts w:ascii="Times" w:hAnsi="Times" w:cs="Times New Roman"/>
                <w:sz w:val="18"/>
                <w:szCs w:val="18"/>
                <w:lang w:eastAsia="de-DE"/>
              </w:rPr>
            </w:pPr>
          </w:p>
        </w:tc>
        <w:tc>
          <w:tcPr>
            <w:tcW w:w="6168" w:type="dxa"/>
            <w:gridSpan w:val="2"/>
          </w:tcPr>
          <w:p w14:paraId="0680DE11" w14:textId="77777777" w:rsidR="00400415" w:rsidRDefault="00400415" w:rsidP="008E4F57">
            <w:pPr>
              <w:widowControl w:val="0"/>
              <w:autoSpaceDE w:val="0"/>
              <w:autoSpaceDN w:val="0"/>
              <w:adjustRightInd w:val="0"/>
              <w:spacing w:after="240" w:line="180" w:lineRule="atLeast"/>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p>
        </w:tc>
        <w:tc>
          <w:tcPr>
            <w:tcW w:w="5207" w:type="dxa"/>
            <w:gridSpan w:val="2"/>
          </w:tcPr>
          <w:p w14:paraId="18D3E2F3" w14:textId="77777777" w:rsidR="00400415" w:rsidRDefault="00400415" w:rsidP="00F9259A">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p>
        </w:tc>
        <w:tc>
          <w:tcPr>
            <w:tcW w:w="1375" w:type="dxa"/>
          </w:tcPr>
          <w:p w14:paraId="13B63204" w14:textId="77777777" w:rsidR="00400415" w:rsidRDefault="00400415" w:rsidP="00F9259A">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p>
        </w:tc>
      </w:tr>
      <w:tr w:rsidR="00400415" w:rsidRPr="00D41136" w14:paraId="702E253D"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7B270E9E" w14:textId="77777777" w:rsidR="00400415" w:rsidRDefault="00400415" w:rsidP="003C31F2">
            <w:pPr>
              <w:rPr>
                <w:rFonts w:ascii="Times" w:hAnsi="Times" w:cs="Times New Roman"/>
                <w:sz w:val="18"/>
                <w:szCs w:val="18"/>
                <w:lang w:eastAsia="de-DE"/>
              </w:rPr>
            </w:pPr>
          </w:p>
        </w:tc>
        <w:tc>
          <w:tcPr>
            <w:tcW w:w="6168" w:type="dxa"/>
            <w:gridSpan w:val="2"/>
          </w:tcPr>
          <w:p w14:paraId="2468C507" w14:textId="77777777" w:rsidR="00400415" w:rsidRDefault="00400415" w:rsidP="008E4F57">
            <w:pPr>
              <w:widowControl w:val="0"/>
              <w:autoSpaceDE w:val="0"/>
              <w:autoSpaceDN w:val="0"/>
              <w:adjustRightInd w:val="0"/>
              <w:spacing w:after="240" w:line="180" w:lineRule="atLeast"/>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p>
        </w:tc>
        <w:tc>
          <w:tcPr>
            <w:tcW w:w="5207" w:type="dxa"/>
            <w:gridSpan w:val="2"/>
          </w:tcPr>
          <w:p w14:paraId="625B5A4F" w14:textId="77777777" w:rsidR="00400415" w:rsidRDefault="00400415" w:rsidP="00F9259A">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p>
        </w:tc>
        <w:tc>
          <w:tcPr>
            <w:tcW w:w="1375" w:type="dxa"/>
          </w:tcPr>
          <w:p w14:paraId="65A46E73" w14:textId="77777777" w:rsidR="00400415" w:rsidRDefault="00400415" w:rsidP="00F9259A">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p>
        </w:tc>
      </w:tr>
    </w:tbl>
    <w:p w14:paraId="019F5A9E" w14:textId="77777777" w:rsidR="00FA4A02" w:rsidRDefault="00FA4A02" w:rsidP="00F81D86"/>
    <w:sectPr w:rsidR="00FA4A02" w:rsidSect="00FA4A0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MyriadPro-Bold">
    <w:panose1 w:val="00000000000000000000"/>
    <w:charset w:val="EE"/>
    <w:family w:val="auto"/>
    <w:notTrueType/>
    <w:pitch w:val="default"/>
    <w:sig w:usb0="00000005" w:usb1="00000000" w:usb2="00000000" w:usb3="00000000" w:csb0="00000002"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1525"/>
    <w:multiLevelType w:val="multilevel"/>
    <w:tmpl w:val="E70A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A02"/>
    <w:rsid w:val="0000560D"/>
    <w:rsid w:val="00037832"/>
    <w:rsid w:val="000514D9"/>
    <w:rsid w:val="000901DC"/>
    <w:rsid w:val="00091037"/>
    <w:rsid w:val="0009599F"/>
    <w:rsid w:val="000D530F"/>
    <w:rsid w:val="000F5CA6"/>
    <w:rsid w:val="000F71D2"/>
    <w:rsid w:val="001343C2"/>
    <w:rsid w:val="001613F4"/>
    <w:rsid w:val="00174720"/>
    <w:rsid w:val="0018304D"/>
    <w:rsid w:val="001861B4"/>
    <w:rsid w:val="001A4356"/>
    <w:rsid w:val="001B4E75"/>
    <w:rsid w:val="001B6FF7"/>
    <w:rsid w:val="001E3E6C"/>
    <w:rsid w:val="00244FD6"/>
    <w:rsid w:val="00251C99"/>
    <w:rsid w:val="00257C3B"/>
    <w:rsid w:val="00261D2D"/>
    <w:rsid w:val="002A3FFB"/>
    <w:rsid w:val="003228A4"/>
    <w:rsid w:val="00343015"/>
    <w:rsid w:val="003C287C"/>
    <w:rsid w:val="003C31F2"/>
    <w:rsid w:val="003C449C"/>
    <w:rsid w:val="003C777E"/>
    <w:rsid w:val="003F0AFF"/>
    <w:rsid w:val="00400415"/>
    <w:rsid w:val="004066B2"/>
    <w:rsid w:val="00421AD8"/>
    <w:rsid w:val="00491CE4"/>
    <w:rsid w:val="004B61C6"/>
    <w:rsid w:val="004C1411"/>
    <w:rsid w:val="004D69CE"/>
    <w:rsid w:val="0051144D"/>
    <w:rsid w:val="005301E8"/>
    <w:rsid w:val="0054660E"/>
    <w:rsid w:val="00570BFA"/>
    <w:rsid w:val="00574A65"/>
    <w:rsid w:val="00591492"/>
    <w:rsid w:val="005925AE"/>
    <w:rsid w:val="005E34D4"/>
    <w:rsid w:val="00612E9F"/>
    <w:rsid w:val="00615046"/>
    <w:rsid w:val="0065280B"/>
    <w:rsid w:val="00677DC9"/>
    <w:rsid w:val="006A449C"/>
    <w:rsid w:val="006B6F6F"/>
    <w:rsid w:val="006B75EA"/>
    <w:rsid w:val="006C17BA"/>
    <w:rsid w:val="00747A21"/>
    <w:rsid w:val="00756793"/>
    <w:rsid w:val="0075744B"/>
    <w:rsid w:val="007B2DAF"/>
    <w:rsid w:val="007D2948"/>
    <w:rsid w:val="007D5DD4"/>
    <w:rsid w:val="007F5BAB"/>
    <w:rsid w:val="00824F53"/>
    <w:rsid w:val="008A7677"/>
    <w:rsid w:val="008B115F"/>
    <w:rsid w:val="008C0C83"/>
    <w:rsid w:val="008E1775"/>
    <w:rsid w:val="008E4F57"/>
    <w:rsid w:val="008F375D"/>
    <w:rsid w:val="009075AB"/>
    <w:rsid w:val="00956F46"/>
    <w:rsid w:val="00985F06"/>
    <w:rsid w:val="00992631"/>
    <w:rsid w:val="009E6F14"/>
    <w:rsid w:val="009F4B20"/>
    <w:rsid w:val="009F55F9"/>
    <w:rsid w:val="00A67BC0"/>
    <w:rsid w:val="00AA658B"/>
    <w:rsid w:val="00B13DA9"/>
    <w:rsid w:val="00B17140"/>
    <w:rsid w:val="00B66428"/>
    <w:rsid w:val="00B7615B"/>
    <w:rsid w:val="00BD3970"/>
    <w:rsid w:val="00C527A6"/>
    <w:rsid w:val="00C53383"/>
    <w:rsid w:val="00C71E76"/>
    <w:rsid w:val="00C93B28"/>
    <w:rsid w:val="00CA6F6A"/>
    <w:rsid w:val="00CE5AB3"/>
    <w:rsid w:val="00D31DCF"/>
    <w:rsid w:val="00D322A4"/>
    <w:rsid w:val="00D41136"/>
    <w:rsid w:val="00D460AE"/>
    <w:rsid w:val="00D667B5"/>
    <w:rsid w:val="00D73482"/>
    <w:rsid w:val="00D86104"/>
    <w:rsid w:val="00DA2508"/>
    <w:rsid w:val="00DD1479"/>
    <w:rsid w:val="00DD621F"/>
    <w:rsid w:val="00DD6FA4"/>
    <w:rsid w:val="00DF19AF"/>
    <w:rsid w:val="00E10ACE"/>
    <w:rsid w:val="00E13071"/>
    <w:rsid w:val="00E25483"/>
    <w:rsid w:val="00E30274"/>
    <w:rsid w:val="00E36A45"/>
    <w:rsid w:val="00E41121"/>
    <w:rsid w:val="00E659F1"/>
    <w:rsid w:val="00F13B87"/>
    <w:rsid w:val="00F41F05"/>
    <w:rsid w:val="00F67A73"/>
    <w:rsid w:val="00F73B60"/>
    <w:rsid w:val="00F753D4"/>
    <w:rsid w:val="00F81D86"/>
    <w:rsid w:val="00F9259A"/>
    <w:rsid w:val="00FA4A02"/>
    <w:rsid w:val="00FC5BF4"/>
    <w:rsid w:val="00FE417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7D35B"/>
  <w15:docId w15:val="{31B2D3AE-41C4-41AF-9596-C210B0C9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591492"/>
    <w:pPr>
      <w:spacing w:before="100" w:beforeAutospacing="1" w:after="100" w:afterAutospacing="1" w:line="240" w:lineRule="auto"/>
      <w:outlineLvl w:val="1"/>
    </w:pPr>
    <w:rPr>
      <w:rFonts w:ascii="Times New Roman" w:eastAsia="Times New Roman" w:hAnsi="Times New Roman" w:cs="Times New Roman"/>
      <w:b/>
      <w:bCs/>
      <w:sz w:val="36"/>
      <w:szCs w:val="36"/>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74A65"/>
    <w:pPr>
      <w:spacing w:line="240" w:lineRule="auto"/>
    </w:pPr>
    <w:rPr>
      <w:sz w:val="20"/>
      <w:szCs w:val="20"/>
      <w:lang w:val="en-IE"/>
    </w:rPr>
  </w:style>
  <w:style w:type="character" w:customStyle="1" w:styleId="CommentTextChar">
    <w:name w:val="Comment Text Char"/>
    <w:basedOn w:val="DefaultParagraphFont"/>
    <w:link w:val="CommentText"/>
    <w:uiPriority w:val="99"/>
    <w:semiHidden/>
    <w:rsid w:val="00574A65"/>
    <w:rPr>
      <w:sz w:val="20"/>
      <w:szCs w:val="20"/>
      <w:lang w:val="en-IE"/>
    </w:rPr>
  </w:style>
  <w:style w:type="paragraph" w:styleId="Subtitle">
    <w:name w:val="Subtitle"/>
    <w:basedOn w:val="Normal"/>
    <w:next w:val="Normal"/>
    <w:link w:val="SubtitleChar"/>
    <w:uiPriority w:val="11"/>
    <w:qFormat/>
    <w:rsid w:val="00FA4A0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4A02"/>
    <w:rPr>
      <w:rFonts w:eastAsiaTheme="minorEastAsia"/>
      <w:color w:val="5A5A5A" w:themeColor="text1" w:themeTint="A5"/>
      <w:spacing w:val="15"/>
      <w:lang w:val="en-GB"/>
    </w:rPr>
  </w:style>
  <w:style w:type="table" w:styleId="TableGrid">
    <w:name w:val="Table Grid"/>
    <w:basedOn w:val="TableNormal"/>
    <w:uiPriority w:val="39"/>
    <w:rsid w:val="00FA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4zvraznenie51">
    <w:name w:val="Tabuľka s mriežkou 4 – zvýraznenie 51"/>
    <w:basedOn w:val="TableNormal"/>
    <w:uiPriority w:val="49"/>
    <w:rsid w:val="00FA4A0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FA4A02"/>
    <w:rPr>
      <w:color w:val="0563C1" w:themeColor="hyperlink"/>
      <w:u w:val="single"/>
    </w:rPr>
  </w:style>
  <w:style w:type="character" w:customStyle="1" w:styleId="UnresolvedMention1">
    <w:name w:val="Unresolved Mention1"/>
    <w:basedOn w:val="DefaultParagraphFont"/>
    <w:uiPriority w:val="99"/>
    <w:semiHidden/>
    <w:unhideWhenUsed/>
    <w:rsid w:val="00FA4A02"/>
    <w:rPr>
      <w:color w:val="605E5C"/>
      <w:shd w:val="clear" w:color="auto" w:fill="E1DFDD"/>
    </w:rPr>
  </w:style>
  <w:style w:type="character" w:styleId="FollowedHyperlink">
    <w:name w:val="FollowedHyperlink"/>
    <w:basedOn w:val="DefaultParagraphFont"/>
    <w:uiPriority w:val="99"/>
    <w:semiHidden/>
    <w:unhideWhenUsed/>
    <w:rsid w:val="008C0C83"/>
    <w:rPr>
      <w:color w:val="954F72" w:themeColor="followedHyperlink"/>
      <w:u w:val="single"/>
    </w:rPr>
  </w:style>
  <w:style w:type="character" w:customStyle="1" w:styleId="highlight">
    <w:name w:val="highlight"/>
    <w:basedOn w:val="DefaultParagraphFont"/>
    <w:rsid w:val="001A4356"/>
  </w:style>
  <w:style w:type="paragraph" w:styleId="NormalWeb">
    <w:name w:val="Normal (Web)"/>
    <w:basedOn w:val="Normal"/>
    <w:uiPriority w:val="99"/>
    <w:unhideWhenUsed/>
    <w:rsid w:val="00591492"/>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customStyle="1" w:styleId="Heading2Char">
    <w:name w:val="Heading 2 Char"/>
    <w:basedOn w:val="DefaultParagraphFont"/>
    <w:link w:val="Heading2"/>
    <w:uiPriority w:val="9"/>
    <w:rsid w:val="00591492"/>
    <w:rPr>
      <w:rFonts w:ascii="Times New Roman" w:eastAsia="Times New Roman" w:hAnsi="Times New Roman" w:cs="Times New Roman"/>
      <w:b/>
      <w:bCs/>
      <w:sz w:val="36"/>
      <w:szCs w:val="3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66109">
      <w:bodyDiv w:val="1"/>
      <w:marLeft w:val="0"/>
      <w:marRight w:val="0"/>
      <w:marTop w:val="0"/>
      <w:marBottom w:val="0"/>
      <w:divBdr>
        <w:top w:val="none" w:sz="0" w:space="0" w:color="auto"/>
        <w:left w:val="none" w:sz="0" w:space="0" w:color="auto"/>
        <w:bottom w:val="none" w:sz="0" w:space="0" w:color="auto"/>
        <w:right w:val="none" w:sz="0" w:space="0" w:color="auto"/>
      </w:divBdr>
      <w:divsChild>
        <w:div w:id="186413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0.1016/j.resconrec.2020.105076" TargetMode="External"/><Relationship Id="rId13" Type="http://schemas.openxmlformats.org/officeDocument/2006/relationships/hyperlink" Target="https://ec.europa.eu/eurostat/documents/3859598/5937481/KS-GQ-14-011-EN.PDF/82855e3b-bb6e-498a-a177-07e7884e9bcb" TargetMode="External"/><Relationship Id="rId18" Type="http://schemas.openxmlformats.org/officeDocument/2006/relationships/hyperlink" Target="https://ieep.eu/publications/an-analysis-of-the-new-eu-circular-economy-action-pla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ublications.jrc.ec.europa.eu/repository/bitstream/JRC114814/science_for_policy_report_final_on_line.pdf" TargetMode="External"/><Relationship Id="rId7" Type="http://schemas.openxmlformats.org/officeDocument/2006/relationships/webSettings" Target="webSettings.xml"/><Relationship Id="rId12" Type="http://schemas.openxmlformats.org/officeDocument/2006/relationships/hyperlink" Target="https://doi.org/10.1016/j.resconrec.2019.03.045" TargetMode="External"/><Relationship Id="rId17" Type="http://schemas.openxmlformats.org/officeDocument/2006/relationships/hyperlink" Target="https://doi.org/10.1016/j.rcrx.2019.100028" TargetMode="External"/><Relationship Id="rId25" Type="http://schemas.openxmlformats.org/officeDocument/2006/relationships/hyperlink" Target="https://doi.org/10.1016/j.resconrec.2019.104553" TargetMode="External"/><Relationship Id="rId2" Type="http://schemas.openxmlformats.org/officeDocument/2006/relationships/customXml" Target="../customXml/item2.xml"/><Relationship Id="rId16" Type="http://schemas.openxmlformats.org/officeDocument/2006/relationships/hyperlink" Target="https://doi:10.3390/resources8010032" TargetMode="External"/><Relationship Id="rId20" Type="http://schemas.openxmlformats.org/officeDocument/2006/relationships/hyperlink" Target="https://www.oecd.org/regional/cities/circular-economy-citie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11/jiec.12809" TargetMode="External"/><Relationship Id="rId24" Type="http://schemas.openxmlformats.org/officeDocument/2006/relationships/hyperlink" Target="https://doi.org/10.1016/j.ecolecon.2018.04.028" TargetMode="External"/><Relationship Id="rId5" Type="http://schemas.openxmlformats.org/officeDocument/2006/relationships/styles" Target="styles.xml"/><Relationship Id="rId15" Type="http://schemas.openxmlformats.org/officeDocument/2006/relationships/hyperlink" Target="https://doi.org/10.1016/j.jclepro.2018.10.357" TargetMode="External"/><Relationship Id="rId23" Type="http://schemas.openxmlformats.org/officeDocument/2006/relationships/hyperlink" Target="https://www.researchgate.net/deref/http%3A%2F%2Fdx.doi.org%2F10.13140%2FRG.2.2.12383.48809?_sg%5B0%5D=uS8hpM3sk2fi1_V2ooVwouf0hh733xAGcxBEZSbdJ12ZiZRgAuVqYIukP7ie3sCB2IUeik2UAVHfAgzbI7GNmQ21og.gTlOoNSDrBh87bZlFZKTN4cWb-uNDwY-9R_u0_UbaoFrJYrJFV_z3Xdh4we-2tiZKOawh23Oq4qglwczEtomhQ" TargetMode="External"/><Relationship Id="rId10" Type="http://schemas.openxmlformats.org/officeDocument/2006/relationships/hyperlink" Target="https://ec.europa.eu/environment/ecoap/indicators/circular-economy-indicators_en" TargetMode="External"/><Relationship Id="rId19" Type="http://schemas.openxmlformats.org/officeDocument/2006/relationships/hyperlink" Target="https://www.wbcsd.org/Programs/Circular-Economy/Factor-10/Metrics-Measurement/Resources/Circular-Transition-Indicators-V1.0-Metrics-for-business-by-business" TargetMode="External"/><Relationship Id="rId4" Type="http://schemas.openxmlformats.org/officeDocument/2006/relationships/numbering" Target="numbering.xml"/><Relationship Id="rId9" Type="http://schemas.openxmlformats.org/officeDocument/2006/relationships/hyperlink" Target="https://ec.europa.eu/environment/ecoap/indicators/index_en" TargetMode="External"/><Relationship Id="rId14" Type="http://schemas.openxmlformats.org/officeDocument/2006/relationships/hyperlink" Target="https://ec.europa.eu/eurostat/documents/3859598/7862432/KS-GQ-17-001-EN-N.pdf/3a226be6-efe0-4668-b09f-3dcd20f8ff11" TargetMode="External"/><Relationship Id="rId22" Type="http://schemas.openxmlformats.org/officeDocument/2006/relationships/hyperlink" Target="https://portal.research.lu.se/portal/files/77553169/PhDthesis_LM_web.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6AAB2AB7BA0F42AD270B0AE502A121" ma:contentTypeVersion="10" ma:contentTypeDescription="Een nieuw document maken." ma:contentTypeScope="" ma:versionID="404223fc8c29b40e5465924c1ba0c8eb">
  <xsd:schema xmlns:xsd="http://www.w3.org/2001/XMLSchema" xmlns:xs="http://www.w3.org/2001/XMLSchema" xmlns:p="http://schemas.microsoft.com/office/2006/metadata/properties" xmlns:ns3="5cf2e37b-d2f6-4c54-9c3b-81b2144def0a" targetNamespace="http://schemas.microsoft.com/office/2006/metadata/properties" ma:root="true" ma:fieldsID="8ad677cb33c966c8ab0010e00b4a96f6" ns3:_="">
    <xsd:import namespace="5cf2e37b-d2f6-4c54-9c3b-81b2144def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2e37b-d2f6-4c54-9c3b-81b2144de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8FC7A-5F32-4083-9FAB-8886759D9190}">
  <ds:schemaRefs>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5cf2e37b-d2f6-4c54-9c3b-81b2144def0a"/>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614F29FE-4148-40A0-8439-6F642C86DB69}">
  <ds:schemaRefs>
    <ds:schemaRef ds:uri="http://schemas.microsoft.com/sharepoint/v3/contenttype/forms"/>
  </ds:schemaRefs>
</ds:datastoreItem>
</file>

<file path=customXml/itemProps3.xml><?xml version="1.0" encoding="utf-8"?>
<ds:datastoreItem xmlns:ds="http://schemas.openxmlformats.org/officeDocument/2006/customXml" ds:itemID="{B3B906EC-539B-4910-BEA2-D3F5C3433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2e37b-d2f6-4c54-9c3b-81b2144de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3282</Words>
  <Characters>18709</Characters>
  <Application>Microsoft Office Word</Application>
  <DocSecurity>4</DocSecurity>
  <Lines>155</Lines>
  <Paragraphs>43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VITO</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Nelen Dirk</dc:creator>
  <cp:keywords/>
  <dc:description/>
  <cp:lastModifiedBy>Geerken Theo</cp:lastModifiedBy>
  <cp:revision>2</cp:revision>
  <dcterms:created xsi:type="dcterms:W3CDTF">2020-10-26T09:06:00Z</dcterms:created>
  <dcterms:modified xsi:type="dcterms:W3CDTF">2020-10-26T09:06:00Z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0x010100A96AAB2AB7BA0F42AD270B0AE502A121</vt:lpwstr>
  </property>
</Properties>
</file>