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F5DEE" w14:textId="77777777" w:rsidR="009F7FCE" w:rsidRDefault="00B75AC4" w:rsidP="009F7FCE">
      <w:pPr>
        <w:pStyle w:val="Heading2"/>
        <w:rPr>
          <w:bCs/>
          <w:lang w:val="en-GB"/>
        </w:rPr>
      </w:pPr>
      <w:r>
        <w:rPr>
          <w:bCs/>
          <w:lang w:val="en-GB"/>
        </w:rPr>
        <w:t>Draft indicator factsheet</w:t>
      </w:r>
      <w:r w:rsidR="00BB0046" w:rsidRPr="00BB0046">
        <w:rPr>
          <w:bCs/>
          <w:lang w:val="en-GB"/>
        </w:rPr>
        <w:t xml:space="preserve"> </w:t>
      </w:r>
      <w:r w:rsidR="00A558E2">
        <w:rPr>
          <w:bCs/>
          <w:lang w:val="en-GB"/>
        </w:rPr>
        <w:t>D5-open waters</w:t>
      </w:r>
    </w:p>
    <w:p w14:paraId="042338C7" w14:textId="77777777" w:rsidR="009F7FCE" w:rsidRDefault="009F7FCE" w:rsidP="009F7FCE">
      <w:pPr>
        <w:rPr>
          <w:lang w:val="en-GB"/>
        </w:rPr>
      </w:pPr>
    </w:p>
    <w:p w14:paraId="5645CF15" w14:textId="77777777" w:rsidR="009F7FCE" w:rsidRPr="00EC7A97" w:rsidRDefault="009F7FCE" w:rsidP="009F7FCE">
      <w:pPr>
        <w:rPr>
          <w:b/>
          <w:lang w:val="en-GB"/>
        </w:rPr>
      </w:pPr>
      <w:r w:rsidRPr="00EC7A97">
        <w:rPr>
          <w:b/>
          <w:lang w:val="en-GB"/>
        </w:rPr>
        <w:t>SUMMARY INFORMATION</w:t>
      </w:r>
      <w:r>
        <w:rPr>
          <w:b/>
          <w:lang w:val="en-GB"/>
        </w:rPr>
        <w:t xml:space="preserve"> </w:t>
      </w:r>
    </w:p>
    <w:p w14:paraId="4F263996" w14:textId="77777777" w:rsidR="009F7FCE" w:rsidRPr="00FB0FF6" w:rsidRDefault="009F7FCE" w:rsidP="009F7FCE">
      <w:pPr>
        <w:rPr>
          <w:lang w:val="en-GB"/>
        </w:rPr>
      </w:pPr>
    </w:p>
    <w:p w14:paraId="087C0AFC" w14:textId="34F1EE14" w:rsidR="00A558E2" w:rsidRPr="00A558E2" w:rsidRDefault="009F7FCE" w:rsidP="00A558E2">
      <w:pPr>
        <w:pStyle w:val="Default"/>
        <w:rPr>
          <w:sz w:val="22"/>
          <w:szCs w:val="22"/>
          <w:lang w:val="en-GB"/>
        </w:rPr>
      </w:pPr>
      <w:r w:rsidRPr="00A558E2">
        <w:rPr>
          <w:b/>
          <w:lang w:val="en-GB"/>
        </w:rPr>
        <w:t>Indicator name</w:t>
      </w:r>
      <w:r w:rsidR="00B75AC4" w:rsidRPr="00A558E2">
        <w:rPr>
          <w:lang w:val="en-GB"/>
        </w:rPr>
        <w:t xml:space="preserve">: </w:t>
      </w:r>
      <w:r w:rsidR="00A558E2" w:rsidRPr="00A558E2">
        <w:rPr>
          <w:bCs/>
          <w:lang w:val="en-GB"/>
        </w:rPr>
        <w:t xml:space="preserve">D5-open waters </w:t>
      </w:r>
      <w:r w:rsidR="00A558E2" w:rsidRPr="00A558E2">
        <w:rPr>
          <w:lang w:val="en-GB"/>
        </w:rPr>
        <w:t xml:space="preserve">incorporating assessments for D5C1 </w:t>
      </w:r>
      <w:r w:rsidR="00A558E2">
        <w:rPr>
          <w:sz w:val="22"/>
          <w:szCs w:val="22"/>
          <w:lang w:val="en-GB"/>
        </w:rPr>
        <w:t xml:space="preserve">Nutrient concentrations, </w:t>
      </w:r>
      <w:r w:rsidR="00E30E30">
        <w:rPr>
          <w:lang w:val="en-GB"/>
        </w:rPr>
        <w:t>D5C2</w:t>
      </w:r>
      <w:r w:rsidR="00A558E2">
        <w:rPr>
          <w:lang w:val="en-GB"/>
        </w:rPr>
        <w:t xml:space="preserve"> - </w:t>
      </w:r>
      <w:r w:rsidR="00A558E2" w:rsidRPr="00A558E2">
        <w:rPr>
          <w:sz w:val="22"/>
          <w:szCs w:val="22"/>
          <w:lang w:val="en-GB"/>
        </w:rPr>
        <w:t>Ch</w:t>
      </w:r>
      <w:r w:rsidR="00A558E2">
        <w:rPr>
          <w:sz w:val="22"/>
          <w:szCs w:val="22"/>
          <w:lang w:val="en-GB"/>
        </w:rPr>
        <w:t xml:space="preserve">lorophyll a in the water column and D5C5- </w:t>
      </w:r>
      <w:r w:rsidR="00A558E2" w:rsidRPr="00A558E2">
        <w:rPr>
          <w:sz w:val="22"/>
          <w:szCs w:val="22"/>
          <w:lang w:val="en-GB"/>
        </w:rPr>
        <w:t xml:space="preserve">Dissolved oxygen in the bottom of the water column </w:t>
      </w:r>
    </w:p>
    <w:p w14:paraId="19BE10B5" w14:textId="77777777" w:rsidR="00A558E2" w:rsidRPr="00A558E2" w:rsidRDefault="00A558E2" w:rsidP="00A558E2">
      <w:pPr>
        <w:pStyle w:val="ListBullet"/>
        <w:numPr>
          <w:ilvl w:val="0"/>
          <w:numId w:val="0"/>
        </w:numPr>
        <w:ind w:left="360" w:hanging="360"/>
        <w:rPr>
          <w:b/>
          <w:lang w:val="en-GB"/>
        </w:rPr>
      </w:pPr>
    </w:p>
    <w:p w14:paraId="2B93BB35" w14:textId="77777777" w:rsidR="009F7FCE" w:rsidRPr="00A558E2" w:rsidRDefault="009F7FCE" w:rsidP="00A558E2">
      <w:pPr>
        <w:pStyle w:val="ListBullet"/>
        <w:rPr>
          <w:i/>
          <w:lang w:val="en-GB"/>
        </w:rPr>
      </w:pPr>
      <w:r w:rsidRPr="00A558E2">
        <w:rPr>
          <w:b/>
          <w:lang w:val="en-GB"/>
        </w:rPr>
        <w:t>Indicator summary</w:t>
      </w:r>
      <w:r w:rsidR="008F0803" w:rsidRPr="00A558E2">
        <w:rPr>
          <w:b/>
          <w:lang w:val="en-GB"/>
        </w:rPr>
        <w:t>:</w:t>
      </w:r>
      <w:r w:rsidRPr="00A558E2">
        <w:rPr>
          <w:lang w:val="en-GB"/>
        </w:rPr>
        <w:t xml:space="preserve"> </w:t>
      </w:r>
      <w:r w:rsidR="00A558E2" w:rsidRPr="00A558E2">
        <w:rPr>
          <w:lang w:val="en-GB"/>
        </w:rPr>
        <w:t xml:space="preserve">The indicator fact sheet presents results from the cruise done in the frame of the MISIS project in the Western Black Sea on a sampling network consisted of three transects: Romania, Bulgaria, Turkey and one </w:t>
      </w:r>
      <w:proofErr w:type="spellStart"/>
      <w:r w:rsidR="00A558E2" w:rsidRPr="00A558E2">
        <w:rPr>
          <w:lang w:val="en-GB"/>
        </w:rPr>
        <w:t>intercalibration</w:t>
      </w:r>
      <w:proofErr w:type="spellEnd"/>
      <w:r w:rsidR="00A558E2" w:rsidRPr="00A558E2">
        <w:rPr>
          <w:lang w:val="en-GB"/>
        </w:rPr>
        <w:t xml:space="preserve"> station, covering shelf, and open waters. Based on the data collected in the cruise, on the reference values and acceptable deviations of these parameters (specific for each country) it was tested the integrative tool for eutrophication assessment proposed by the Black Sea Commission through the Baltic2Black project, BEAST (Black Sea Eutrophication </w:t>
      </w:r>
      <w:proofErr w:type="spellStart"/>
      <w:r w:rsidR="00A558E2" w:rsidRPr="00A558E2">
        <w:rPr>
          <w:lang w:val="en-GB"/>
        </w:rPr>
        <w:t>ASsessment</w:t>
      </w:r>
      <w:proofErr w:type="spellEnd"/>
      <w:r w:rsidR="00A558E2" w:rsidRPr="00A558E2">
        <w:rPr>
          <w:lang w:val="en-GB"/>
        </w:rPr>
        <w:t xml:space="preserve"> Tool). Based on the BEAST results the eutrophication status of the Western Black Sea in summer 2013 was High-Good for open waters and Poor – High for shelf waters. The only one “poor” status responsible for not achieving the Good Ecological Status was the shelf station from Romanian transect where the phosphate and silicate concentrations were highest. Due to no correlation of BEAST with salinity (interpreted as no influence of the river discharge) and in absence of any other quantified anthropogenic influences it is to note that the poor eutrophication status was mainly influenced by the currents and winds regime and the water mixing phaenomena</w:t>
      </w:r>
      <w:r w:rsidR="00A558E2">
        <w:rPr>
          <w:lang w:val="en-GB"/>
        </w:rPr>
        <w:t xml:space="preserve"> (Lazar, et al, 2015)</w:t>
      </w:r>
      <w:r w:rsidR="00A558E2" w:rsidRPr="00A558E2">
        <w:rPr>
          <w:lang w:val="en-GB"/>
        </w:rPr>
        <w:t>.</w:t>
      </w:r>
    </w:p>
    <w:p w14:paraId="5D81B6B8" w14:textId="77777777" w:rsidR="00504944" w:rsidRPr="00504944" w:rsidRDefault="009F7FCE" w:rsidP="00504944">
      <w:pPr>
        <w:pStyle w:val="ListBullet"/>
        <w:rPr>
          <w:lang w:val="en-US"/>
        </w:rPr>
      </w:pPr>
      <w:r w:rsidRPr="008B63AF">
        <w:rPr>
          <w:b/>
          <w:lang w:val="en-GB"/>
        </w:rPr>
        <w:t>Background/relevance</w:t>
      </w:r>
      <w:r w:rsidR="008F0803">
        <w:rPr>
          <w:b/>
          <w:lang w:val="en-GB"/>
        </w:rPr>
        <w:t>:</w:t>
      </w:r>
      <w:r>
        <w:rPr>
          <w:lang w:val="en-GB"/>
        </w:rPr>
        <w:t xml:space="preserve"> </w:t>
      </w:r>
      <w:r w:rsidR="00504944" w:rsidRPr="00504944">
        <w:t xml:space="preserve">Eutrophication </w:t>
      </w:r>
      <w:proofErr w:type="spellStart"/>
      <w:r w:rsidR="00504944" w:rsidRPr="00504944">
        <w:t>is</w:t>
      </w:r>
      <w:proofErr w:type="spellEnd"/>
      <w:r w:rsidR="00504944" w:rsidRPr="00504944">
        <w:t xml:space="preserve"> </w:t>
      </w:r>
      <w:proofErr w:type="spellStart"/>
      <w:r w:rsidR="00504944" w:rsidRPr="00504944">
        <w:t>caused</w:t>
      </w:r>
      <w:proofErr w:type="spellEnd"/>
      <w:r w:rsidR="00504944" w:rsidRPr="00504944">
        <w:t xml:space="preserve"> by excessive inputs of </w:t>
      </w:r>
      <w:proofErr w:type="spellStart"/>
      <w:r w:rsidR="00504944" w:rsidRPr="00504944">
        <w:t>nutrients</w:t>
      </w:r>
      <w:proofErr w:type="spellEnd"/>
      <w:r w:rsidR="00504944" w:rsidRPr="00504944">
        <w:t xml:space="preserve"> (</w:t>
      </w:r>
      <w:proofErr w:type="spellStart"/>
      <w:r w:rsidR="00504944" w:rsidRPr="00504944">
        <w:t>nitrogen</w:t>
      </w:r>
      <w:proofErr w:type="spellEnd"/>
      <w:r w:rsidR="00504944" w:rsidRPr="00504944">
        <w:t xml:space="preserve"> and </w:t>
      </w:r>
      <w:proofErr w:type="spellStart"/>
      <w:r w:rsidR="00504944" w:rsidRPr="00504944">
        <w:t>phosphorus</w:t>
      </w:r>
      <w:proofErr w:type="spellEnd"/>
      <w:r w:rsidR="00504944" w:rsidRPr="00504944">
        <w:t xml:space="preserve">) </w:t>
      </w:r>
      <w:proofErr w:type="spellStart"/>
      <w:r w:rsidR="00504944" w:rsidRPr="00504944">
        <w:t>resulting</w:t>
      </w:r>
      <w:proofErr w:type="spellEnd"/>
      <w:r w:rsidR="00504944" w:rsidRPr="00504944">
        <w:t xml:space="preserve"> </w:t>
      </w:r>
      <w:proofErr w:type="spellStart"/>
      <w:r w:rsidR="00504944" w:rsidRPr="00504944">
        <w:t>from</w:t>
      </w:r>
      <w:proofErr w:type="spellEnd"/>
      <w:r w:rsidR="00504944" w:rsidRPr="00504944">
        <w:t xml:space="preserve"> </w:t>
      </w:r>
      <w:proofErr w:type="spellStart"/>
      <w:r w:rsidR="00504944" w:rsidRPr="00504944">
        <w:t>various</w:t>
      </w:r>
      <w:proofErr w:type="spellEnd"/>
      <w:r w:rsidR="00504944" w:rsidRPr="00504944">
        <w:t xml:space="preserve"> </w:t>
      </w:r>
      <w:proofErr w:type="spellStart"/>
      <w:r w:rsidR="00504944" w:rsidRPr="00504944">
        <w:t>human</w:t>
      </w:r>
      <w:proofErr w:type="spellEnd"/>
      <w:r w:rsidR="00504944" w:rsidRPr="00504944">
        <w:t xml:space="preserve"> </w:t>
      </w:r>
      <w:proofErr w:type="spellStart"/>
      <w:r w:rsidR="00504944" w:rsidRPr="00504944">
        <w:t>activities</w:t>
      </w:r>
      <w:proofErr w:type="spellEnd"/>
      <w:r w:rsidR="00504944" w:rsidRPr="00504944">
        <w:t xml:space="preserve">. High concentrations of </w:t>
      </w:r>
      <w:proofErr w:type="spellStart"/>
      <w:r w:rsidR="00504944" w:rsidRPr="00504944">
        <w:t>nutrients</w:t>
      </w:r>
      <w:proofErr w:type="spellEnd"/>
      <w:r w:rsidR="00504944" w:rsidRPr="00504944">
        <w:t xml:space="preserve"> and </w:t>
      </w:r>
      <w:proofErr w:type="spellStart"/>
      <w:r w:rsidR="00504944" w:rsidRPr="00504944">
        <w:t>their</w:t>
      </w:r>
      <w:proofErr w:type="spellEnd"/>
      <w:r w:rsidR="00504944" w:rsidRPr="00504944">
        <w:t xml:space="preserve"> ratios </w:t>
      </w:r>
      <w:proofErr w:type="spellStart"/>
      <w:r w:rsidR="00504944" w:rsidRPr="00504944">
        <w:t>form</w:t>
      </w:r>
      <w:proofErr w:type="spellEnd"/>
      <w:r w:rsidR="00504944" w:rsidRPr="00504944">
        <w:t xml:space="preserve"> the </w:t>
      </w:r>
      <w:proofErr w:type="spellStart"/>
      <w:r w:rsidR="00504944" w:rsidRPr="00504944">
        <w:t>preconditions</w:t>
      </w:r>
      <w:proofErr w:type="spellEnd"/>
      <w:r w:rsidR="00504944" w:rsidRPr="00504944">
        <w:t xml:space="preserve"> for </w:t>
      </w:r>
      <w:proofErr w:type="spellStart"/>
      <w:r w:rsidR="00504944" w:rsidRPr="00504944">
        <w:t>huge</w:t>
      </w:r>
      <w:proofErr w:type="spellEnd"/>
      <w:r w:rsidR="00504944" w:rsidRPr="00504944">
        <w:t xml:space="preserve"> algal blooms, </w:t>
      </w:r>
      <w:proofErr w:type="spellStart"/>
      <w:r w:rsidR="00504944" w:rsidRPr="00504944">
        <w:t>reduced</w:t>
      </w:r>
      <w:proofErr w:type="spellEnd"/>
      <w:r w:rsidR="00504944" w:rsidRPr="00504944">
        <w:t xml:space="preserve"> water </w:t>
      </w:r>
      <w:proofErr w:type="spellStart"/>
      <w:r w:rsidR="00504944" w:rsidRPr="00504944">
        <w:t>clarity</w:t>
      </w:r>
      <w:proofErr w:type="spellEnd"/>
      <w:r w:rsidR="00504944" w:rsidRPr="00504944">
        <w:t xml:space="preserve"> and </w:t>
      </w:r>
      <w:proofErr w:type="spellStart"/>
      <w:r w:rsidR="00504944" w:rsidRPr="00504944">
        <w:t>increased</w:t>
      </w:r>
      <w:proofErr w:type="spellEnd"/>
      <w:r w:rsidR="00504944" w:rsidRPr="00504944">
        <w:t xml:space="preserve"> </w:t>
      </w:r>
      <w:proofErr w:type="spellStart"/>
      <w:r w:rsidR="00504944" w:rsidRPr="00504944">
        <w:t>oxygen</w:t>
      </w:r>
      <w:proofErr w:type="spellEnd"/>
      <w:r w:rsidR="00504944" w:rsidRPr="00504944">
        <w:t xml:space="preserve"> </w:t>
      </w:r>
      <w:proofErr w:type="spellStart"/>
      <w:r w:rsidR="00504944" w:rsidRPr="00504944">
        <w:t>consumption</w:t>
      </w:r>
      <w:proofErr w:type="spellEnd"/>
      <w:r w:rsidR="00504944" w:rsidRPr="00504944">
        <w:t xml:space="preserve">. Long </w:t>
      </w:r>
      <w:proofErr w:type="spellStart"/>
      <w:r w:rsidR="00504944" w:rsidRPr="00504944">
        <w:t>term</w:t>
      </w:r>
      <w:proofErr w:type="spellEnd"/>
      <w:r w:rsidR="00504944" w:rsidRPr="00504944">
        <w:t xml:space="preserve"> </w:t>
      </w:r>
      <w:proofErr w:type="spellStart"/>
      <w:r w:rsidR="00504944" w:rsidRPr="00504944">
        <w:t>nutrient</w:t>
      </w:r>
      <w:proofErr w:type="spellEnd"/>
      <w:r w:rsidR="00504944" w:rsidRPr="00504944">
        <w:t xml:space="preserve"> data are key </w:t>
      </w:r>
      <w:proofErr w:type="spellStart"/>
      <w:r w:rsidR="00504944" w:rsidRPr="00504944">
        <w:t>parameters</w:t>
      </w:r>
      <w:proofErr w:type="spellEnd"/>
      <w:r w:rsidR="00504944" w:rsidRPr="00504944">
        <w:t xml:space="preserve"> for </w:t>
      </w:r>
      <w:proofErr w:type="spellStart"/>
      <w:r w:rsidR="00504944" w:rsidRPr="00504944">
        <w:t>quantifying</w:t>
      </w:r>
      <w:proofErr w:type="spellEnd"/>
      <w:r w:rsidR="00504944" w:rsidRPr="00504944">
        <w:t xml:space="preserve"> the </w:t>
      </w:r>
      <w:proofErr w:type="spellStart"/>
      <w:r w:rsidR="00504944" w:rsidRPr="00504944">
        <w:t>effects</w:t>
      </w:r>
      <w:proofErr w:type="spellEnd"/>
      <w:r w:rsidR="00504944" w:rsidRPr="00504944">
        <w:t xml:space="preserve"> of </w:t>
      </w:r>
      <w:proofErr w:type="spellStart"/>
      <w:r w:rsidR="00504944" w:rsidRPr="00504944">
        <w:t>human</w:t>
      </w:r>
      <w:proofErr w:type="spellEnd"/>
      <w:r w:rsidR="00504944" w:rsidRPr="00504944">
        <w:t xml:space="preserve"> </w:t>
      </w:r>
      <w:proofErr w:type="spellStart"/>
      <w:r w:rsidR="00504944" w:rsidRPr="00504944">
        <w:t>activities</w:t>
      </w:r>
      <w:proofErr w:type="spellEnd"/>
      <w:r w:rsidR="00504944" w:rsidRPr="00504944">
        <w:t xml:space="preserve"> and </w:t>
      </w:r>
      <w:proofErr w:type="spellStart"/>
      <w:r w:rsidR="00504944" w:rsidRPr="00504944">
        <w:t>evaluating</w:t>
      </w:r>
      <w:proofErr w:type="spellEnd"/>
      <w:r w:rsidR="00504944" w:rsidRPr="00504944">
        <w:t xml:space="preserve"> the </w:t>
      </w:r>
      <w:proofErr w:type="spellStart"/>
      <w:r w:rsidR="00504944" w:rsidRPr="00504944">
        <w:t>success</w:t>
      </w:r>
      <w:proofErr w:type="spellEnd"/>
      <w:r w:rsidR="00504944" w:rsidRPr="00504944">
        <w:t xml:space="preserve"> of </w:t>
      </w:r>
      <w:proofErr w:type="spellStart"/>
      <w:r w:rsidR="00504944" w:rsidRPr="00504944">
        <w:t>measures</w:t>
      </w:r>
      <w:proofErr w:type="spellEnd"/>
      <w:r w:rsidR="00504944" w:rsidRPr="00504944">
        <w:t xml:space="preserve"> </w:t>
      </w:r>
      <w:proofErr w:type="spellStart"/>
      <w:r w:rsidR="00504944" w:rsidRPr="00504944">
        <w:t>undertaken</w:t>
      </w:r>
      <w:proofErr w:type="spellEnd"/>
      <w:r w:rsidR="00504944" w:rsidRPr="00504944">
        <w:t>.</w:t>
      </w:r>
      <w:r w:rsidR="00504944" w:rsidRPr="00504944">
        <w:rPr>
          <w:lang w:val="en-GB"/>
        </w:rPr>
        <w:t xml:space="preserve"> </w:t>
      </w:r>
    </w:p>
    <w:p w14:paraId="544BA236" w14:textId="77777777" w:rsidR="009F7FCE" w:rsidRDefault="009F7FCE" w:rsidP="009F7FCE">
      <w:pPr>
        <w:pStyle w:val="ListBullet"/>
        <w:rPr>
          <w:lang w:val="en-GB"/>
        </w:rPr>
      </w:pPr>
      <w:r w:rsidRPr="008B63AF">
        <w:rPr>
          <w:b/>
          <w:lang w:val="en-GB"/>
        </w:rPr>
        <w:t>Relevant criteri</w:t>
      </w:r>
      <w:r>
        <w:rPr>
          <w:b/>
          <w:lang w:val="en-GB"/>
        </w:rPr>
        <w:t>on/a</w:t>
      </w:r>
      <w:r w:rsidR="00B75AC4">
        <w:rPr>
          <w:lang w:val="en-GB"/>
        </w:rPr>
        <w:t xml:space="preserve">: </w:t>
      </w:r>
      <w:r w:rsidR="00CD5EEE" w:rsidRPr="000D6A4B">
        <w:rPr>
          <w:lang w:val="en-GB"/>
        </w:rPr>
        <w:t>D5C1</w:t>
      </w:r>
      <w:r w:rsidR="00A558E2">
        <w:rPr>
          <w:lang w:val="en-GB"/>
        </w:rPr>
        <w:t>, D5C2, D5C5</w:t>
      </w:r>
    </w:p>
    <w:p w14:paraId="749AC4A3" w14:textId="77777777" w:rsidR="009F7FCE" w:rsidRDefault="009F7FCE" w:rsidP="009F7FCE">
      <w:pPr>
        <w:rPr>
          <w:lang w:val="en-GB"/>
        </w:rPr>
      </w:pPr>
    </w:p>
    <w:p w14:paraId="707684F1" w14:textId="77777777" w:rsidR="009F7FCE" w:rsidRPr="00EC7A97" w:rsidRDefault="009F7FCE" w:rsidP="009F7FCE">
      <w:pPr>
        <w:rPr>
          <w:b/>
          <w:lang w:val="en-GB"/>
        </w:rPr>
      </w:pPr>
      <w:r w:rsidRPr="00EC7A97">
        <w:rPr>
          <w:b/>
          <w:lang w:val="en-GB"/>
        </w:rPr>
        <w:t>MAIN ASSESSMENT</w:t>
      </w:r>
    </w:p>
    <w:p w14:paraId="0DD708C4" w14:textId="77777777" w:rsidR="009F7FCE" w:rsidRDefault="009F7FCE" w:rsidP="009F7FCE">
      <w:pPr>
        <w:rPr>
          <w:lang w:val="en-GB"/>
        </w:rPr>
      </w:pPr>
    </w:p>
    <w:p w14:paraId="0D77FA62" w14:textId="77777777" w:rsidR="005E33A7" w:rsidRPr="005E33A7" w:rsidRDefault="008F0803" w:rsidP="005E33A7">
      <w:pPr>
        <w:pStyle w:val="ListBullet"/>
        <w:rPr>
          <w:lang w:val="en-GB"/>
        </w:rPr>
      </w:pPr>
      <w:r w:rsidRPr="005E33A7">
        <w:rPr>
          <w:b/>
          <w:lang w:val="en-GB"/>
        </w:rPr>
        <w:t xml:space="preserve">Status and trends: </w:t>
      </w:r>
      <w:r w:rsidR="005E33A7" w:rsidRPr="005E33A7">
        <w:rPr>
          <w:lang w:val="en-GB"/>
        </w:rPr>
        <w:t xml:space="preserve">A core set indicators was chosen for the eutrophication assessment of the western Black Sea in respect with the descriptor’s 5 criteria, the </w:t>
      </w:r>
      <w:proofErr w:type="spellStart"/>
      <w:r w:rsidR="005E33A7" w:rsidRPr="005E33A7">
        <w:rPr>
          <w:lang w:val="en-GB"/>
        </w:rPr>
        <w:t>intercalibration</w:t>
      </w:r>
      <w:proofErr w:type="spellEnd"/>
      <w:r w:rsidR="005E33A7" w:rsidRPr="005E33A7">
        <w:rPr>
          <w:lang w:val="en-GB"/>
        </w:rPr>
        <w:t xml:space="preserve"> exercise and BEAST requirements –nutrients levels – concentrations of phosphate and nitrogen oxidised forms; chlorophyll a concentrations and bottom dissolved oxygen saturation only for the stations with depths up to 65m (Winkler method, </w:t>
      </w:r>
      <w:proofErr w:type="spellStart"/>
      <w:r w:rsidR="005E33A7" w:rsidRPr="005E33A7">
        <w:rPr>
          <w:lang w:val="en-GB"/>
        </w:rPr>
        <w:t>onboard</w:t>
      </w:r>
      <w:proofErr w:type="spellEnd"/>
      <w:r w:rsidR="005E33A7" w:rsidRPr="005E33A7">
        <w:rPr>
          <w:lang w:val="en-GB"/>
        </w:rPr>
        <w:t xml:space="preserve">). The samples were analysed in each country laboratory (Bulgaria – IO-BAS, Romania - NIMRD and Turkey – TUBITAK) and despite some differences in terms of methodological aspects, the results of the </w:t>
      </w:r>
      <w:proofErr w:type="spellStart"/>
      <w:r w:rsidR="005E33A7" w:rsidRPr="005E33A7">
        <w:rPr>
          <w:lang w:val="en-GB"/>
        </w:rPr>
        <w:t>intercalibration</w:t>
      </w:r>
      <w:proofErr w:type="spellEnd"/>
      <w:r w:rsidR="005E33A7" w:rsidRPr="005E33A7">
        <w:rPr>
          <w:lang w:val="en-GB"/>
        </w:rPr>
        <w:t xml:space="preserve"> exercise between the cruise participants showed generally satisfactory agreements for nutrients and chlorophyll a</w:t>
      </w:r>
    </w:p>
    <w:p w14:paraId="4ECD3766" w14:textId="77777777" w:rsidR="008F0803" w:rsidRPr="005E33A7" w:rsidRDefault="005E33A7" w:rsidP="005E33A7">
      <w:pPr>
        <w:pStyle w:val="ListBullet"/>
        <w:numPr>
          <w:ilvl w:val="0"/>
          <w:numId w:val="0"/>
        </w:numPr>
        <w:ind w:left="360"/>
        <w:rPr>
          <w:lang w:val="en-GB"/>
        </w:rPr>
      </w:pPr>
      <w:r w:rsidRPr="005E33A7">
        <w:rPr>
          <w:lang w:val="en-GB"/>
        </w:rPr>
        <w:t>Measurements</w:t>
      </w:r>
      <w:r>
        <w:rPr>
          <w:lang w:val="en-GB"/>
        </w:rPr>
        <w:t xml:space="preserve">. </w:t>
      </w:r>
    </w:p>
    <w:p w14:paraId="31D32DEE" w14:textId="01F5B71F" w:rsidR="008F0803" w:rsidRPr="005E33A7" w:rsidRDefault="005E33A7" w:rsidP="005E33A7">
      <w:pPr>
        <w:pStyle w:val="ListBullet"/>
        <w:numPr>
          <w:ilvl w:val="0"/>
          <w:numId w:val="0"/>
        </w:numPr>
        <w:ind w:left="360"/>
        <w:rPr>
          <w:lang w:val="en-GB"/>
        </w:rPr>
      </w:pPr>
      <w:r w:rsidRPr="005E33A7">
        <w:rPr>
          <w:lang w:val="en-GB"/>
        </w:rPr>
        <w:t xml:space="preserve">Based on the data achieved for surface concentrations, on the reference values and acceptable deviations of the parameters (specific for each country) the BEAST tool was applied. BEAST categories are divided into three criteria: C1 - causes of eutrophication, C2 - direct effects and C3 - indirect effects indicating the main cause-effect relationships in the eutrophication process12. Each criterion could have a set of indicators (based on availability and expert choice). The result of each indicator status is done by </w:t>
      </w:r>
      <w:proofErr w:type="spellStart"/>
      <w:r w:rsidRPr="005E33A7">
        <w:rPr>
          <w:lang w:val="en-GB"/>
        </w:rPr>
        <w:t>EUT_Ratio</w:t>
      </w:r>
      <w:proofErr w:type="spellEnd"/>
      <w:r w:rsidRPr="005E33A7">
        <w:rPr>
          <w:lang w:val="en-GB"/>
        </w:rPr>
        <w:t xml:space="preserve"> and it is included,</w:t>
      </w:r>
      <w:r>
        <w:rPr>
          <w:lang w:val="en-GB"/>
        </w:rPr>
        <w:t xml:space="preserve"> </w:t>
      </w:r>
      <w:r w:rsidRPr="005E33A7">
        <w:rPr>
          <w:lang w:val="en-GB"/>
        </w:rPr>
        <w:t xml:space="preserve">according to its own weight (chose by expert), into a qualitative response: high, good, moderate, poor and bad. Within the categories, BEAST is averaging the parameters or taking a weighted mean (according to the significance of the parameter or the data quality) while, between the categories, the One-Out-All-Out-principle (OOAO) is applied (the worst assessment of a quality element determines the overall assessment result). The result is another qualitative response, the “Final eutrophication status”: high, good, moderate, poor </w:t>
      </w:r>
      <w:bookmarkStart w:id="0" w:name="_GoBack"/>
      <w:r w:rsidRPr="005E33A7">
        <w:rPr>
          <w:lang w:val="en-GB"/>
        </w:rPr>
        <w:t>and bad.</w:t>
      </w:r>
      <w:r>
        <w:rPr>
          <w:lang w:val="en-GB"/>
        </w:rPr>
        <w:t xml:space="preserve"> </w:t>
      </w:r>
      <w:r w:rsidR="001B17AA" w:rsidRPr="001B17AA">
        <w:rPr>
          <w:lang w:val="en-GB"/>
        </w:rPr>
        <w:t xml:space="preserve">For shelf and open water only one water body out of ten is in poor status. All others are either good or high. </w:t>
      </w:r>
      <w:r>
        <w:rPr>
          <w:lang w:val="en-GB"/>
        </w:rPr>
        <w:t xml:space="preserve">The final results are shown in the table below: </w:t>
      </w:r>
    </w:p>
    <w:bookmarkEnd w:id="0"/>
    <w:p w14:paraId="0D95D031" w14:textId="77777777" w:rsidR="008F0803" w:rsidRDefault="008F0803" w:rsidP="008F0803">
      <w:pPr>
        <w:pStyle w:val="ListBullet"/>
        <w:numPr>
          <w:ilvl w:val="0"/>
          <w:numId w:val="0"/>
        </w:numPr>
        <w:ind w:left="360"/>
        <w:rPr>
          <w:lang w:val="en-GB"/>
        </w:rPr>
      </w:pPr>
    </w:p>
    <w:p w14:paraId="47609B47" w14:textId="77777777" w:rsidR="008F0803" w:rsidRDefault="008F0803" w:rsidP="008F0803">
      <w:pPr>
        <w:pStyle w:val="ListBullet"/>
        <w:rPr>
          <w:lang w:val="en-GB"/>
        </w:rPr>
      </w:pPr>
      <w:r w:rsidRPr="00DE49F2">
        <w:rPr>
          <w:b/>
          <w:lang w:val="en-GB"/>
        </w:rPr>
        <w:lastRenderedPageBreak/>
        <w:t>Map</w:t>
      </w:r>
      <w:r>
        <w:rPr>
          <w:lang w:val="en-GB"/>
        </w:rPr>
        <w:t>:</w:t>
      </w:r>
    </w:p>
    <w:p w14:paraId="6031C477" w14:textId="77777777" w:rsidR="005E33A7" w:rsidRDefault="005E33A7" w:rsidP="005E33A7">
      <w:pPr>
        <w:pStyle w:val="ListBullet"/>
        <w:numPr>
          <w:ilvl w:val="0"/>
          <w:numId w:val="0"/>
        </w:numPr>
        <w:ind w:left="360"/>
        <w:rPr>
          <w:lang w:val="en-GB"/>
        </w:rPr>
      </w:pPr>
      <w:r w:rsidRPr="005E33A7">
        <w:rPr>
          <w:noProof/>
          <w:lang w:val="de-AT" w:eastAsia="de-AT"/>
        </w:rPr>
        <w:drawing>
          <wp:inline distT="0" distB="0" distL="0" distR="0" wp14:anchorId="207DD7B2" wp14:editId="16C886C2">
            <wp:extent cx="5760720" cy="2595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595929"/>
                    </a:xfrm>
                    <a:prstGeom prst="rect">
                      <a:avLst/>
                    </a:prstGeom>
                    <a:noFill/>
                    <a:ln>
                      <a:noFill/>
                    </a:ln>
                  </pic:spPr>
                </pic:pic>
              </a:graphicData>
            </a:graphic>
          </wp:inline>
        </w:drawing>
      </w:r>
    </w:p>
    <w:p w14:paraId="704AE29E" w14:textId="77777777" w:rsidR="005E33A7" w:rsidRDefault="005E33A7" w:rsidP="005E33A7">
      <w:pPr>
        <w:pStyle w:val="ListBullet"/>
        <w:numPr>
          <w:ilvl w:val="0"/>
          <w:numId w:val="0"/>
        </w:numPr>
        <w:ind w:left="360"/>
        <w:rPr>
          <w:rFonts w:ascii="TimesNewRomanPSMT" w:eastAsiaTheme="minorHAnsi" w:hAnsi="TimesNewRomanPSMT" w:cs="TimesNewRomanPSMT"/>
          <w:sz w:val="24"/>
          <w:lang w:val="en-GB" w:eastAsia="en-US"/>
        </w:rPr>
      </w:pPr>
      <w:r w:rsidRPr="005E33A7">
        <w:rPr>
          <w:rFonts w:ascii="TimesNewRomanPSMT" w:eastAsiaTheme="minorHAnsi" w:hAnsi="TimesNewRomanPSMT" w:cs="TimesNewRomanPSMT"/>
          <w:sz w:val="24"/>
          <w:lang w:val="en-GB" w:eastAsia="en-US"/>
        </w:rPr>
        <w:t>Map of network stations – MISIS Joint Survey, July 2013</w:t>
      </w:r>
    </w:p>
    <w:p w14:paraId="03E4BBFE" w14:textId="77777777" w:rsidR="005E33A7" w:rsidRPr="005E33A7" w:rsidRDefault="005E33A7" w:rsidP="005E33A7">
      <w:pPr>
        <w:pStyle w:val="ListBullet"/>
        <w:numPr>
          <w:ilvl w:val="0"/>
          <w:numId w:val="0"/>
        </w:numPr>
        <w:ind w:left="360"/>
        <w:rPr>
          <w:lang w:val="en-GB"/>
        </w:rPr>
      </w:pPr>
    </w:p>
    <w:p w14:paraId="790CA4A9" w14:textId="77777777" w:rsidR="008F0803" w:rsidRDefault="008F0803" w:rsidP="008F0803">
      <w:pPr>
        <w:pStyle w:val="ListBullet"/>
        <w:rPr>
          <w:lang w:val="en-GB"/>
        </w:rPr>
      </w:pPr>
      <w:r w:rsidRPr="00DE49F2">
        <w:rPr>
          <w:b/>
          <w:lang w:val="en-GB"/>
        </w:rPr>
        <w:t>Figures</w:t>
      </w:r>
      <w:r>
        <w:rPr>
          <w:lang w:val="en-GB"/>
        </w:rPr>
        <w:t>:</w:t>
      </w:r>
    </w:p>
    <w:p w14:paraId="7515D9BB" w14:textId="77777777" w:rsidR="005E33A7" w:rsidRDefault="005E33A7" w:rsidP="005E33A7">
      <w:pPr>
        <w:pStyle w:val="ListBullet"/>
        <w:numPr>
          <w:ilvl w:val="0"/>
          <w:numId w:val="0"/>
        </w:numPr>
        <w:ind w:left="360"/>
        <w:rPr>
          <w:lang w:val="en-GB"/>
        </w:rPr>
      </w:pPr>
    </w:p>
    <w:p w14:paraId="624EE254" w14:textId="77777777" w:rsidR="005E33A7" w:rsidRPr="005E33A7" w:rsidRDefault="008F0803" w:rsidP="008F0803">
      <w:pPr>
        <w:pStyle w:val="ListBullet"/>
        <w:rPr>
          <w:lang w:val="en-GB"/>
        </w:rPr>
      </w:pPr>
      <w:r w:rsidRPr="00DE49F2">
        <w:rPr>
          <w:b/>
          <w:lang w:val="en-GB"/>
        </w:rPr>
        <w:t>Tables</w:t>
      </w:r>
      <w:r>
        <w:rPr>
          <w:b/>
          <w:lang w:val="en-GB"/>
        </w:rPr>
        <w:t>:</w:t>
      </w:r>
      <w:r w:rsidR="005E33A7">
        <w:rPr>
          <w:b/>
          <w:lang w:val="en-GB"/>
        </w:rPr>
        <w:t xml:space="preserve"> </w:t>
      </w:r>
    </w:p>
    <w:p w14:paraId="074D930D" w14:textId="77777777" w:rsidR="005E33A7" w:rsidRDefault="005E33A7" w:rsidP="005E33A7">
      <w:pPr>
        <w:pStyle w:val="ListParagraph"/>
        <w:rPr>
          <w:rFonts w:ascii="TimesNewRomanPSMT" w:eastAsiaTheme="minorHAnsi" w:hAnsi="TimesNewRomanPSMT" w:cs="TimesNewRomanPSMT"/>
          <w:sz w:val="24"/>
          <w:lang w:val="en-GB" w:eastAsia="en-US"/>
        </w:rPr>
      </w:pPr>
    </w:p>
    <w:tbl>
      <w:tblPr>
        <w:tblW w:w="0" w:type="auto"/>
        <w:tblInd w:w="1206"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CellMar>
          <w:left w:w="0" w:type="dxa"/>
          <w:right w:w="0" w:type="dxa"/>
        </w:tblCellMar>
        <w:tblLook w:val="01E0" w:firstRow="1" w:lastRow="1" w:firstColumn="1" w:lastColumn="1" w:noHBand="0" w:noVBand="0"/>
      </w:tblPr>
      <w:tblGrid>
        <w:gridCol w:w="955"/>
        <w:gridCol w:w="1008"/>
        <w:gridCol w:w="1109"/>
        <w:gridCol w:w="1843"/>
        <w:gridCol w:w="1440"/>
        <w:gridCol w:w="1018"/>
      </w:tblGrid>
      <w:tr w:rsidR="00170041" w14:paraId="7788D0EA" w14:textId="77777777" w:rsidTr="00444571">
        <w:trPr>
          <w:trHeight w:hRule="exact" w:val="470"/>
        </w:trPr>
        <w:tc>
          <w:tcPr>
            <w:tcW w:w="955" w:type="dxa"/>
            <w:shd w:val="clear" w:color="auto" w:fill="D9D9D9"/>
          </w:tcPr>
          <w:p w14:paraId="66BDFB6A" w14:textId="77777777" w:rsidR="00170041" w:rsidRDefault="00170041" w:rsidP="00444571">
            <w:pPr>
              <w:pStyle w:val="TableParagraph"/>
              <w:spacing w:before="5" w:line="240" w:lineRule="auto"/>
              <w:ind w:left="101"/>
              <w:rPr>
                <w:b/>
                <w:sz w:val="19"/>
              </w:rPr>
            </w:pPr>
            <w:r>
              <w:rPr>
                <w:b/>
                <w:w w:val="105"/>
                <w:sz w:val="19"/>
              </w:rPr>
              <w:t>Transect</w:t>
            </w:r>
          </w:p>
        </w:tc>
        <w:tc>
          <w:tcPr>
            <w:tcW w:w="1008" w:type="dxa"/>
            <w:shd w:val="clear" w:color="auto" w:fill="D9D9D9"/>
          </w:tcPr>
          <w:p w14:paraId="2162F936" w14:textId="77777777" w:rsidR="00170041" w:rsidRDefault="00170041" w:rsidP="00444571">
            <w:pPr>
              <w:pStyle w:val="TableParagraph"/>
              <w:spacing w:before="5" w:line="240" w:lineRule="auto"/>
              <w:ind w:left="194"/>
              <w:rPr>
                <w:b/>
                <w:sz w:val="19"/>
              </w:rPr>
            </w:pPr>
            <w:r>
              <w:rPr>
                <w:b/>
                <w:w w:val="105"/>
                <w:sz w:val="19"/>
              </w:rPr>
              <w:t>Station</w:t>
            </w:r>
          </w:p>
        </w:tc>
        <w:tc>
          <w:tcPr>
            <w:tcW w:w="1109" w:type="dxa"/>
            <w:shd w:val="clear" w:color="auto" w:fill="D9D9D9"/>
          </w:tcPr>
          <w:p w14:paraId="6CFF4F13" w14:textId="77777777" w:rsidR="00170041" w:rsidRDefault="00170041" w:rsidP="00444571">
            <w:pPr>
              <w:pStyle w:val="TableParagraph"/>
              <w:spacing w:before="5" w:line="240" w:lineRule="auto"/>
              <w:ind w:left="338"/>
              <w:rPr>
                <w:b/>
                <w:sz w:val="19"/>
              </w:rPr>
            </w:pPr>
            <w:r>
              <w:rPr>
                <w:b/>
                <w:w w:val="105"/>
                <w:sz w:val="19"/>
              </w:rPr>
              <w:t>Type</w:t>
            </w:r>
          </w:p>
        </w:tc>
        <w:tc>
          <w:tcPr>
            <w:tcW w:w="1843" w:type="dxa"/>
            <w:shd w:val="clear" w:color="auto" w:fill="D9D9D9"/>
          </w:tcPr>
          <w:p w14:paraId="19899087" w14:textId="77777777" w:rsidR="00170041" w:rsidRDefault="00170041" w:rsidP="00444571">
            <w:pPr>
              <w:pStyle w:val="TableParagraph"/>
              <w:spacing w:before="5" w:line="240" w:lineRule="auto"/>
              <w:ind w:left="567" w:right="571"/>
              <w:jc w:val="center"/>
              <w:rPr>
                <w:b/>
                <w:sz w:val="19"/>
              </w:rPr>
            </w:pPr>
            <w:r>
              <w:rPr>
                <w:b/>
                <w:w w:val="105"/>
                <w:sz w:val="19"/>
              </w:rPr>
              <w:t>BEAST</w:t>
            </w:r>
          </w:p>
        </w:tc>
        <w:tc>
          <w:tcPr>
            <w:tcW w:w="1440" w:type="dxa"/>
            <w:shd w:val="clear" w:color="auto" w:fill="D9D9D9"/>
          </w:tcPr>
          <w:p w14:paraId="4D7A5200" w14:textId="77777777" w:rsidR="00170041" w:rsidRDefault="00170041" w:rsidP="00444571">
            <w:pPr>
              <w:pStyle w:val="TableParagraph"/>
              <w:spacing w:before="5" w:line="240" w:lineRule="auto"/>
              <w:ind w:left="313" w:right="311"/>
              <w:jc w:val="center"/>
              <w:rPr>
                <w:b/>
                <w:sz w:val="19"/>
              </w:rPr>
            </w:pPr>
            <w:r>
              <w:rPr>
                <w:b/>
                <w:w w:val="105"/>
                <w:sz w:val="19"/>
              </w:rPr>
              <w:t>Assigned</w:t>
            </w:r>
          </w:p>
          <w:p w14:paraId="68A8A45D" w14:textId="77777777" w:rsidR="00170041" w:rsidRDefault="00170041" w:rsidP="00444571">
            <w:pPr>
              <w:pStyle w:val="TableParagraph"/>
              <w:spacing w:before="12" w:line="240" w:lineRule="auto"/>
              <w:ind w:left="313" w:right="310"/>
              <w:jc w:val="center"/>
              <w:rPr>
                <w:b/>
                <w:sz w:val="19"/>
              </w:rPr>
            </w:pPr>
            <w:r>
              <w:rPr>
                <w:b/>
                <w:w w:val="105"/>
                <w:sz w:val="19"/>
              </w:rPr>
              <w:t>value</w:t>
            </w:r>
          </w:p>
        </w:tc>
        <w:tc>
          <w:tcPr>
            <w:tcW w:w="1018" w:type="dxa"/>
            <w:shd w:val="clear" w:color="auto" w:fill="D9D9D9"/>
          </w:tcPr>
          <w:p w14:paraId="28B65FE0" w14:textId="77777777" w:rsidR="00170041" w:rsidRDefault="00170041" w:rsidP="00444571">
            <w:pPr>
              <w:pStyle w:val="TableParagraph"/>
              <w:spacing w:before="5" w:line="240" w:lineRule="auto"/>
              <w:ind w:left="92" w:right="89"/>
              <w:jc w:val="center"/>
              <w:rPr>
                <w:b/>
                <w:sz w:val="19"/>
              </w:rPr>
            </w:pPr>
            <w:r>
              <w:rPr>
                <w:b/>
                <w:w w:val="105"/>
                <w:sz w:val="19"/>
              </w:rPr>
              <w:t>GES</w:t>
            </w:r>
          </w:p>
        </w:tc>
      </w:tr>
      <w:tr w:rsidR="00170041" w14:paraId="77A3D6E3" w14:textId="77777777" w:rsidTr="00170041">
        <w:trPr>
          <w:trHeight w:hRule="exact" w:val="240"/>
        </w:trPr>
        <w:tc>
          <w:tcPr>
            <w:tcW w:w="955" w:type="dxa"/>
            <w:vMerge w:val="restart"/>
            <w:textDirection w:val="btLr"/>
          </w:tcPr>
          <w:p w14:paraId="56C39838" w14:textId="77777777" w:rsidR="00170041" w:rsidRDefault="00170041" w:rsidP="00170041">
            <w:pPr>
              <w:pStyle w:val="TableParagraph"/>
              <w:spacing w:before="106" w:line="240" w:lineRule="auto"/>
              <w:ind w:left="113"/>
              <w:rPr>
                <w:sz w:val="19"/>
              </w:rPr>
            </w:pPr>
            <w:r>
              <w:rPr>
                <w:spacing w:val="2"/>
                <w:w w:val="103"/>
                <w:sz w:val="19"/>
              </w:rPr>
              <w:t>R</w:t>
            </w:r>
            <w:r>
              <w:rPr>
                <w:spacing w:val="1"/>
                <w:w w:val="103"/>
                <w:sz w:val="19"/>
              </w:rPr>
              <w:t>o</w:t>
            </w:r>
            <w:r>
              <w:rPr>
                <w:spacing w:val="2"/>
                <w:w w:val="103"/>
                <w:sz w:val="19"/>
              </w:rPr>
              <w:t>m</w:t>
            </w:r>
            <w:r>
              <w:rPr>
                <w:spacing w:val="1"/>
                <w:w w:val="103"/>
                <w:sz w:val="19"/>
              </w:rPr>
              <w:t>an</w:t>
            </w:r>
            <w:r>
              <w:rPr>
                <w:w w:val="103"/>
                <w:sz w:val="19"/>
              </w:rPr>
              <w:t>ia</w:t>
            </w:r>
          </w:p>
        </w:tc>
        <w:tc>
          <w:tcPr>
            <w:tcW w:w="1008" w:type="dxa"/>
          </w:tcPr>
          <w:p w14:paraId="28B375E3" w14:textId="08AF3785" w:rsidR="00170041" w:rsidRDefault="00170041" w:rsidP="00444571">
            <w:pPr>
              <w:pStyle w:val="TableParagraph"/>
              <w:spacing w:before="5" w:line="240" w:lineRule="auto"/>
              <w:ind w:left="105"/>
              <w:rPr>
                <w:sz w:val="19"/>
              </w:rPr>
            </w:pPr>
            <w:r>
              <w:rPr>
                <w:w w:val="105"/>
                <w:sz w:val="19"/>
              </w:rPr>
              <w:t>MO2</w:t>
            </w:r>
          </w:p>
        </w:tc>
        <w:tc>
          <w:tcPr>
            <w:tcW w:w="1109" w:type="dxa"/>
          </w:tcPr>
          <w:p w14:paraId="07BE3B44" w14:textId="44F1AC14" w:rsidR="00170041" w:rsidRDefault="00170041" w:rsidP="00444571">
            <w:pPr>
              <w:pStyle w:val="TableParagraph"/>
              <w:spacing w:before="5" w:line="240" w:lineRule="auto"/>
              <w:ind w:right="294"/>
              <w:jc w:val="right"/>
              <w:rPr>
                <w:sz w:val="19"/>
              </w:rPr>
            </w:pPr>
            <w:r>
              <w:rPr>
                <w:w w:val="105"/>
                <w:sz w:val="19"/>
              </w:rPr>
              <w:t>Shelf</w:t>
            </w:r>
          </w:p>
        </w:tc>
        <w:tc>
          <w:tcPr>
            <w:tcW w:w="1843" w:type="dxa"/>
          </w:tcPr>
          <w:p w14:paraId="27F46337" w14:textId="06635A8A" w:rsidR="00170041" w:rsidRDefault="00170041" w:rsidP="00444571">
            <w:pPr>
              <w:pStyle w:val="TableParagraph"/>
              <w:spacing w:before="5" w:line="240" w:lineRule="auto"/>
              <w:ind w:left="567" w:right="570"/>
              <w:jc w:val="center"/>
              <w:rPr>
                <w:sz w:val="19"/>
              </w:rPr>
            </w:pPr>
            <w:r>
              <w:rPr>
                <w:w w:val="105"/>
                <w:sz w:val="19"/>
              </w:rPr>
              <w:t>Good</w:t>
            </w:r>
          </w:p>
        </w:tc>
        <w:tc>
          <w:tcPr>
            <w:tcW w:w="1440" w:type="dxa"/>
          </w:tcPr>
          <w:p w14:paraId="658F01B4" w14:textId="2C952511" w:rsidR="00170041" w:rsidRDefault="00170041" w:rsidP="00444571">
            <w:pPr>
              <w:pStyle w:val="TableParagraph"/>
              <w:spacing w:before="5" w:line="240" w:lineRule="auto"/>
              <w:ind w:left="667"/>
              <w:rPr>
                <w:sz w:val="19"/>
              </w:rPr>
            </w:pPr>
            <w:r>
              <w:rPr>
                <w:w w:val="103"/>
                <w:sz w:val="19"/>
              </w:rPr>
              <w:t>2</w:t>
            </w:r>
          </w:p>
        </w:tc>
        <w:tc>
          <w:tcPr>
            <w:tcW w:w="1018" w:type="dxa"/>
          </w:tcPr>
          <w:p w14:paraId="3A415698" w14:textId="70BBDB35" w:rsidR="00170041" w:rsidRDefault="00170041" w:rsidP="00444571">
            <w:pPr>
              <w:pStyle w:val="TableParagraph"/>
              <w:spacing w:before="5" w:line="240" w:lineRule="auto"/>
              <w:ind w:left="92" w:right="89"/>
              <w:jc w:val="center"/>
              <w:rPr>
                <w:sz w:val="19"/>
              </w:rPr>
            </w:pPr>
            <w:r>
              <w:rPr>
                <w:w w:val="105"/>
                <w:sz w:val="19"/>
              </w:rPr>
              <w:t>GES</w:t>
            </w:r>
          </w:p>
        </w:tc>
      </w:tr>
      <w:tr w:rsidR="00170041" w14:paraId="7D70BCEC" w14:textId="77777777" w:rsidTr="00444571">
        <w:trPr>
          <w:trHeight w:hRule="exact" w:val="240"/>
        </w:trPr>
        <w:tc>
          <w:tcPr>
            <w:tcW w:w="955" w:type="dxa"/>
            <w:vMerge/>
            <w:textDirection w:val="btLr"/>
          </w:tcPr>
          <w:p w14:paraId="6377C237" w14:textId="77777777" w:rsidR="00170041" w:rsidRDefault="00170041" w:rsidP="00444571"/>
        </w:tc>
        <w:tc>
          <w:tcPr>
            <w:tcW w:w="1008" w:type="dxa"/>
          </w:tcPr>
          <w:p w14:paraId="0462ACA6" w14:textId="26717D0B" w:rsidR="00170041" w:rsidRDefault="00170041" w:rsidP="00444571">
            <w:pPr>
              <w:pStyle w:val="TableParagraph"/>
              <w:spacing w:before="5" w:line="240" w:lineRule="auto"/>
              <w:ind w:left="105"/>
              <w:rPr>
                <w:sz w:val="19"/>
              </w:rPr>
            </w:pPr>
            <w:r>
              <w:rPr>
                <w:w w:val="105"/>
                <w:sz w:val="19"/>
              </w:rPr>
              <w:t>MO3</w:t>
            </w:r>
          </w:p>
        </w:tc>
        <w:tc>
          <w:tcPr>
            <w:tcW w:w="1109" w:type="dxa"/>
          </w:tcPr>
          <w:p w14:paraId="588608A9" w14:textId="4F704547" w:rsidR="00170041" w:rsidRDefault="00170041" w:rsidP="00444571">
            <w:pPr>
              <w:pStyle w:val="TableParagraph"/>
              <w:spacing w:before="5" w:line="240" w:lineRule="auto"/>
              <w:ind w:left="336"/>
              <w:rPr>
                <w:sz w:val="19"/>
              </w:rPr>
            </w:pPr>
            <w:r>
              <w:rPr>
                <w:w w:val="105"/>
                <w:sz w:val="19"/>
              </w:rPr>
              <w:t>Shelf</w:t>
            </w:r>
          </w:p>
        </w:tc>
        <w:tc>
          <w:tcPr>
            <w:tcW w:w="1843" w:type="dxa"/>
          </w:tcPr>
          <w:p w14:paraId="2907299E" w14:textId="2F100EF8" w:rsidR="00170041" w:rsidRDefault="00170041" w:rsidP="00444571">
            <w:pPr>
              <w:pStyle w:val="TableParagraph"/>
              <w:spacing w:before="5" w:line="240" w:lineRule="auto"/>
              <w:ind w:left="567" w:right="570"/>
              <w:jc w:val="center"/>
              <w:rPr>
                <w:sz w:val="19"/>
              </w:rPr>
            </w:pPr>
            <w:r>
              <w:rPr>
                <w:w w:val="105"/>
                <w:sz w:val="19"/>
              </w:rPr>
              <w:t>Good</w:t>
            </w:r>
          </w:p>
        </w:tc>
        <w:tc>
          <w:tcPr>
            <w:tcW w:w="1440" w:type="dxa"/>
          </w:tcPr>
          <w:p w14:paraId="12D44D4C" w14:textId="2777063E" w:rsidR="00170041" w:rsidRDefault="00170041" w:rsidP="00444571">
            <w:pPr>
              <w:pStyle w:val="TableParagraph"/>
              <w:spacing w:before="5" w:line="240" w:lineRule="auto"/>
              <w:ind w:left="667"/>
              <w:rPr>
                <w:sz w:val="19"/>
              </w:rPr>
            </w:pPr>
            <w:r>
              <w:rPr>
                <w:w w:val="103"/>
                <w:sz w:val="19"/>
              </w:rPr>
              <w:t>2</w:t>
            </w:r>
          </w:p>
        </w:tc>
        <w:tc>
          <w:tcPr>
            <w:tcW w:w="1018" w:type="dxa"/>
          </w:tcPr>
          <w:p w14:paraId="75A6073E" w14:textId="0CF8BE28" w:rsidR="00170041" w:rsidRDefault="00170041" w:rsidP="00444571">
            <w:pPr>
              <w:pStyle w:val="TableParagraph"/>
              <w:spacing w:before="5" w:line="240" w:lineRule="auto"/>
              <w:ind w:left="92" w:right="89"/>
              <w:jc w:val="center"/>
              <w:rPr>
                <w:sz w:val="19"/>
              </w:rPr>
            </w:pPr>
            <w:r>
              <w:rPr>
                <w:w w:val="105"/>
                <w:sz w:val="19"/>
              </w:rPr>
              <w:t>GES</w:t>
            </w:r>
          </w:p>
        </w:tc>
      </w:tr>
      <w:tr w:rsidR="00170041" w14:paraId="5847C906" w14:textId="77777777" w:rsidTr="00444571">
        <w:trPr>
          <w:trHeight w:hRule="exact" w:val="240"/>
        </w:trPr>
        <w:tc>
          <w:tcPr>
            <w:tcW w:w="955" w:type="dxa"/>
            <w:vMerge/>
            <w:textDirection w:val="btLr"/>
          </w:tcPr>
          <w:p w14:paraId="690C9D0C" w14:textId="77777777" w:rsidR="00170041" w:rsidRDefault="00170041" w:rsidP="00444571"/>
        </w:tc>
        <w:tc>
          <w:tcPr>
            <w:tcW w:w="1008" w:type="dxa"/>
          </w:tcPr>
          <w:p w14:paraId="23F1C42E" w14:textId="4D66AFEE" w:rsidR="00170041" w:rsidRDefault="00170041" w:rsidP="00444571">
            <w:pPr>
              <w:pStyle w:val="TableParagraph"/>
              <w:spacing w:before="5" w:line="240" w:lineRule="auto"/>
              <w:ind w:left="105"/>
              <w:rPr>
                <w:sz w:val="19"/>
              </w:rPr>
            </w:pPr>
            <w:r>
              <w:rPr>
                <w:w w:val="105"/>
                <w:sz w:val="19"/>
              </w:rPr>
              <w:t>MO4</w:t>
            </w:r>
          </w:p>
        </w:tc>
        <w:tc>
          <w:tcPr>
            <w:tcW w:w="1109" w:type="dxa"/>
          </w:tcPr>
          <w:p w14:paraId="0CFFE4FE" w14:textId="58AF0DC7" w:rsidR="00170041" w:rsidRDefault="00170041" w:rsidP="00444571">
            <w:pPr>
              <w:pStyle w:val="TableParagraph"/>
              <w:spacing w:before="5" w:line="240" w:lineRule="auto"/>
              <w:ind w:left="336"/>
              <w:rPr>
                <w:sz w:val="19"/>
              </w:rPr>
            </w:pPr>
            <w:r>
              <w:rPr>
                <w:w w:val="105"/>
                <w:sz w:val="19"/>
              </w:rPr>
              <w:t>Shelf</w:t>
            </w:r>
          </w:p>
        </w:tc>
        <w:tc>
          <w:tcPr>
            <w:tcW w:w="1843" w:type="dxa"/>
          </w:tcPr>
          <w:p w14:paraId="5000944D" w14:textId="606997EB" w:rsidR="00170041" w:rsidRDefault="00170041" w:rsidP="00444571">
            <w:pPr>
              <w:pStyle w:val="TableParagraph"/>
              <w:spacing w:before="5" w:line="240" w:lineRule="auto"/>
              <w:ind w:left="567" w:right="570"/>
              <w:jc w:val="center"/>
              <w:rPr>
                <w:sz w:val="19"/>
              </w:rPr>
            </w:pPr>
            <w:r>
              <w:rPr>
                <w:w w:val="105"/>
                <w:sz w:val="19"/>
              </w:rPr>
              <w:t>Poor</w:t>
            </w:r>
          </w:p>
        </w:tc>
        <w:tc>
          <w:tcPr>
            <w:tcW w:w="1440" w:type="dxa"/>
          </w:tcPr>
          <w:p w14:paraId="4146385F" w14:textId="70CF4A21" w:rsidR="00170041" w:rsidRDefault="00170041" w:rsidP="00444571">
            <w:pPr>
              <w:pStyle w:val="TableParagraph"/>
              <w:spacing w:before="5" w:line="240" w:lineRule="auto"/>
              <w:ind w:left="667"/>
              <w:rPr>
                <w:sz w:val="19"/>
              </w:rPr>
            </w:pPr>
            <w:r>
              <w:rPr>
                <w:w w:val="103"/>
                <w:sz w:val="19"/>
              </w:rPr>
              <w:t>4</w:t>
            </w:r>
          </w:p>
        </w:tc>
        <w:tc>
          <w:tcPr>
            <w:tcW w:w="1018" w:type="dxa"/>
          </w:tcPr>
          <w:p w14:paraId="3DED6BA7" w14:textId="69A0D34F" w:rsidR="00170041" w:rsidRDefault="00170041" w:rsidP="00444571">
            <w:pPr>
              <w:pStyle w:val="TableParagraph"/>
              <w:spacing w:before="5" w:line="240" w:lineRule="auto"/>
              <w:ind w:left="92" w:right="89"/>
              <w:jc w:val="center"/>
              <w:rPr>
                <w:sz w:val="19"/>
              </w:rPr>
            </w:pPr>
            <w:r>
              <w:rPr>
                <w:w w:val="105"/>
                <w:sz w:val="19"/>
              </w:rPr>
              <w:t>Non-GES</w:t>
            </w:r>
          </w:p>
        </w:tc>
      </w:tr>
      <w:tr w:rsidR="00170041" w14:paraId="0BB2CA4F" w14:textId="77777777" w:rsidTr="00444571">
        <w:trPr>
          <w:trHeight w:hRule="exact" w:val="240"/>
        </w:trPr>
        <w:tc>
          <w:tcPr>
            <w:tcW w:w="955" w:type="dxa"/>
            <w:vMerge/>
            <w:textDirection w:val="btLr"/>
          </w:tcPr>
          <w:p w14:paraId="54F7BF79" w14:textId="77777777" w:rsidR="00170041" w:rsidRDefault="00170041" w:rsidP="00444571"/>
        </w:tc>
        <w:tc>
          <w:tcPr>
            <w:tcW w:w="1008" w:type="dxa"/>
          </w:tcPr>
          <w:p w14:paraId="3F796C0F" w14:textId="385C973E" w:rsidR="00170041" w:rsidRDefault="00170041" w:rsidP="00444571">
            <w:pPr>
              <w:pStyle w:val="TableParagraph"/>
              <w:spacing w:before="5" w:line="240" w:lineRule="auto"/>
              <w:ind w:left="105"/>
              <w:rPr>
                <w:sz w:val="19"/>
              </w:rPr>
            </w:pPr>
            <w:r>
              <w:rPr>
                <w:w w:val="105"/>
                <w:sz w:val="19"/>
              </w:rPr>
              <w:t>MO5</w:t>
            </w:r>
          </w:p>
        </w:tc>
        <w:tc>
          <w:tcPr>
            <w:tcW w:w="1109" w:type="dxa"/>
          </w:tcPr>
          <w:p w14:paraId="303352E4" w14:textId="7D7DE90E" w:rsidR="00170041" w:rsidRDefault="00170041" w:rsidP="00444571">
            <w:pPr>
              <w:pStyle w:val="TableParagraph"/>
              <w:spacing w:before="5" w:line="240" w:lineRule="auto"/>
              <w:ind w:left="336"/>
              <w:rPr>
                <w:sz w:val="19"/>
              </w:rPr>
            </w:pPr>
            <w:r>
              <w:rPr>
                <w:w w:val="105"/>
                <w:sz w:val="19"/>
              </w:rPr>
              <w:t>Shelf</w:t>
            </w:r>
          </w:p>
        </w:tc>
        <w:tc>
          <w:tcPr>
            <w:tcW w:w="1843" w:type="dxa"/>
          </w:tcPr>
          <w:p w14:paraId="3BFFCDB2" w14:textId="7DA7372E" w:rsidR="00170041" w:rsidRDefault="00170041" w:rsidP="00444571">
            <w:pPr>
              <w:pStyle w:val="TableParagraph"/>
              <w:spacing w:before="5" w:line="240" w:lineRule="auto"/>
              <w:ind w:left="567" w:right="570"/>
              <w:jc w:val="center"/>
              <w:rPr>
                <w:sz w:val="19"/>
              </w:rPr>
            </w:pPr>
            <w:r>
              <w:rPr>
                <w:w w:val="105"/>
                <w:sz w:val="19"/>
              </w:rPr>
              <w:t>Good</w:t>
            </w:r>
          </w:p>
        </w:tc>
        <w:tc>
          <w:tcPr>
            <w:tcW w:w="1440" w:type="dxa"/>
          </w:tcPr>
          <w:p w14:paraId="5F82E979" w14:textId="0A018784" w:rsidR="00170041" w:rsidRDefault="00170041" w:rsidP="00444571">
            <w:pPr>
              <w:pStyle w:val="TableParagraph"/>
              <w:spacing w:before="5" w:line="240" w:lineRule="auto"/>
              <w:ind w:left="667"/>
              <w:rPr>
                <w:sz w:val="19"/>
              </w:rPr>
            </w:pPr>
            <w:r>
              <w:rPr>
                <w:w w:val="103"/>
                <w:sz w:val="19"/>
              </w:rPr>
              <w:t>2</w:t>
            </w:r>
          </w:p>
        </w:tc>
        <w:tc>
          <w:tcPr>
            <w:tcW w:w="1018" w:type="dxa"/>
          </w:tcPr>
          <w:p w14:paraId="3C43AF8F" w14:textId="7B972C50" w:rsidR="00170041" w:rsidRDefault="00170041" w:rsidP="00444571">
            <w:pPr>
              <w:pStyle w:val="TableParagraph"/>
              <w:spacing w:before="5" w:line="240" w:lineRule="auto"/>
              <w:ind w:left="92" w:right="89"/>
              <w:jc w:val="center"/>
              <w:rPr>
                <w:sz w:val="19"/>
              </w:rPr>
            </w:pPr>
            <w:r>
              <w:rPr>
                <w:w w:val="105"/>
                <w:sz w:val="19"/>
              </w:rPr>
              <w:t>GES</w:t>
            </w:r>
          </w:p>
        </w:tc>
      </w:tr>
      <w:tr w:rsidR="00170041" w14:paraId="3EA7DAE5" w14:textId="77777777" w:rsidTr="00444571">
        <w:trPr>
          <w:trHeight w:hRule="exact" w:val="240"/>
        </w:trPr>
        <w:tc>
          <w:tcPr>
            <w:tcW w:w="955" w:type="dxa"/>
            <w:vMerge/>
            <w:textDirection w:val="btLr"/>
          </w:tcPr>
          <w:p w14:paraId="6507E581" w14:textId="77777777" w:rsidR="00170041" w:rsidRDefault="00170041" w:rsidP="00444571"/>
        </w:tc>
        <w:tc>
          <w:tcPr>
            <w:tcW w:w="1008" w:type="dxa"/>
          </w:tcPr>
          <w:p w14:paraId="7AFC7787" w14:textId="2106418A" w:rsidR="00170041" w:rsidRDefault="00170041" w:rsidP="00444571">
            <w:pPr>
              <w:pStyle w:val="TableParagraph"/>
              <w:spacing w:before="5" w:line="240" w:lineRule="auto"/>
              <w:ind w:left="105"/>
              <w:rPr>
                <w:sz w:val="19"/>
              </w:rPr>
            </w:pPr>
            <w:r>
              <w:rPr>
                <w:w w:val="105"/>
                <w:sz w:val="19"/>
              </w:rPr>
              <w:t>MO6</w:t>
            </w:r>
          </w:p>
        </w:tc>
        <w:tc>
          <w:tcPr>
            <w:tcW w:w="1109" w:type="dxa"/>
          </w:tcPr>
          <w:p w14:paraId="428264F0" w14:textId="78BB13DF" w:rsidR="00170041" w:rsidRDefault="00170041" w:rsidP="00444571">
            <w:pPr>
              <w:pStyle w:val="TableParagraph"/>
              <w:spacing w:before="5" w:line="240" w:lineRule="auto"/>
              <w:ind w:left="336"/>
              <w:rPr>
                <w:sz w:val="19"/>
              </w:rPr>
            </w:pPr>
            <w:r>
              <w:rPr>
                <w:w w:val="105"/>
                <w:sz w:val="19"/>
              </w:rPr>
              <w:t>Open</w:t>
            </w:r>
          </w:p>
        </w:tc>
        <w:tc>
          <w:tcPr>
            <w:tcW w:w="1843" w:type="dxa"/>
          </w:tcPr>
          <w:p w14:paraId="1F671E6F" w14:textId="71FC6DE6" w:rsidR="00170041" w:rsidRDefault="00170041" w:rsidP="00444571">
            <w:pPr>
              <w:pStyle w:val="TableParagraph"/>
              <w:spacing w:before="5" w:line="240" w:lineRule="auto"/>
              <w:ind w:left="567" w:right="570"/>
              <w:jc w:val="center"/>
              <w:rPr>
                <w:sz w:val="19"/>
              </w:rPr>
            </w:pPr>
            <w:r>
              <w:rPr>
                <w:w w:val="105"/>
                <w:sz w:val="19"/>
              </w:rPr>
              <w:t>Good</w:t>
            </w:r>
          </w:p>
        </w:tc>
        <w:tc>
          <w:tcPr>
            <w:tcW w:w="1440" w:type="dxa"/>
          </w:tcPr>
          <w:p w14:paraId="52075A98" w14:textId="35525916" w:rsidR="00170041" w:rsidRDefault="00170041" w:rsidP="00444571">
            <w:pPr>
              <w:pStyle w:val="TableParagraph"/>
              <w:spacing w:before="5" w:line="240" w:lineRule="auto"/>
              <w:ind w:left="667"/>
              <w:rPr>
                <w:sz w:val="19"/>
              </w:rPr>
            </w:pPr>
            <w:r>
              <w:rPr>
                <w:w w:val="103"/>
                <w:sz w:val="19"/>
              </w:rPr>
              <w:t>2</w:t>
            </w:r>
          </w:p>
        </w:tc>
        <w:tc>
          <w:tcPr>
            <w:tcW w:w="1018" w:type="dxa"/>
          </w:tcPr>
          <w:p w14:paraId="7F2B63FD" w14:textId="62083B89" w:rsidR="00170041" w:rsidRDefault="00170041" w:rsidP="00444571">
            <w:pPr>
              <w:pStyle w:val="TableParagraph"/>
              <w:spacing w:before="5" w:line="240" w:lineRule="auto"/>
              <w:ind w:left="92" w:right="89"/>
              <w:jc w:val="center"/>
              <w:rPr>
                <w:sz w:val="19"/>
              </w:rPr>
            </w:pPr>
            <w:r>
              <w:rPr>
                <w:w w:val="105"/>
                <w:sz w:val="19"/>
              </w:rPr>
              <w:t>GES</w:t>
            </w:r>
          </w:p>
        </w:tc>
      </w:tr>
      <w:tr w:rsidR="00170041" w14:paraId="2998872B" w14:textId="77777777" w:rsidTr="00444571">
        <w:trPr>
          <w:trHeight w:hRule="exact" w:val="240"/>
        </w:trPr>
        <w:tc>
          <w:tcPr>
            <w:tcW w:w="955" w:type="dxa"/>
            <w:vMerge/>
            <w:textDirection w:val="btLr"/>
          </w:tcPr>
          <w:p w14:paraId="488551F1" w14:textId="77777777" w:rsidR="00170041" w:rsidRDefault="00170041" w:rsidP="00444571"/>
        </w:tc>
        <w:tc>
          <w:tcPr>
            <w:tcW w:w="1008" w:type="dxa"/>
          </w:tcPr>
          <w:p w14:paraId="3DA560B8" w14:textId="01194403" w:rsidR="00170041" w:rsidRDefault="00170041" w:rsidP="00444571">
            <w:pPr>
              <w:pStyle w:val="TableParagraph"/>
              <w:spacing w:before="5" w:line="240" w:lineRule="auto"/>
              <w:ind w:left="105"/>
              <w:rPr>
                <w:sz w:val="19"/>
              </w:rPr>
            </w:pPr>
            <w:r>
              <w:rPr>
                <w:w w:val="105"/>
                <w:sz w:val="19"/>
              </w:rPr>
              <w:t>MO7</w:t>
            </w:r>
          </w:p>
        </w:tc>
        <w:tc>
          <w:tcPr>
            <w:tcW w:w="1109" w:type="dxa"/>
          </w:tcPr>
          <w:p w14:paraId="0C7C4857" w14:textId="23CE3062" w:rsidR="00170041" w:rsidRDefault="00170041" w:rsidP="00444571">
            <w:pPr>
              <w:pStyle w:val="TableParagraph"/>
              <w:spacing w:before="5" w:line="240" w:lineRule="auto"/>
              <w:ind w:left="331"/>
              <w:rPr>
                <w:sz w:val="19"/>
              </w:rPr>
            </w:pPr>
            <w:r>
              <w:rPr>
                <w:w w:val="105"/>
                <w:sz w:val="19"/>
              </w:rPr>
              <w:t>Open</w:t>
            </w:r>
          </w:p>
        </w:tc>
        <w:tc>
          <w:tcPr>
            <w:tcW w:w="1843" w:type="dxa"/>
          </w:tcPr>
          <w:p w14:paraId="16EFEEC0" w14:textId="2EF96A8C" w:rsidR="00170041" w:rsidRDefault="00170041" w:rsidP="00444571">
            <w:pPr>
              <w:pStyle w:val="TableParagraph"/>
              <w:spacing w:before="5" w:line="240" w:lineRule="auto"/>
              <w:ind w:left="567" w:right="570"/>
              <w:jc w:val="center"/>
              <w:rPr>
                <w:sz w:val="19"/>
              </w:rPr>
            </w:pPr>
            <w:r>
              <w:rPr>
                <w:w w:val="105"/>
                <w:sz w:val="19"/>
              </w:rPr>
              <w:t>High</w:t>
            </w:r>
          </w:p>
        </w:tc>
        <w:tc>
          <w:tcPr>
            <w:tcW w:w="1440" w:type="dxa"/>
          </w:tcPr>
          <w:p w14:paraId="0DA6F79F" w14:textId="12E0F22A" w:rsidR="00170041" w:rsidRDefault="00170041" w:rsidP="00444571">
            <w:pPr>
              <w:pStyle w:val="TableParagraph"/>
              <w:spacing w:before="5" w:line="240" w:lineRule="auto"/>
              <w:ind w:left="667"/>
              <w:rPr>
                <w:sz w:val="19"/>
              </w:rPr>
            </w:pPr>
            <w:r>
              <w:rPr>
                <w:w w:val="103"/>
                <w:sz w:val="19"/>
              </w:rPr>
              <w:t>1</w:t>
            </w:r>
          </w:p>
        </w:tc>
        <w:tc>
          <w:tcPr>
            <w:tcW w:w="1018" w:type="dxa"/>
          </w:tcPr>
          <w:p w14:paraId="59764742" w14:textId="3869CAAF" w:rsidR="00170041" w:rsidRDefault="00170041" w:rsidP="00444571">
            <w:pPr>
              <w:pStyle w:val="TableParagraph"/>
              <w:spacing w:before="5" w:line="240" w:lineRule="auto"/>
              <w:ind w:left="92" w:right="89"/>
              <w:jc w:val="center"/>
              <w:rPr>
                <w:sz w:val="19"/>
              </w:rPr>
            </w:pPr>
            <w:r>
              <w:rPr>
                <w:w w:val="105"/>
                <w:sz w:val="19"/>
              </w:rPr>
              <w:t>GES</w:t>
            </w:r>
          </w:p>
        </w:tc>
      </w:tr>
      <w:tr w:rsidR="00170041" w14:paraId="1A291354" w14:textId="77777777" w:rsidTr="00170041">
        <w:trPr>
          <w:trHeight w:hRule="exact" w:val="240"/>
        </w:trPr>
        <w:tc>
          <w:tcPr>
            <w:tcW w:w="955" w:type="dxa"/>
            <w:vMerge w:val="restart"/>
            <w:textDirection w:val="btLr"/>
          </w:tcPr>
          <w:p w14:paraId="12166851" w14:textId="77777777" w:rsidR="00170041" w:rsidRDefault="00170041" w:rsidP="00170041">
            <w:pPr>
              <w:pStyle w:val="TableParagraph"/>
              <w:spacing w:before="106" w:line="240" w:lineRule="auto"/>
              <w:ind w:left="113"/>
              <w:rPr>
                <w:sz w:val="19"/>
              </w:rPr>
            </w:pPr>
            <w:r>
              <w:rPr>
                <w:spacing w:val="2"/>
                <w:w w:val="103"/>
                <w:sz w:val="19"/>
              </w:rPr>
              <w:t>B</w:t>
            </w:r>
            <w:r>
              <w:rPr>
                <w:spacing w:val="1"/>
                <w:w w:val="103"/>
                <w:sz w:val="19"/>
              </w:rPr>
              <w:t>u</w:t>
            </w:r>
            <w:r>
              <w:rPr>
                <w:w w:val="103"/>
                <w:sz w:val="19"/>
              </w:rPr>
              <w:t>l</w:t>
            </w:r>
            <w:r>
              <w:rPr>
                <w:spacing w:val="1"/>
                <w:w w:val="103"/>
                <w:sz w:val="19"/>
              </w:rPr>
              <w:t>gar</w:t>
            </w:r>
            <w:r>
              <w:rPr>
                <w:w w:val="103"/>
                <w:sz w:val="19"/>
              </w:rPr>
              <w:t>ia</w:t>
            </w:r>
          </w:p>
        </w:tc>
        <w:tc>
          <w:tcPr>
            <w:tcW w:w="1008" w:type="dxa"/>
          </w:tcPr>
          <w:p w14:paraId="00ACA846" w14:textId="14AECF9B" w:rsidR="00170041" w:rsidRDefault="00170041" w:rsidP="00444571">
            <w:pPr>
              <w:pStyle w:val="TableParagraph"/>
              <w:spacing w:before="5" w:line="240" w:lineRule="auto"/>
              <w:ind w:left="105"/>
              <w:rPr>
                <w:sz w:val="19"/>
              </w:rPr>
            </w:pPr>
            <w:r>
              <w:rPr>
                <w:w w:val="105"/>
                <w:sz w:val="19"/>
              </w:rPr>
              <w:t>MO11</w:t>
            </w:r>
          </w:p>
        </w:tc>
        <w:tc>
          <w:tcPr>
            <w:tcW w:w="1109" w:type="dxa"/>
          </w:tcPr>
          <w:p w14:paraId="7AC0256C" w14:textId="115F2A01" w:rsidR="00170041" w:rsidRDefault="00170041" w:rsidP="00444571">
            <w:pPr>
              <w:pStyle w:val="TableParagraph"/>
              <w:spacing w:before="5" w:line="240" w:lineRule="auto"/>
              <w:ind w:right="250"/>
              <w:jc w:val="right"/>
              <w:rPr>
                <w:sz w:val="19"/>
              </w:rPr>
            </w:pPr>
            <w:r>
              <w:rPr>
                <w:w w:val="105"/>
                <w:sz w:val="19"/>
              </w:rPr>
              <w:t>Shelf</w:t>
            </w:r>
          </w:p>
        </w:tc>
        <w:tc>
          <w:tcPr>
            <w:tcW w:w="1843" w:type="dxa"/>
          </w:tcPr>
          <w:p w14:paraId="38688F94" w14:textId="0ADB20CA" w:rsidR="00170041" w:rsidRDefault="00170041" w:rsidP="00444571">
            <w:pPr>
              <w:pStyle w:val="TableParagraph"/>
              <w:spacing w:before="5" w:line="240" w:lineRule="auto"/>
              <w:ind w:left="567" w:right="570"/>
              <w:jc w:val="center"/>
              <w:rPr>
                <w:sz w:val="19"/>
              </w:rPr>
            </w:pPr>
            <w:r>
              <w:rPr>
                <w:w w:val="105"/>
                <w:sz w:val="19"/>
              </w:rPr>
              <w:t>Good</w:t>
            </w:r>
          </w:p>
        </w:tc>
        <w:tc>
          <w:tcPr>
            <w:tcW w:w="1440" w:type="dxa"/>
          </w:tcPr>
          <w:p w14:paraId="1E590300" w14:textId="1385903F" w:rsidR="00170041" w:rsidRDefault="00170041" w:rsidP="00444571">
            <w:pPr>
              <w:pStyle w:val="TableParagraph"/>
              <w:spacing w:before="5" w:line="240" w:lineRule="auto"/>
              <w:ind w:left="667"/>
              <w:rPr>
                <w:sz w:val="19"/>
              </w:rPr>
            </w:pPr>
            <w:r>
              <w:rPr>
                <w:w w:val="103"/>
                <w:sz w:val="19"/>
              </w:rPr>
              <w:t>2</w:t>
            </w:r>
          </w:p>
        </w:tc>
        <w:tc>
          <w:tcPr>
            <w:tcW w:w="1018" w:type="dxa"/>
          </w:tcPr>
          <w:p w14:paraId="57D4CF7F" w14:textId="05FB7078" w:rsidR="00170041" w:rsidRDefault="00170041" w:rsidP="00444571">
            <w:pPr>
              <w:pStyle w:val="TableParagraph"/>
              <w:spacing w:before="5" w:line="240" w:lineRule="auto"/>
              <w:ind w:left="92" w:right="89"/>
              <w:jc w:val="center"/>
              <w:rPr>
                <w:sz w:val="19"/>
              </w:rPr>
            </w:pPr>
            <w:r>
              <w:rPr>
                <w:w w:val="105"/>
                <w:sz w:val="19"/>
              </w:rPr>
              <w:t>GES</w:t>
            </w:r>
          </w:p>
        </w:tc>
      </w:tr>
      <w:tr w:rsidR="00170041" w14:paraId="406F2F9B" w14:textId="77777777" w:rsidTr="00444571">
        <w:trPr>
          <w:trHeight w:hRule="exact" w:val="240"/>
        </w:trPr>
        <w:tc>
          <w:tcPr>
            <w:tcW w:w="955" w:type="dxa"/>
            <w:vMerge/>
            <w:textDirection w:val="btLr"/>
          </w:tcPr>
          <w:p w14:paraId="34D74F57" w14:textId="77777777" w:rsidR="00170041" w:rsidRDefault="00170041" w:rsidP="00444571"/>
        </w:tc>
        <w:tc>
          <w:tcPr>
            <w:tcW w:w="1008" w:type="dxa"/>
          </w:tcPr>
          <w:p w14:paraId="430B7D92" w14:textId="69411094" w:rsidR="00170041" w:rsidRDefault="00170041" w:rsidP="00444571">
            <w:pPr>
              <w:pStyle w:val="TableParagraph"/>
              <w:spacing w:before="5" w:line="240" w:lineRule="auto"/>
              <w:ind w:left="105"/>
              <w:rPr>
                <w:sz w:val="19"/>
              </w:rPr>
            </w:pPr>
            <w:r>
              <w:rPr>
                <w:w w:val="105"/>
                <w:sz w:val="19"/>
              </w:rPr>
              <w:t>MO10</w:t>
            </w:r>
          </w:p>
        </w:tc>
        <w:tc>
          <w:tcPr>
            <w:tcW w:w="1109" w:type="dxa"/>
          </w:tcPr>
          <w:p w14:paraId="2ADD1006" w14:textId="47E3FA70" w:rsidR="00170041" w:rsidRDefault="00170041" w:rsidP="00444571">
            <w:pPr>
              <w:pStyle w:val="TableParagraph"/>
              <w:spacing w:before="5" w:line="240" w:lineRule="auto"/>
              <w:ind w:left="336"/>
              <w:rPr>
                <w:sz w:val="19"/>
              </w:rPr>
            </w:pPr>
            <w:r>
              <w:rPr>
                <w:w w:val="105"/>
                <w:sz w:val="19"/>
              </w:rPr>
              <w:t>Shelf</w:t>
            </w:r>
          </w:p>
        </w:tc>
        <w:tc>
          <w:tcPr>
            <w:tcW w:w="1843" w:type="dxa"/>
          </w:tcPr>
          <w:p w14:paraId="7DBC82AE" w14:textId="2006FBAF" w:rsidR="00170041" w:rsidRDefault="00170041" w:rsidP="00444571">
            <w:pPr>
              <w:pStyle w:val="TableParagraph"/>
              <w:spacing w:before="5" w:line="240" w:lineRule="auto"/>
              <w:ind w:left="567" w:right="570"/>
              <w:jc w:val="center"/>
              <w:rPr>
                <w:sz w:val="19"/>
              </w:rPr>
            </w:pPr>
            <w:r>
              <w:rPr>
                <w:w w:val="105"/>
                <w:sz w:val="19"/>
              </w:rPr>
              <w:t>High</w:t>
            </w:r>
          </w:p>
        </w:tc>
        <w:tc>
          <w:tcPr>
            <w:tcW w:w="1440" w:type="dxa"/>
          </w:tcPr>
          <w:p w14:paraId="43EE3882" w14:textId="54A3286F" w:rsidR="00170041" w:rsidRDefault="00170041" w:rsidP="00444571">
            <w:pPr>
              <w:pStyle w:val="TableParagraph"/>
              <w:spacing w:before="5" w:line="240" w:lineRule="auto"/>
              <w:ind w:left="667"/>
              <w:rPr>
                <w:sz w:val="19"/>
              </w:rPr>
            </w:pPr>
            <w:r>
              <w:rPr>
                <w:w w:val="103"/>
                <w:sz w:val="19"/>
              </w:rPr>
              <w:t>1</w:t>
            </w:r>
          </w:p>
        </w:tc>
        <w:tc>
          <w:tcPr>
            <w:tcW w:w="1018" w:type="dxa"/>
          </w:tcPr>
          <w:p w14:paraId="24FAB143" w14:textId="14A5BE83" w:rsidR="00170041" w:rsidRDefault="00170041" w:rsidP="00444571">
            <w:pPr>
              <w:pStyle w:val="TableParagraph"/>
              <w:spacing w:before="5" w:line="240" w:lineRule="auto"/>
              <w:ind w:left="92" w:right="89"/>
              <w:jc w:val="center"/>
              <w:rPr>
                <w:sz w:val="19"/>
              </w:rPr>
            </w:pPr>
            <w:r>
              <w:rPr>
                <w:w w:val="105"/>
                <w:sz w:val="19"/>
              </w:rPr>
              <w:t>GES</w:t>
            </w:r>
          </w:p>
        </w:tc>
      </w:tr>
      <w:tr w:rsidR="00170041" w14:paraId="3FF618AA" w14:textId="77777777" w:rsidTr="00444571">
        <w:trPr>
          <w:trHeight w:hRule="exact" w:val="240"/>
        </w:trPr>
        <w:tc>
          <w:tcPr>
            <w:tcW w:w="955" w:type="dxa"/>
            <w:vMerge/>
            <w:textDirection w:val="btLr"/>
          </w:tcPr>
          <w:p w14:paraId="0482261A" w14:textId="77777777" w:rsidR="00170041" w:rsidRDefault="00170041" w:rsidP="00444571"/>
        </w:tc>
        <w:tc>
          <w:tcPr>
            <w:tcW w:w="1008" w:type="dxa"/>
          </w:tcPr>
          <w:p w14:paraId="0FFC704A" w14:textId="195E3B22" w:rsidR="00170041" w:rsidRDefault="00170041" w:rsidP="00444571">
            <w:pPr>
              <w:pStyle w:val="TableParagraph"/>
              <w:spacing w:before="5" w:line="240" w:lineRule="auto"/>
              <w:ind w:left="105"/>
              <w:rPr>
                <w:sz w:val="19"/>
              </w:rPr>
            </w:pPr>
            <w:r>
              <w:rPr>
                <w:w w:val="105"/>
                <w:sz w:val="19"/>
              </w:rPr>
              <w:t>MO9</w:t>
            </w:r>
          </w:p>
        </w:tc>
        <w:tc>
          <w:tcPr>
            <w:tcW w:w="1109" w:type="dxa"/>
          </w:tcPr>
          <w:p w14:paraId="626C8D3D" w14:textId="17E036B7" w:rsidR="00170041" w:rsidRDefault="00170041" w:rsidP="00444571">
            <w:pPr>
              <w:pStyle w:val="TableParagraph"/>
              <w:spacing w:before="5" w:line="240" w:lineRule="auto"/>
              <w:ind w:left="336"/>
              <w:rPr>
                <w:sz w:val="19"/>
              </w:rPr>
            </w:pPr>
            <w:r>
              <w:rPr>
                <w:w w:val="105"/>
                <w:sz w:val="19"/>
              </w:rPr>
              <w:t>Shelf</w:t>
            </w:r>
          </w:p>
        </w:tc>
        <w:tc>
          <w:tcPr>
            <w:tcW w:w="1843" w:type="dxa"/>
          </w:tcPr>
          <w:p w14:paraId="79734C80" w14:textId="7E9A8DEC" w:rsidR="00170041" w:rsidRDefault="00170041" w:rsidP="00444571">
            <w:pPr>
              <w:pStyle w:val="TableParagraph"/>
              <w:spacing w:before="5" w:line="240" w:lineRule="auto"/>
              <w:ind w:left="567" w:right="570"/>
              <w:jc w:val="center"/>
              <w:rPr>
                <w:sz w:val="19"/>
              </w:rPr>
            </w:pPr>
            <w:r>
              <w:rPr>
                <w:w w:val="105"/>
                <w:sz w:val="19"/>
              </w:rPr>
              <w:t>High</w:t>
            </w:r>
          </w:p>
        </w:tc>
        <w:tc>
          <w:tcPr>
            <w:tcW w:w="1440" w:type="dxa"/>
          </w:tcPr>
          <w:p w14:paraId="574AC78E" w14:textId="5D476F6A" w:rsidR="00170041" w:rsidRDefault="00170041" w:rsidP="00444571">
            <w:pPr>
              <w:pStyle w:val="TableParagraph"/>
              <w:spacing w:before="5" w:line="240" w:lineRule="auto"/>
              <w:ind w:left="667"/>
              <w:rPr>
                <w:sz w:val="19"/>
              </w:rPr>
            </w:pPr>
            <w:r>
              <w:rPr>
                <w:w w:val="103"/>
                <w:sz w:val="19"/>
              </w:rPr>
              <w:t>1</w:t>
            </w:r>
          </w:p>
        </w:tc>
        <w:tc>
          <w:tcPr>
            <w:tcW w:w="1018" w:type="dxa"/>
          </w:tcPr>
          <w:p w14:paraId="6AD67291" w14:textId="056724E5" w:rsidR="00170041" w:rsidRDefault="00170041" w:rsidP="00444571">
            <w:pPr>
              <w:pStyle w:val="TableParagraph"/>
              <w:spacing w:before="5" w:line="240" w:lineRule="auto"/>
              <w:ind w:left="92" w:right="89"/>
              <w:jc w:val="center"/>
              <w:rPr>
                <w:sz w:val="19"/>
              </w:rPr>
            </w:pPr>
            <w:r>
              <w:rPr>
                <w:w w:val="105"/>
                <w:sz w:val="19"/>
              </w:rPr>
              <w:t>GES</w:t>
            </w:r>
          </w:p>
        </w:tc>
      </w:tr>
      <w:tr w:rsidR="00170041" w14:paraId="4053D8AD" w14:textId="77777777" w:rsidTr="00444571">
        <w:trPr>
          <w:trHeight w:hRule="exact" w:val="240"/>
        </w:trPr>
        <w:tc>
          <w:tcPr>
            <w:tcW w:w="955" w:type="dxa"/>
            <w:vMerge/>
            <w:textDirection w:val="btLr"/>
          </w:tcPr>
          <w:p w14:paraId="5F1D127D" w14:textId="77777777" w:rsidR="00170041" w:rsidRDefault="00170041" w:rsidP="00444571"/>
        </w:tc>
        <w:tc>
          <w:tcPr>
            <w:tcW w:w="1008" w:type="dxa"/>
          </w:tcPr>
          <w:p w14:paraId="795B325A" w14:textId="3331A303" w:rsidR="00170041" w:rsidRDefault="00170041" w:rsidP="00444571">
            <w:pPr>
              <w:pStyle w:val="TableParagraph"/>
              <w:spacing w:before="5" w:line="240" w:lineRule="auto"/>
              <w:ind w:left="105"/>
              <w:rPr>
                <w:sz w:val="19"/>
              </w:rPr>
            </w:pPr>
            <w:r>
              <w:rPr>
                <w:w w:val="105"/>
                <w:sz w:val="19"/>
              </w:rPr>
              <w:t>MO8</w:t>
            </w:r>
          </w:p>
        </w:tc>
        <w:tc>
          <w:tcPr>
            <w:tcW w:w="1109" w:type="dxa"/>
          </w:tcPr>
          <w:p w14:paraId="3AA7AAF2" w14:textId="5C3E3766" w:rsidR="00170041" w:rsidRDefault="00170041" w:rsidP="00444571">
            <w:pPr>
              <w:pStyle w:val="TableParagraph"/>
              <w:spacing w:before="5" w:line="240" w:lineRule="auto"/>
              <w:ind w:left="336"/>
              <w:rPr>
                <w:sz w:val="19"/>
              </w:rPr>
            </w:pPr>
            <w:r>
              <w:rPr>
                <w:w w:val="105"/>
                <w:sz w:val="19"/>
              </w:rPr>
              <w:t>Open</w:t>
            </w:r>
          </w:p>
        </w:tc>
        <w:tc>
          <w:tcPr>
            <w:tcW w:w="1843" w:type="dxa"/>
          </w:tcPr>
          <w:p w14:paraId="4D55D051" w14:textId="08F86890" w:rsidR="00170041" w:rsidRDefault="00170041" w:rsidP="00444571">
            <w:pPr>
              <w:pStyle w:val="TableParagraph"/>
              <w:spacing w:before="5" w:line="240" w:lineRule="auto"/>
              <w:ind w:left="567" w:right="570"/>
              <w:jc w:val="center"/>
              <w:rPr>
                <w:sz w:val="19"/>
              </w:rPr>
            </w:pPr>
            <w:r>
              <w:rPr>
                <w:w w:val="105"/>
                <w:sz w:val="19"/>
              </w:rPr>
              <w:t>High</w:t>
            </w:r>
          </w:p>
        </w:tc>
        <w:tc>
          <w:tcPr>
            <w:tcW w:w="1440" w:type="dxa"/>
          </w:tcPr>
          <w:p w14:paraId="70259B6C" w14:textId="1309406E" w:rsidR="00170041" w:rsidRDefault="00170041" w:rsidP="00444571">
            <w:pPr>
              <w:pStyle w:val="TableParagraph"/>
              <w:spacing w:before="5" w:line="240" w:lineRule="auto"/>
              <w:ind w:left="667"/>
              <w:rPr>
                <w:sz w:val="19"/>
              </w:rPr>
            </w:pPr>
            <w:r>
              <w:rPr>
                <w:w w:val="103"/>
                <w:sz w:val="19"/>
              </w:rPr>
              <w:t>1</w:t>
            </w:r>
          </w:p>
        </w:tc>
        <w:tc>
          <w:tcPr>
            <w:tcW w:w="1018" w:type="dxa"/>
          </w:tcPr>
          <w:p w14:paraId="6DC882EE" w14:textId="537F2777" w:rsidR="00170041" w:rsidRDefault="00170041" w:rsidP="00444571">
            <w:pPr>
              <w:pStyle w:val="TableParagraph"/>
              <w:spacing w:before="5" w:line="240" w:lineRule="auto"/>
              <w:ind w:left="92" w:right="89"/>
              <w:jc w:val="center"/>
              <w:rPr>
                <w:sz w:val="19"/>
              </w:rPr>
            </w:pPr>
            <w:r>
              <w:rPr>
                <w:w w:val="105"/>
                <w:sz w:val="19"/>
              </w:rPr>
              <w:t>GES</w:t>
            </w:r>
          </w:p>
        </w:tc>
      </w:tr>
    </w:tbl>
    <w:p w14:paraId="460F07BB" w14:textId="77777777" w:rsidR="005E33A7" w:rsidRDefault="005E33A7" w:rsidP="005E33A7">
      <w:pPr>
        <w:pStyle w:val="ListBullet"/>
        <w:numPr>
          <w:ilvl w:val="0"/>
          <w:numId w:val="0"/>
        </w:numPr>
        <w:ind w:left="360"/>
        <w:rPr>
          <w:lang w:val="en-GB"/>
        </w:rPr>
      </w:pPr>
    </w:p>
    <w:p w14:paraId="49A858A4" w14:textId="21947A3E" w:rsidR="005E33A7" w:rsidRDefault="005E33A7" w:rsidP="005E33A7">
      <w:pPr>
        <w:autoSpaceDE w:val="0"/>
        <w:autoSpaceDN w:val="0"/>
        <w:adjustRightInd w:val="0"/>
        <w:ind w:firstLine="360"/>
        <w:rPr>
          <w:lang w:val="en-GB"/>
        </w:rPr>
      </w:pPr>
      <w:r w:rsidRPr="005E33A7">
        <w:rPr>
          <w:rFonts w:ascii="TimesNewRomanPSMT" w:eastAsiaTheme="minorHAnsi" w:hAnsi="TimesNewRomanPSMT" w:cs="TimesNewRomanPSMT"/>
          <w:sz w:val="24"/>
          <w:lang w:val="en-GB" w:eastAsia="en-US"/>
        </w:rPr>
        <w:t>Qualitative results of BEAST tool</w:t>
      </w:r>
      <w:r w:rsidR="00170041">
        <w:rPr>
          <w:rFonts w:ascii="TimesNewRomanPSMT" w:eastAsiaTheme="minorHAnsi" w:hAnsi="TimesNewRomanPSMT" w:cs="TimesNewRomanPSMT"/>
          <w:sz w:val="24"/>
          <w:lang w:val="en-GB" w:eastAsia="en-US"/>
        </w:rPr>
        <w:t xml:space="preserve"> for eutrophication assessment for Romania and Bulgaria</w:t>
      </w:r>
      <w:r w:rsidRPr="005E33A7">
        <w:rPr>
          <w:rFonts w:ascii="TimesNewRomanPSMT" w:eastAsiaTheme="minorHAnsi" w:hAnsi="TimesNewRomanPSMT" w:cs="TimesNewRomanPSMT"/>
          <w:sz w:val="24"/>
          <w:lang w:val="en-GB" w:eastAsia="en-US"/>
        </w:rPr>
        <w:t>, July 2013</w:t>
      </w:r>
    </w:p>
    <w:p w14:paraId="5A5D5EE6" w14:textId="77777777" w:rsidR="005E33A7" w:rsidRPr="00DE49F2" w:rsidRDefault="005E33A7" w:rsidP="005E33A7">
      <w:pPr>
        <w:pStyle w:val="ListBullet"/>
        <w:numPr>
          <w:ilvl w:val="0"/>
          <w:numId w:val="0"/>
        </w:numPr>
        <w:ind w:left="360"/>
        <w:rPr>
          <w:lang w:val="en-GB"/>
        </w:rPr>
      </w:pPr>
    </w:p>
    <w:p w14:paraId="4B0E76CB" w14:textId="77777777" w:rsidR="008F0803" w:rsidRDefault="008F0803" w:rsidP="008F0803">
      <w:pPr>
        <w:pStyle w:val="ListBullet"/>
        <w:rPr>
          <w:lang w:val="en-GB"/>
        </w:rPr>
      </w:pPr>
      <w:r w:rsidRPr="00E414BC">
        <w:rPr>
          <w:b/>
          <w:lang w:val="en-GB"/>
        </w:rPr>
        <w:t>Confidence assessment</w:t>
      </w:r>
      <w:r>
        <w:rPr>
          <w:b/>
          <w:lang w:val="en-GB"/>
        </w:rPr>
        <w:t>:</w:t>
      </w:r>
      <w:r>
        <w:rPr>
          <w:lang w:val="en-GB"/>
        </w:rPr>
        <w:t xml:space="preserve"> </w:t>
      </w:r>
    </w:p>
    <w:p w14:paraId="04F03067" w14:textId="77777777" w:rsidR="008F0803" w:rsidRDefault="008F0803" w:rsidP="008F0803">
      <w:pPr>
        <w:pStyle w:val="ListBullet"/>
        <w:numPr>
          <w:ilvl w:val="0"/>
          <w:numId w:val="0"/>
        </w:numPr>
        <w:ind w:left="360"/>
        <w:rPr>
          <w:lang w:val="en-GB"/>
        </w:rPr>
      </w:pPr>
      <w:r>
        <w:rPr>
          <w:lang w:val="en-GB"/>
        </w:rPr>
        <w:t>Bulgaria: Low/Medium/High (explanation)</w:t>
      </w:r>
    </w:p>
    <w:p w14:paraId="0D7D8D0D" w14:textId="77777777" w:rsidR="008F0803" w:rsidRDefault="008F0803" w:rsidP="008F0803">
      <w:pPr>
        <w:pStyle w:val="ListBullet"/>
        <w:numPr>
          <w:ilvl w:val="0"/>
          <w:numId w:val="0"/>
        </w:numPr>
        <w:ind w:left="360"/>
        <w:rPr>
          <w:lang w:val="en-GB"/>
        </w:rPr>
      </w:pPr>
      <w:r>
        <w:rPr>
          <w:lang w:val="en-GB"/>
        </w:rPr>
        <w:t>Romania:</w:t>
      </w:r>
      <w:r w:rsidRPr="00DE49F2">
        <w:rPr>
          <w:lang w:val="en-GB"/>
        </w:rPr>
        <w:t xml:space="preserve"> Low/Medium/High</w:t>
      </w:r>
      <w:r>
        <w:rPr>
          <w:lang w:val="en-GB"/>
        </w:rPr>
        <w:t xml:space="preserve"> (explanation)</w:t>
      </w:r>
    </w:p>
    <w:p w14:paraId="2498F6F4" w14:textId="77777777" w:rsidR="005E33A7" w:rsidRDefault="005E33A7" w:rsidP="008F0803">
      <w:pPr>
        <w:pStyle w:val="ListBullet"/>
        <w:numPr>
          <w:ilvl w:val="0"/>
          <w:numId w:val="0"/>
        </w:numPr>
        <w:ind w:left="360"/>
        <w:rPr>
          <w:lang w:val="en-GB"/>
        </w:rPr>
      </w:pPr>
    </w:p>
    <w:p w14:paraId="1B46B035" w14:textId="77777777" w:rsidR="005E33A7" w:rsidRPr="005E33A7" w:rsidRDefault="005E33A7" w:rsidP="005E33A7">
      <w:pPr>
        <w:pStyle w:val="ListBullet"/>
        <w:numPr>
          <w:ilvl w:val="0"/>
          <w:numId w:val="0"/>
        </w:numPr>
        <w:ind w:left="360"/>
        <w:rPr>
          <w:lang w:val="en-GB"/>
        </w:rPr>
      </w:pPr>
      <w:r w:rsidRPr="005E33A7">
        <w:rPr>
          <w:lang w:val="en-GB"/>
        </w:rPr>
        <w:t>Due to no correlation of BEAST with salinity (interpreted as no influence of the river discharge on the eutrophication status) and in absence of any other quantified anthropogenic influences it is to note that the poor eutrophication status could be influenced by the phosphate resuspension from the bottom hypoxic water-sediment interface, a process strongly influenced by the physical parameters and indirect by the hydrographic conditions.</w:t>
      </w:r>
    </w:p>
    <w:p w14:paraId="01E29243" w14:textId="77777777" w:rsidR="005E33A7" w:rsidRDefault="005E33A7" w:rsidP="008F0803">
      <w:pPr>
        <w:pStyle w:val="ListBullet"/>
        <w:numPr>
          <w:ilvl w:val="0"/>
          <w:numId w:val="0"/>
        </w:numPr>
        <w:ind w:left="360"/>
        <w:rPr>
          <w:lang w:val="en-GB"/>
        </w:rPr>
      </w:pPr>
    </w:p>
    <w:p w14:paraId="6C11BFDF" w14:textId="77777777" w:rsidR="008F0803" w:rsidRPr="00B75AC4" w:rsidRDefault="008F0803" w:rsidP="008F0803">
      <w:pPr>
        <w:pStyle w:val="ListBullet"/>
        <w:rPr>
          <w:lang w:val="en-GB"/>
        </w:rPr>
      </w:pPr>
      <w:r w:rsidRPr="00E414BC">
        <w:rPr>
          <w:b/>
          <w:lang w:val="en-GB"/>
        </w:rPr>
        <w:t>Knowledge gaps</w:t>
      </w:r>
      <w:r>
        <w:rPr>
          <w:b/>
          <w:lang w:val="en-GB"/>
        </w:rPr>
        <w:t xml:space="preserve">: </w:t>
      </w:r>
    </w:p>
    <w:p w14:paraId="7FFABC4E" w14:textId="77777777" w:rsidR="008F0803" w:rsidRPr="00B75AC4" w:rsidRDefault="008F0803" w:rsidP="008F0803">
      <w:pPr>
        <w:pStyle w:val="ListBullet"/>
        <w:numPr>
          <w:ilvl w:val="0"/>
          <w:numId w:val="0"/>
        </w:numPr>
        <w:ind w:left="360"/>
        <w:rPr>
          <w:lang w:val="en-GB"/>
        </w:rPr>
      </w:pPr>
      <w:r w:rsidRPr="00B75AC4">
        <w:rPr>
          <w:lang w:val="en-GB"/>
        </w:rPr>
        <w:t>Bulgaria:</w:t>
      </w:r>
    </w:p>
    <w:p w14:paraId="5116FBA3" w14:textId="77777777" w:rsidR="008F0803" w:rsidRDefault="008F0803" w:rsidP="008F0803">
      <w:pPr>
        <w:pStyle w:val="ListBullet"/>
        <w:numPr>
          <w:ilvl w:val="0"/>
          <w:numId w:val="0"/>
        </w:numPr>
        <w:ind w:left="360"/>
        <w:rPr>
          <w:b/>
          <w:lang w:val="en-GB"/>
        </w:rPr>
      </w:pPr>
      <w:r w:rsidRPr="00B75AC4">
        <w:rPr>
          <w:lang w:val="en-GB"/>
        </w:rPr>
        <w:t>Romania:</w:t>
      </w:r>
      <w:r>
        <w:rPr>
          <w:b/>
          <w:lang w:val="en-GB"/>
        </w:rPr>
        <w:t xml:space="preserve"> </w:t>
      </w:r>
    </w:p>
    <w:p w14:paraId="79C08D6E" w14:textId="77777777" w:rsidR="008F0803" w:rsidRDefault="008F0803" w:rsidP="008F0803">
      <w:pPr>
        <w:pStyle w:val="ListBullet"/>
        <w:numPr>
          <w:ilvl w:val="0"/>
          <w:numId w:val="0"/>
        </w:numPr>
        <w:ind w:left="360"/>
        <w:rPr>
          <w:lang w:val="en-GB"/>
        </w:rPr>
      </w:pPr>
      <w:r>
        <w:rPr>
          <w:lang w:val="en-GB"/>
        </w:rPr>
        <w:t>Text description of uncertainties and data/knowledge gaps in the assessment (i.e. reasons why confidence is "medium" or "low")</w:t>
      </w:r>
    </w:p>
    <w:p w14:paraId="6AFEA068" w14:textId="77777777" w:rsidR="008F0803" w:rsidRDefault="008F0803" w:rsidP="008F0803">
      <w:pPr>
        <w:rPr>
          <w:lang w:val="en-GB"/>
        </w:rPr>
      </w:pPr>
    </w:p>
    <w:p w14:paraId="455CA1E7" w14:textId="77777777" w:rsidR="008F0803" w:rsidRPr="00EC7A97" w:rsidRDefault="008F0803" w:rsidP="008F0803">
      <w:pPr>
        <w:rPr>
          <w:b/>
          <w:lang w:val="en-GB"/>
        </w:rPr>
      </w:pPr>
      <w:r w:rsidRPr="00EC7A97">
        <w:rPr>
          <w:b/>
          <w:lang w:val="en-GB"/>
        </w:rPr>
        <w:t>SUPPORTING INFORMATION/FURTHER DETAIL</w:t>
      </w:r>
      <w:r>
        <w:rPr>
          <w:b/>
          <w:lang w:val="en-GB"/>
        </w:rPr>
        <w:t>/METADATA</w:t>
      </w:r>
    </w:p>
    <w:p w14:paraId="0DBBF8F5" w14:textId="77777777" w:rsidR="008F0803" w:rsidRDefault="008F0803" w:rsidP="008F0803">
      <w:pPr>
        <w:rPr>
          <w:lang w:val="en-GB"/>
        </w:rPr>
      </w:pPr>
    </w:p>
    <w:p w14:paraId="7F4A80E7" w14:textId="77777777" w:rsidR="008F0803" w:rsidRDefault="008F0803" w:rsidP="008F0803">
      <w:pPr>
        <w:pStyle w:val="ListBullet"/>
        <w:rPr>
          <w:lang w:val="en-GB"/>
        </w:rPr>
      </w:pPr>
      <w:r w:rsidRPr="0016160F">
        <w:rPr>
          <w:b/>
          <w:lang w:val="en-GB"/>
        </w:rPr>
        <w:t>Geographical coverage</w:t>
      </w:r>
      <w:r>
        <w:rPr>
          <w:lang w:val="en-GB"/>
        </w:rPr>
        <w:t>: BG, RO</w:t>
      </w:r>
    </w:p>
    <w:p w14:paraId="68401D12" w14:textId="77777777" w:rsidR="008F0803" w:rsidRPr="00B75AC4" w:rsidRDefault="008F0803" w:rsidP="008F0803">
      <w:pPr>
        <w:pStyle w:val="ListBullet"/>
        <w:rPr>
          <w:i/>
          <w:lang w:val="en-GB"/>
        </w:rPr>
      </w:pPr>
      <w:r>
        <w:rPr>
          <w:b/>
          <w:lang w:val="en-GB"/>
        </w:rPr>
        <w:t>D</w:t>
      </w:r>
      <w:r w:rsidRPr="0016160F">
        <w:rPr>
          <w:b/>
          <w:lang w:val="en-GB"/>
        </w:rPr>
        <w:t>ate of data used for assessment</w:t>
      </w:r>
      <w:r>
        <w:rPr>
          <w:lang w:val="en-GB"/>
        </w:rPr>
        <w:t xml:space="preserve"> </w:t>
      </w:r>
    </w:p>
    <w:p w14:paraId="7EA81ED1" w14:textId="675C5D69" w:rsidR="008F0803" w:rsidRDefault="008F0803" w:rsidP="008F0803">
      <w:pPr>
        <w:pStyle w:val="ListBullet"/>
        <w:numPr>
          <w:ilvl w:val="0"/>
          <w:numId w:val="0"/>
        </w:numPr>
        <w:ind w:left="360"/>
        <w:rPr>
          <w:lang w:val="en-GB"/>
        </w:rPr>
      </w:pPr>
      <w:r>
        <w:rPr>
          <w:lang w:val="en-GB"/>
        </w:rPr>
        <w:t>Bulgaria:</w:t>
      </w:r>
      <w:r w:rsidR="00D91DE2">
        <w:rPr>
          <w:lang w:val="en-GB"/>
        </w:rPr>
        <w:t xml:space="preserve"> </w:t>
      </w:r>
      <w:r w:rsidR="00D91DE2" w:rsidRPr="005E33A7">
        <w:rPr>
          <w:rFonts w:ascii="TimesNewRomanPSMT" w:eastAsiaTheme="minorHAnsi" w:hAnsi="TimesNewRomanPSMT" w:cs="TimesNewRomanPSMT"/>
          <w:sz w:val="24"/>
          <w:lang w:val="en-GB" w:eastAsia="en-US"/>
        </w:rPr>
        <w:t>July 2013</w:t>
      </w:r>
    </w:p>
    <w:p w14:paraId="12B32B9E" w14:textId="719B1048" w:rsidR="008F0803" w:rsidRDefault="008F0803" w:rsidP="008F0803">
      <w:pPr>
        <w:pStyle w:val="ListBullet"/>
        <w:numPr>
          <w:ilvl w:val="0"/>
          <w:numId w:val="0"/>
        </w:numPr>
        <w:ind w:left="360"/>
        <w:rPr>
          <w:lang w:val="en-GB"/>
        </w:rPr>
      </w:pPr>
      <w:r>
        <w:rPr>
          <w:lang w:val="en-GB"/>
        </w:rPr>
        <w:t>Romania:</w:t>
      </w:r>
      <w:r w:rsidR="00D91DE2">
        <w:rPr>
          <w:lang w:val="en-GB"/>
        </w:rPr>
        <w:t xml:space="preserve"> </w:t>
      </w:r>
      <w:r w:rsidR="00D91DE2" w:rsidRPr="005E33A7">
        <w:rPr>
          <w:rFonts w:ascii="TimesNewRomanPSMT" w:eastAsiaTheme="minorHAnsi" w:hAnsi="TimesNewRomanPSMT" w:cs="TimesNewRomanPSMT"/>
          <w:sz w:val="24"/>
          <w:lang w:val="en-GB" w:eastAsia="en-US"/>
        </w:rPr>
        <w:t>July 2013</w:t>
      </w:r>
    </w:p>
    <w:p w14:paraId="7E9D1141" w14:textId="77777777" w:rsidR="008F0803" w:rsidRDefault="008F0803" w:rsidP="008F0803">
      <w:pPr>
        <w:pStyle w:val="ListBullet"/>
        <w:rPr>
          <w:lang w:val="en-GB"/>
        </w:rPr>
      </w:pPr>
      <w:r w:rsidRPr="008B63AF">
        <w:rPr>
          <w:b/>
          <w:lang w:val="en-GB"/>
        </w:rPr>
        <w:t>Data products</w:t>
      </w:r>
      <w:r>
        <w:rPr>
          <w:lang w:val="en-GB"/>
        </w:rPr>
        <w:t xml:space="preserve">: </w:t>
      </w:r>
      <w:r w:rsidR="00BB0046" w:rsidRPr="00BB0046">
        <w:rPr>
          <w:lang w:val="en-GB"/>
        </w:rPr>
        <w:t>(insert link)</w:t>
      </w:r>
    </w:p>
    <w:p w14:paraId="6AABE80A" w14:textId="77777777" w:rsidR="008F0803" w:rsidRPr="00B75AC4" w:rsidRDefault="008F0803" w:rsidP="008F0803">
      <w:pPr>
        <w:pStyle w:val="ListBullet"/>
        <w:rPr>
          <w:b/>
          <w:lang w:val="en-GB"/>
        </w:rPr>
      </w:pPr>
      <w:r w:rsidRPr="00B75AC4">
        <w:rPr>
          <w:b/>
          <w:lang w:val="en-GB"/>
        </w:rPr>
        <w:t>Contact and ownership</w:t>
      </w:r>
    </w:p>
    <w:p w14:paraId="5FF1CA88" w14:textId="77777777" w:rsidR="008F0803" w:rsidRPr="00C80DA5" w:rsidRDefault="008F0803" w:rsidP="008F0803">
      <w:pPr>
        <w:pStyle w:val="ListBullet"/>
        <w:numPr>
          <w:ilvl w:val="0"/>
          <w:numId w:val="0"/>
        </w:numPr>
        <w:ind w:left="360"/>
        <w:rPr>
          <w:lang w:val="en-GB"/>
        </w:rPr>
      </w:pPr>
      <w:r w:rsidRPr="00C80DA5">
        <w:rPr>
          <w:lang w:val="en-GB"/>
        </w:rPr>
        <w:t>Bulgaria: Black Sea Basin Directorate/Varna/BG</w:t>
      </w:r>
    </w:p>
    <w:p w14:paraId="59F3A9C2" w14:textId="77777777" w:rsidR="008F0803" w:rsidRPr="00B75AC4" w:rsidRDefault="008F0803" w:rsidP="008F0803">
      <w:pPr>
        <w:pStyle w:val="ListBullet"/>
        <w:numPr>
          <w:ilvl w:val="0"/>
          <w:numId w:val="0"/>
        </w:numPr>
        <w:ind w:left="360"/>
        <w:rPr>
          <w:lang w:val="en-GB"/>
        </w:rPr>
      </w:pPr>
      <w:r w:rsidRPr="00C80DA5">
        <w:rPr>
          <w:lang w:val="en-GB"/>
        </w:rPr>
        <w:t>Romania: National Institute for marine research and development "</w:t>
      </w:r>
      <w:proofErr w:type="spellStart"/>
      <w:r w:rsidRPr="00C80DA5">
        <w:rPr>
          <w:lang w:val="en-GB"/>
        </w:rPr>
        <w:t>Grigore</w:t>
      </w:r>
      <w:proofErr w:type="spellEnd"/>
      <w:r w:rsidRPr="00C80DA5">
        <w:rPr>
          <w:lang w:val="en-GB"/>
        </w:rPr>
        <w:t xml:space="preserve"> </w:t>
      </w:r>
      <w:proofErr w:type="spellStart"/>
      <w:r w:rsidRPr="00C80DA5">
        <w:rPr>
          <w:lang w:val="en-GB"/>
        </w:rPr>
        <w:t>Antipa</w:t>
      </w:r>
      <w:proofErr w:type="spellEnd"/>
      <w:r w:rsidRPr="00C80DA5">
        <w:rPr>
          <w:lang w:val="en-GB"/>
        </w:rPr>
        <w:t>"/Constanta/Romania</w:t>
      </w:r>
    </w:p>
    <w:p w14:paraId="73C455F5" w14:textId="77777777" w:rsidR="008F0803" w:rsidRPr="00A558E2" w:rsidRDefault="008F0803" w:rsidP="00A558E2">
      <w:pPr>
        <w:pStyle w:val="ListBullet"/>
        <w:rPr>
          <w:i/>
          <w:lang w:val="en-GB"/>
        </w:rPr>
      </w:pPr>
      <w:r w:rsidRPr="00A558E2">
        <w:rPr>
          <w:b/>
          <w:lang w:val="en-GB"/>
        </w:rPr>
        <w:t>Method for assessment (optional)</w:t>
      </w:r>
      <w:r w:rsidRPr="00A558E2">
        <w:rPr>
          <w:lang w:val="en-GB"/>
        </w:rPr>
        <w:t xml:space="preserve">: </w:t>
      </w:r>
      <w:r w:rsidR="00A558E2" w:rsidRPr="00A558E2">
        <w:rPr>
          <w:lang w:val="en-GB"/>
        </w:rPr>
        <w:t xml:space="preserve">See: Lazar Luminita, Boicenco Laura, </w:t>
      </w:r>
      <w:proofErr w:type="spellStart"/>
      <w:r w:rsidR="00A558E2" w:rsidRPr="00A558E2">
        <w:rPr>
          <w:lang w:val="en-GB"/>
        </w:rPr>
        <w:t>Beken</w:t>
      </w:r>
      <w:proofErr w:type="spellEnd"/>
      <w:r w:rsidR="00A558E2" w:rsidRPr="00A558E2">
        <w:rPr>
          <w:lang w:val="en-GB"/>
        </w:rPr>
        <w:t xml:space="preserve"> </w:t>
      </w:r>
      <w:proofErr w:type="spellStart"/>
      <w:r w:rsidR="00A558E2" w:rsidRPr="00A558E2">
        <w:rPr>
          <w:lang w:val="en-GB"/>
        </w:rPr>
        <w:t>Colpan</w:t>
      </w:r>
      <w:proofErr w:type="spellEnd"/>
      <w:r w:rsidR="00A558E2" w:rsidRPr="00A558E2">
        <w:rPr>
          <w:lang w:val="en-GB"/>
        </w:rPr>
        <w:t xml:space="preserve">, </w:t>
      </w:r>
      <w:proofErr w:type="spellStart"/>
      <w:r w:rsidR="00A558E2" w:rsidRPr="00A558E2">
        <w:rPr>
          <w:lang w:val="en-GB"/>
        </w:rPr>
        <w:t>Dzhurova</w:t>
      </w:r>
      <w:proofErr w:type="spellEnd"/>
      <w:r w:rsidR="00A558E2" w:rsidRPr="00A558E2">
        <w:rPr>
          <w:lang w:val="en-GB"/>
        </w:rPr>
        <w:t xml:space="preserve"> </w:t>
      </w:r>
      <w:proofErr w:type="spellStart"/>
      <w:r w:rsidR="00A558E2" w:rsidRPr="00A558E2">
        <w:rPr>
          <w:lang w:val="en-GB"/>
        </w:rPr>
        <w:t>Boryana</w:t>
      </w:r>
      <w:proofErr w:type="spellEnd"/>
      <w:r w:rsidR="00A558E2" w:rsidRPr="00A558E2">
        <w:rPr>
          <w:lang w:val="en-GB"/>
        </w:rPr>
        <w:t xml:space="preserve">, </w:t>
      </w:r>
      <w:proofErr w:type="spellStart"/>
      <w:r w:rsidR="00A558E2" w:rsidRPr="00A558E2">
        <w:rPr>
          <w:lang w:val="en-GB"/>
        </w:rPr>
        <w:t>Moncheva</w:t>
      </w:r>
      <w:proofErr w:type="spellEnd"/>
      <w:r w:rsidR="00A558E2" w:rsidRPr="00A558E2">
        <w:rPr>
          <w:lang w:val="en-GB"/>
        </w:rPr>
        <w:t xml:space="preserve"> </w:t>
      </w:r>
      <w:proofErr w:type="spellStart"/>
      <w:r w:rsidR="00A558E2" w:rsidRPr="00A558E2">
        <w:rPr>
          <w:lang w:val="en-GB"/>
        </w:rPr>
        <w:t>Snejana</w:t>
      </w:r>
      <w:proofErr w:type="spellEnd"/>
      <w:r w:rsidR="00A558E2" w:rsidRPr="00A558E2">
        <w:rPr>
          <w:lang w:val="en-GB"/>
        </w:rPr>
        <w:t xml:space="preserve">, </w:t>
      </w:r>
      <w:proofErr w:type="spellStart"/>
      <w:r w:rsidR="00A558E2" w:rsidRPr="00A558E2">
        <w:rPr>
          <w:lang w:val="en-GB"/>
        </w:rPr>
        <w:t>Shtereva</w:t>
      </w:r>
      <w:proofErr w:type="spellEnd"/>
      <w:r w:rsidR="00A558E2" w:rsidRPr="00A558E2">
        <w:rPr>
          <w:lang w:val="en-GB"/>
        </w:rPr>
        <w:t xml:space="preserve"> Galina, </w:t>
      </w:r>
      <w:proofErr w:type="spellStart"/>
      <w:r w:rsidR="00A558E2" w:rsidRPr="00A558E2">
        <w:rPr>
          <w:lang w:val="en-GB"/>
        </w:rPr>
        <w:t>Vasiliu</w:t>
      </w:r>
      <w:proofErr w:type="spellEnd"/>
      <w:r w:rsidR="00A558E2" w:rsidRPr="00A558E2">
        <w:rPr>
          <w:lang w:val="en-GB"/>
        </w:rPr>
        <w:t xml:space="preserve"> Dan (2015): Western Black Sea eutrophication status according to Black Sea eutrophication </w:t>
      </w:r>
      <w:proofErr w:type="spellStart"/>
      <w:r w:rsidR="00A558E2" w:rsidRPr="00A558E2">
        <w:rPr>
          <w:lang w:val="en-GB"/>
        </w:rPr>
        <w:t>asessment</w:t>
      </w:r>
      <w:proofErr w:type="spellEnd"/>
      <w:r w:rsidR="00A558E2" w:rsidRPr="00A558E2">
        <w:rPr>
          <w:lang w:val="en-GB"/>
        </w:rPr>
        <w:t xml:space="preserve"> tool, BEAST– MISIS cruise results, available at http://mcc.jrc.ec.europa.eu/documents/201606235238.pdf</w:t>
      </w:r>
    </w:p>
    <w:p w14:paraId="4E229A14" w14:textId="77777777" w:rsidR="00537246" w:rsidRDefault="008F0803" w:rsidP="008F0803">
      <w:r w:rsidRPr="00BF5893">
        <w:rPr>
          <w:b/>
          <w:lang w:val="en-GB"/>
        </w:rPr>
        <w:t>Date of publication/preparation</w:t>
      </w:r>
      <w:r>
        <w:rPr>
          <w:b/>
          <w:lang w:val="en-GB"/>
        </w:rPr>
        <w:t>:</w:t>
      </w:r>
      <w:r>
        <w:rPr>
          <w:lang w:val="en-GB"/>
        </w:rPr>
        <w:t xml:space="preserve"> </w:t>
      </w:r>
      <w:r w:rsidRPr="00D91DE2">
        <w:rPr>
          <w:highlight w:val="yellow"/>
          <w:lang w:val="en-GB"/>
        </w:rPr>
        <w:t>xxx</w:t>
      </w:r>
      <w:r w:rsidRPr="00BB0046">
        <w:rPr>
          <w:lang w:val="en-GB"/>
        </w:rPr>
        <w:t xml:space="preserve">/(preparation </w:t>
      </w:r>
      <w:r w:rsidR="00A558E2">
        <w:rPr>
          <w:lang w:val="en-GB"/>
        </w:rPr>
        <w:t>February 2016</w:t>
      </w:r>
      <w:r w:rsidRPr="00BB0046">
        <w:rPr>
          <w:lang w:val="en-GB"/>
        </w:rPr>
        <w:t>)</w:t>
      </w:r>
    </w:p>
    <w:sectPr w:rsidR="00537246" w:rsidSect="005372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5C884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9F7FCE"/>
    <w:rsid w:val="000D6A4B"/>
    <w:rsid w:val="00170041"/>
    <w:rsid w:val="00197397"/>
    <w:rsid w:val="001B17AA"/>
    <w:rsid w:val="001F0FE6"/>
    <w:rsid w:val="002D3933"/>
    <w:rsid w:val="00396C95"/>
    <w:rsid w:val="003E2660"/>
    <w:rsid w:val="00430AC6"/>
    <w:rsid w:val="00465B2B"/>
    <w:rsid w:val="00490713"/>
    <w:rsid w:val="00504944"/>
    <w:rsid w:val="00537246"/>
    <w:rsid w:val="005B2E1A"/>
    <w:rsid w:val="005E33A7"/>
    <w:rsid w:val="006B4C9E"/>
    <w:rsid w:val="00743CC8"/>
    <w:rsid w:val="008A3ABE"/>
    <w:rsid w:val="008F0803"/>
    <w:rsid w:val="009B022D"/>
    <w:rsid w:val="009F7FCE"/>
    <w:rsid w:val="00A558E2"/>
    <w:rsid w:val="00A903C5"/>
    <w:rsid w:val="00AC6EF2"/>
    <w:rsid w:val="00B527D5"/>
    <w:rsid w:val="00B53638"/>
    <w:rsid w:val="00B75AC4"/>
    <w:rsid w:val="00BB0046"/>
    <w:rsid w:val="00CD5EEE"/>
    <w:rsid w:val="00D46F56"/>
    <w:rsid w:val="00D91DE2"/>
    <w:rsid w:val="00DE319B"/>
    <w:rsid w:val="00E07AA0"/>
    <w:rsid w:val="00E13229"/>
    <w:rsid w:val="00E30E30"/>
    <w:rsid w:val="00E7289C"/>
    <w:rsid w:val="00E85E1E"/>
    <w:rsid w:val="00F920DD"/>
    <w:rsid w:val="00FA0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1E68"/>
  <w15:docId w15:val="{A513FC38-E5CA-4DCD-B20F-043A89CD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7FCE"/>
    <w:pPr>
      <w:spacing w:after="0" w:line="240" w:lineRule="auto"/>
    </w:pPr>
    <w:rPr>
      <w:rFonts w:ascii="Times New Roman" w:eastAsia="Times New Roman" w:hAnsi="Times New Roman" w:cs="Times New Roman"/>
      <w:szCs w:val="24"/>
      <w:lang w:val="fr-BE" w:eastAsia="fr-FR"/>
    </w:rPr>
  </w:style>
  <w:style w:type="paragraph" w:styleId="Heading1">
    <w:name w:val="heading 1"/>
    <w:basedOn w:val="Normal"/>
    <w:next w:val="Normal"/>
    <w:link w:val="Heading1Char"/>
    <w:uiPriority w:val="9"/>
    <w:qFormat/>
    <w:rsid w:val="00DE319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9F7FCE"/>
    <w:pPr>
      <w:spacing w:after="120"/>
      <w:ind w:left="578" w:hanging="578"/>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19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9F7FCE"/>
    <w:rPr>
      <w:rFonts w:ascii="Times New Roman" w:eastAsia="Times New Roman" w:hAnsi="Times New Roman" w:cs="Times New Roman"/>
      <w:b/>
      <w:sz w:val="28"/>
      <w:szCs w:val="24"/>
      <w:lang w:val="fr-BE" w:eastAsia="fr-FR"/>
    </w:rPr>
  </w:style>
  <w:style w:type="character" w:styleId="CommentReference">
    <w:name w:val="annotation reference"/>
    <w:basedOn w:val="DefaultParagraphFont"/>
    <w:uiPriority w:val="99"/>
    <w:semiHidden/>
    <w:unhideWhenUsed/>
    <w:rsid w:val="009F7FCE"/>
    <w:rPr>
      <w:sz w:val="16"/>
      <w:szCs w:val="16"/>
    </w:rPr>
  </w:style>
  <w:style w:type="paragraph" w:styleId="CommentText">
    <w:name w:val="annotation text"/>
    <w:basedOn w:val="Normal"/>
    <w:link w:val="CommentTextChar"/>
    <w:uiPriority w:val="99"/>
    <w:unhideWhenUsed/>
    <w:rsid w:val="009F7FCE"/>
    <w:rPr>
      <w:sz w:val="20"/>
      <w:szCs w:val="20"/>
    </w:rPr>
  </w:style>
  <w:style w:type="character" w:customStyle="1" w:styleId="CommentTextChar">
    <w:name w:val="Comment Text Char"/>
    <w:basedOn w:val="DefaultParagraphFont"/>
    <w:link w:val="CommentText"/>
    <w:uiPriority w:val="99"/>
    <w:rsid w:val="009F7FCE"/>
    <w:rPr>
      <w:rFonts w:ascii="Times New Roman" w:eastAsia="Times New Roman" w:hAnsi="Times New Roman" w:cs="Times New Roman"/>
      <w:sz w:val="20"/>
      <w:szCs w:val="20"/>
      <w:lang w:val="fr-BE" w:eastAsia="fr-FR"/>
    </w:rPr>
  </w:style>
  <w:style w:type="paragraph" w:styleId="ListBullet">
    <w:name w:val="List Bullet"/>
    <w:basedOn w:val="Normal"/>
    <w:uiPriority w:val="99"/>
    <w:unhideWhenUsed/>
    <w:rsid w:val="009F7FCE"/>
    <w:pPr>
      <w:numPr>
        <w:numId w:val="1"/>
      </w:numPr>
      <w:contextualSpacing/>
    </w:pPr>
  </w:style>
  <w:style w:type="paragraph" w:styleId="BalloonText">
    <w:name w:val="Balloon Text"/>
    <w:basedOn w:val="Normal"/>
    <w:link w:val="BalloonTextChar"/>
    <w:uiPriority w:val="99"/>
    <w:semiHidden/>
    <w:unhideWhenUsed/>
    <w:rsid w:val="009F7FCE"/>
    <w:rPr>
      <w:rFonts w:ascii="Tahoma" w:hAnsi="Tahoma" w:cs="Tahoma"/>
      <w:sz w:val="16"/>
      <w:szCs w:val="16"/>
    </w:rPr>
  </w:style>
  <w:style w:type="character" w:customStyle="1" w:styleId="BalloonTextChar">
    <w:name w:val="Balloon Text Char"/>
    <w:basedOn w:val="DefaultParagraphFont"/>
    <w:link w:val="BalloonText"/>
    <w:uiPriority w:val="99"/>
    <w:semiHidden/>
    <w:rsid w:val="009F7FCE"/>
    <w:rPr>
      <w:rFonts w:ascii="Tahoma" w:eastAsia="Times New Roman" w:hAnsi="Tahoma" w:cs="Tahoma"/>
      <w:sz w:val="16"/>
      <w:szCs w:val="16"/>
      <w:lang w:val="fr-BE" w:eastAsia="fr-FR"/>
    </w:rPr>
  </w:style>
  <w:style w:type="paragraph" w:styleId="CommentSubject">
    <w:name w:val="annotation subject"/>
    <w:basedOn w:val="CommentText"/>
    <w:next w:val="CommentText"/>
    <w:link w:val="CommentSubjectChar"/>
    <w:uiPriority w:val="99"/>
    <w:semiHidden/>
    <w:unhideWhenUsed/>
    <w:rsid w:val="00197397"/>
    <w:rPr>
      <w:b/>
      <w:bCs/>
    </w:rPr>
  </w:style>
  <w:style w:type="character" w:customStyle="1" w:styleId="CommentSubjectChar">
    <w:name w:val="Comment Subject Char"/>
    <w:basedOn w:val="CommentTextChar"/>
    <w:link w:val="CommentSubject"/>
    <w:uiPriority w:val="99"/>
    <w:semiHidden/>
    <w:rsid w:val="00197397"/>
    <w:rPr>
      <w:rFonts w:ascii="Times New Roman" w:eastAsia="Times New Roman" w:hAnsi="Times New Roman" w:cs="Times New Roman"/>
      <w:b/>
      <w:bCs/>
      <w:sz w:val="20"/>
      <w:szCs w:val="20"/>
      <w:lang w:val="fr-BE" w:eastAsia="fr-FR"/>
    </w:rPr>
  </w:style>
  <w:style w:type="paragraph" w:customStyle="1" w:styleId="Default">
    <w:name w:val="Default"/>
    <w:rsid w:val="0050494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E33A7"/>
    <w:pPr>
      <w:ind w:left="720"/>
      <w:contextualSpacing/>
    </w:pPr>
  </w:style>
  <w:style w:type="paragraph" w:customStyle="1" w:styleId="TableParagraph">
    <w:name w:val="Table Paragraph"/>
    <w:basedOn w:val="Normal"/>
    <w:uiPriority w:val="1"/>
    <w:qFormat/>
    <w:rsid w:val="00170041"/>
    <w:pPr>
      <w:widowControl w:val="0"/>
      <w:autoSpaceDE w:val="0"/>
      <w:autoSpaceDN w:val="0"/>
      <w:spacing w:line="273" w:lineRule="exact"/>
    </w:pPr>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7805-B7BA-4968-92EF-4F0ACA22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ABP</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InterSus</dc:creator>
  <cp:lastModifiedBy>Thomas Dworak</cp:lastModifiedBy>
  <cp:revision>15</cp:revision>
  <dcterms:created xsi:type="dcterms:W3CDTF">2016-12-12T16:10:00Z</dcterms:created>
  <dcterms:modified xsi:type="dcterms:W3CDTF">2017-03-06T16:48:00Z</dcterms:modified>
</cp:coreProperties>
</file>