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FCE" w:rsidRDefault="00B75AC4" w:rsidP="009F7FCE">
      <w:pPr>
        <w:pStyle w:val="Heading2"/>
        <w:rPr>
          <w:bCs/>
          <w:lang w:val="en-GB"/>
        </w:rPr>
      </w:pPr>
      <w:r>
        <w:rPr>
          <w:bCs/>
          <w:lang w:val="en-GB"/>
        </w:rPr>
        <w:t>Draft indicator factsheet</w:t>
      </w:r>
      <w:r w:rsidR="0018248A" w:rsidRPr="0018248A">
        <w:rPr>
          <w:bCs/>
          <w:lang w:val="en-GB"/>
        </w:rPr>
        <w:t xml:space="preserve"> </w:t>
      </w:r>
      <w:r w:rsidR="0018248A" w:rsidRPr="00D23F58">
        <w:rPr>
          <w:bCs/>
          <w:lang w:val="en-GB"/>
        </w:rPr>
        <w:t>D1</w:t>
      </w:r>
      <w:r>
        <w:rPr>
          <w:bCs/>
          <w:lang w:val="en-GB"/>
        </w:rPr>
        <w:t xml:space="preserve"> </w:t>
      </w:r>
      <w:r w:rsidR="009C7431">
        <w:rPr>
          <w:bCs/>
          <w:lang w:val="en-GB"/>
        </w:rPr>
        <w:t>Mammals</w:t>
      </w:r>
    </w:p>
    <w:p w:rsidR="009F7FCE" w:rsidRDefault="009F7FCE" w:rsidP="009F7FCE">
      <w:pPr>
        <w:rPr>
          <w:lang w:val="en-GB"/>
        </w:rPr>
      </w:pPr>
    </w:p>
    <w:p w:rsidR="009F7FCE" w:rsidRPr="00EC7A97" w:rsidRDefault="009F7FCE" w:rsidP="009F7FCE">
      <w:pPr>
        <w:rPr>
          <w:b/>
          <w:lang w:val="en-GB"/>
        </w:rPr>
      </w:pPr>
      <w:r w:rsidRPr="00EC7A97">
        <w:rPr>
          <w:b/>
          <w:lang w:val="en-GB"/>
        </w:rPr>
        <w:t>SUMMARY INFORMATION</w:t>
      </w:r>
      <w:r>
        <w:rPr>
          <w:b/>
          <w:lang w:val="en-GB"/>
        </w:rPr>
        <w:t xml:space="preserve"> </w:t>
      </w:r>
    </w:p>
    <w:p w:rsidR="009F7FCE" w:rsidRPr="00FB0FF6" w:rsidRDefault="009F7FCE" w:rsidP="009F7FCE">
      <w:pPr>
        <w:rPr>
          <w:lang w:val="en-GB"/>
        </w:rPr>
      </w:pPr>
    </w:p>
    <w:p w:rsidR="009C7431" w:rsidRDefault="009F7FCE" w:rsidP="009C7431">
      <w:pPr>
        <w:pStyle w:val="ListBullet"/>
        <w:rPr>
          <w:bCs/>
          <w:szCs w:val="22"/>
          <w:lang w:val="en-US" w:eastAsia="en-US"/>
        </w:rPr>
      </w:pPr>
      <w:r w:rsidRPr="00B75AC4">
        <w:rPr>
          <w:b/>
          <w:lang w:val="en-GB"/>
        </w:rPr>
        <w:t>Indicator name</w:t>
      </w:r>
      <w:r w:rsidR="00B75AC4">
        <w:rPr>
          <w:lang w:val="en-GB"/>
        </w:rPr>
        <w:t xml:space="preserve">: </w:t>
      </w:r>
      <w:r w:rsidR="009C7431">
        <w:rPr>
          <w:lang w:val="en-GB"/>
        </w:rPr>
        <w:t xml:space="preserve">D1 Mammals, incorporating assessments of D1C1 Mammals: </w:t>
      </w:r>
      <w:r w:rsidR="009C7431">
        <w:rPr>
          <w:bCs/>
          <w:lang w:val="en-GB"/>
        </w:rPr>
        <w:t xml:space="preserve">Incidental by-catch of </w:t>
      </w:r>
      <w:r w:rsidR="000421E2">
        <w:rPr>
          <w:bCs/>
          <w:lang w:val="en-GB"/>
        </w:rPr>
        <w:t>h</w:t>
      </w:r>
      <w:r w:rsidR="009C7431">
        <w:rPr>
          <w:bCs/>
          <w:lang w:val="en-GB"/>
        </w:rPr>
        <w:t xml:space="preserve">arbour </w:t>
      </w:r>
      <w:r w:rsidR="000421E2">
        <w:rPr>
          <w:bCs/>
          <w:lang w:val="en-GB"/>
        </w:rPr>
        <w:t>p</w:t>
      </w:r>
      <w:r w:rsidR="009C7431">
        <w:rPr>
          <w:bCs/>
          <w:lang w:val="en-GB"/>
        </w:rPr>
        <w:t xml:space="preserve">orpoise, </w:t>
      </w:r>
      <w:r w:rsidR="000421E2">
        <w:rPr>
          <w:bCs/>
          <w:lang w:val="en-GB"/>
        </w:rPr>
        <w:t>c</w:t>
      </w:r>
      <w:r w:rsidR="009C7431">
        <w:rPr>
          <w:bCs/>
          <w:lang w:val="en-GB"/>
        </w:rPr>
        <w:t xml:space="preserve">ommon </w:t>
      </w:r>
      <w:r w:rsidR="000421E2">
        <w:rPr>
          <w:bCs/>
          <w:lang w:val="en-GB"/>
        </w:rPr>
        <w:t>d</w:t>
      </w:r>
      <w:r w:rsidR="009C7431">
        <w:rPr>
          <w:bCs/>
          <w:lang w:val="en-GB"/>
        </w:rPr>
        <w:t xml:space="preserve">olphin, </w:t>
      </w:r>
      <w:r w:rsidR="000421E2">
        <w:rPr>
          <w:bCs/>
          <w:lang w:val="en-GB"/>
        </w:rPr>
        <w:t>b</w:t>
      </w:r>
      <w:r w:rsidR="009C7431">
        <w:rPr>
          <w:bCs/>
          <w:lang w:val="en-GB"/>
        </w:rPr>
        <w:t xml:space="preserve">ottlenose </w:t>
      </w:r>
      <w:r w:rsidR="000421E2">
        <w:rPr>
          <w:bCs/>
          <w:lang w:val="en-GB"/>
        </w:rPr>
        <w:t>d</w:t>
      </w:r>
      <w:r w:rsidR="009C7431">
        <w:rPr>
          <w:bCs/>
          <w:lang w:val="en-GB"/>
        </w:rPr>
        <w:t xml:space="preserve">olphin; </w:t>
      </w:r>
      <w:r w:rsidR="009C7431" w:rsidRPr="009C7431">
        <w:rPr>
          <w:bCs/>
          <w:lang w:val="en-GB"/>
        </w:rPr>
        <w:t xml:space="preserve">D1C2 </w:t>
      </w:r>
      <w:r w:rsidR="000421E2">
        <w:rPr>
          <w:bCs/>
          <w:lang w:val="en-GB"/>
        </w:rPr>
        <w:t>(</w:t>
      </w:r>
      <w:r w:rsidR="009C7431" w:rsidRPr="009C7431">
        <w:rPr>
          <w:bCs/>
          <w:lang w:val="en-GB"/>
        </w:rPr>
        <w:t>Primary</w:t>
      </w:r>
      <w:r w:rsidR="000421E2">
        <w:rPr>
          <w:bCs/>
          <w:lang w:val="en-GB"/>
        </w:rPr>
        <w:t>)</w:t>
      </w:r>
      <w:r w:rsidR="009C7431" w:rsidRPr="009C7431">
        <w:rPr>
          <w:bCs/>
          <w:lang w:val="en-GB"/>
        </w:rPr>
        <w:t>: The population abundance of the species is not adversely affected due to anthropogenic pressures, such that its</w:t>
      </w:r>
      <w:r w:rsidR="009C7431">
        <w:rPr>
          <w:bCs/>
          <w:lang w:val="en-GB"/>
        </w:rPr>
        <w:t xml:space="preserve"> long-term viability is ensured and </w:t>
      </w:r>
      <w:r w:rsidR="009C7431" w:rsidRPr="009C7431">
        <w:rPr>
          <w:bCs/>
          <w:lang w:val="en-US"/>
        </w:rPr>
        <w:t xml:space="preserve">D1C4 </w:t>
      </w:r>
      <w:r w:rsidR="000421E2">
        <w:rPr>
          <w:bCs/>
          <w:lang w:val="en-US"/>
        </w:rPr>
        <w:t>(</w:t>
      </w:r>
      <w:r w:rsidR="009C7431" w:rsidRPr="009C7431">
        <w:rPr>
          <w:bCs/>
          <w:lang w:val="en-US"/>
        </w:rPr>
        <w:t>Primary for species covered by Annexes II, IV or V to Directive 92/43/EEC and secondary for other species</w:t>
      </w:r>
      <w:r w:rsidR="000421E2">
        <w:rPr>
          <w:bCs/>
          <w:lang w:val="en-US"/>
        </w:rPr>
        <w:t>)</w:t>
      </w:r>
      <w:r w:rsidR="009C7431" w:rsidRPr="009C7431">
        <w:rPr>
          <w:bCs/>
          <w:lang w:val="en-US"/>
        </w:rPr>
        <w:t>: The species distributional range and, where relevant, pattern is in line with prevailing physiographic, geographic and climatic conditions</w:t>
      </w:r>
    </w:p>
    <w:p w:rsidR="009F7FCE" w:rsidRPr="00C37415" w:rsidRDefault="009F7FCE" w:rsidP="00B9101F">
      <w:pPr>
        <w:pStyle w:val="ListBullet"/>
        <w:rPr>
          <w:i/>
          <w:lang w:val="en-GB"/>
        </w:rPr>
      </w:pPr>
      <w:r w:rsidRPr="00C37415">
        <w:rPr>
          <w:b/>
          <w:lang w:val="en-GB"/>
        </w:rPr>
        <w:t>Indicator summary</w:t>
      </w:r>
      <w:r w:rsidR="00B9101F" w:rsidRPr="00C37415">
        <w:rPr>
          <w:b/>
          <w:lang w:val="en-GB"/>
        </w:rPr>
        <w:t>:</w:t>
      </w:r>
      <w:r w:rsidRPr="00C37415">
        <w:rPr>
          <w:lang w:val="en-GB"/>
        </w:rPr>
        <w:t xml:space="preserve"> </w:t>
      </w:r>
      <w:r w:rsidR="009C7431" w:rsidRPr="00C37415">
        <w:rPr>
          <w:lang w:val="en-GB"/>
        </w:rPr>
        <w:t xml:space="preserve">In the </w:t>
      </w:r>
      <w:r w:rsidR="007045D2" w:rsidRPr="00C37415">
        <w:rPr>
          <w:lang w:val="en-GB"/>
        </w:rPr>
        <w:t>B</w:t>
      </w:r>
      <w:r w:rsidR="009C7431" w:rsidRPr="00C37415">
        <w:rPr>
          <w:lang w:val="en-GB"/>
        </w:rPr>
        <w:t>lack Sea only s</w:t>
      </w:r>
      <w:r w:rsidR="009C7431" w:rsidRPr="00C37415">
        <w:rPr>
          <w:color w:val="000000"/>
          <w:lang w:val="en-GB" w:eastAsia="en-GB"/>
        </w:rPr>
        <w:t xml:space="preserve">mall toothed cetaceans exist. No other </w:t>
      </w:r>
      <w:r w:rsidR="000421E2">
        <w:rPr>
          <w:color w:val="000000"/>
          <w:lang w:val="en-GB" w:eastAsia="en-GB"/>
        </w:rPr>
        <w:t xml:space="preserve">species groups of marine </w:t>
      </w:r>
      <w:r w:rsidR="009C7431" w:rsidRPr="00C37415">
        <w:rPr>
          <w:color w:val="000000"/>
          <w:lang w:val="en-GB" w:eastAsia="en-GB"/>
        </w:rPr>
        <w:t xml:space="preserve">mammals </w:t>
      </w:r>
      <w:r w:rsidR="000421E2">
        <w:rPr>
          <w:color w:val="000000"/>
          <w:lang w:val="en-GB" w:eastAsia="en-GB"/>
        </w:rPr>
        <w:t>are present in the region</w:t>
      </w:r>
      <w:r w:rsidR="009C7431" w:rsidRPr="00C37415">
        <w:rPr>
          <w:color w:val="000000"/>
          <w:lang w:val="en-GB" w:eastAsia="en-GB"/>
        </w:rPr>
        <w:t>.</w:t>
      </w:r>
      <w:r w:rsidR="00B30E9E" w:rsidRPr="00C37415">
        <w:rPr>
          <w:color w:val="000000"/>
          <w:lang w:val="en-GB" w:eastAsia="en-GB"/>
        </w:rPr>
        <w:t xml:space="preserve"> Based on the existing information </w:t>
      </w:r>
      <w:r w:rsidR="00C37415" w:rsidRPr="00C37415">
        <w:rPr>
          <w:color w:val="000000"/>
          <w:lang w:val="en-GB" w:eastAsia="en-GB"/>
        </w:rPr>
        <w:t xml:space="preserve">the status </w:t>
      </w:r>
      <w:r w:rsidR="000421E2">
        <w:rPr>
          <w:color w:val="000000"/>
          <w:lang w:val="en-GB" w:eastAsia="en-GB"/>
        </w:rPr>
        <w:t>do</w:t>
      </w:r>
      <w:r w:rsidR="00C37415" w:rsidRPr="00C37415">
        <w:rPr>
          <w:lang w:val="en-GB"/>
        </w:rPr>
        <w:t xml:space="preserve">s not </w:t>
      </w:r>
      <w:r w:rsidR="000421E2">
        <w:rPr>
          <w:lang w:val="en-GB"/>
        </w:rPr>
        <w:t xml:space="preserve">appear to be </w:t>
      </w:r>
      <w:r w:rsidR="00C37415" w:rsidRPr="00C37415">
        <w:rPr>
          <w:lang w:val="en-GB"/>
        </w:rPr>
        <w:t>good</w:t>
      </w:r>
      <w:r w:rsidR="000421E2">
        <w:rPr>
          <w:lang w:val="en-GB"/>
        </w:rPr>
        <w:t>.</w:t>
      </w:r>
      <w:r w:rsidR="00C37415" w:rsidRPr="00C37415">
        <w:rPr>
          <w:lang w:val="en-GB"/>
        </w:rPr>
        <w:t xml:space="preserve"> </w:t>
      </w:r>
      <w:r w:rsidR="00B30E9E" w:rsidRPr="00C37415">
        <w:rPr>
          <w:lang w:val="en-GB"/>
        </w:rPr>
        <w:t>A summary of the trend for this indicator can only be delivered afte</w:t>
      </w:r>
      <w:r w:rsidR="004411BC">
        <w:rPr>
          <w:lang w:val="en-GB"/>
        </w:rPr>
        <w:t>r progress on status assessment</w:t>
      </w:r>
      <w:r w:rsidR="00B30E9E" w:rsidRPr="00C37415">
        <w:rPr>
          <w:lang w:val="en-GB"/>
        </w:rPr>
        <w:t>.</w:t>
      </w:r>
    </w:p>
    <w:p w:rsidR="00CF7796" w:rsidRDefault="009F7FCE" w:rsidP="00CF7796">
      <w:pPr>
        <w:pStyle w:val="ListBullet"/>
        <w:numPr>
          <w:ilvl w:val="0"/>
          <w:numId w:val="4"/>
        </w:numPr>
        <w:rPr>
          <w:lang w:val="en-GB"/>
        </w:rPr>
      </w:pPr>
      <w:r w:rsidRPr="008B63AF">
        <w:rPr>
          <w:b/>
          <w:lang w:val="en-GB"/>
        </w:rPr>
        <w:t>Background/relevance</w:t>
      </w:r>
      <w:r w:rsidR="00B9101F">
        <w:rPr>
          <w:b/>
          <w:lang w:val="en-GB"/>
        </w:rPr>
        <w:t>:</w:t>
      </w:r>
      <w:r>
        <w:rPr>
          <w:lang w:val="en-GB"/>
        </w:rPr>
        <w:t xml:space="preserve"> </w:t>
      </w:r>
      <w:r w:rsidR="00FB02F2" w:rsidRPr="00FB02F2">
        <w:rPr>
          <w:lang w:val="en-GB"/>
        </w:rPr>
        <w:t xml:space="preserve">The </w:t>
      </w:r>
      <w:r w:rsidR="00CF7796">
        <w:rPr>
          <w:lang w:val="en-GB"/>
        </w:rPr>
        <w:t xml:space="preserve">descriptor </w:t>
      </w:r>
      <w:r w:rsidR="00FB02F2" w:rsidRPr="00FB02F2">
        <w:rPr>
          <w:lang w:val="en-GB"/>
        </w:rPr>
        <w:t xml:space="preserve">shows the </w:t>
      </w:r>
      <w:r w:rsidR="00FB02F2" w:rsidRPr="00FB02F2">
        <w:rPr>
          <w:lang w:val="en-US"/>
        </w:rPr>
        <w:t>mortality rate from incidental by-catch</w:t>
      </w:r>
      <w:r w:rsidR="00FB02F2">
        <w:rPr>
          <w:lang w:val="en-US"/>
        </w:rPr>
        <w:t xml:space="preserve"> for </w:t>
      </w:r>
      <w:r w:rsidR="009C7431">
        <w:rPr>
          <w:lang w:val="en-GB"/>
        </w:rPr>
        <w:t>s</w:t>
      </w:r>
      <w:r w:rsidR="009C7431">
        <w:rPr>
          <w:color w:val="000000"/>
          <w:lang w:val="en-GB" w:eastAsia="en-GB"/>
        </w:rPr>
        <w:t xml:space="preserve">mall toothed cetaceans </w:t>
      </w:r>
      <w:r w:rsidR="00CF7796">
        <w:rPr>
          <w:lang w:val="en-GB"/>
        </w:rPr>
        <w:t>(</w:t>
      </w:r>
      <w:r w:rsidR="000421E2">
        <w:rPr>
          <w:lang w:val="en-GB"/>
        </w:rPr>
        <w:t>h</w:t>
      </w:r>
      <w:r w:rsidR="00CF7796">
        <w:rPr>
          <w:lang w:val="en-GB"/>
        </w:rPr>
        <w:t xml:space="preserve">arbour </w:t>
      </w:r>
      <w:r w:rsidR="000421E2">
        <w:rPr>
          <w:lang w:val="en-GB"/>
        </w:rPr>
        <w:t>p</w:t>
      </w:r>
      <w:r w:rsidR="00CF7796">
        <w:rPr>
          <w:lang w:val="en-GB"/>
        </w:rPr>
        <w:t xml:space="preserve">orpoise, </w:t>
      </w:r>
      <w:r w:rsidR="000421E2">
        <w:rPr>
          <w:lang w:val="en-GB"/>
        </w:rPr>
        <w:t>c</w:t>
      </w:r>
      <w:r w:rsidR="00CF7796">
        <w:rPr>
          <w:lang w:val="en-GB"/>
        </w:rPr>
        <w:t xml:space="preserve">ommon </w:t>
      </w:r>
      <w:r w:rsidR="000421E2">
        <w:rPr>
          <w:lang w:val="en-GB"/>
        </w:rPr>
        <w:t>d</w:t>
      </w:r>
      <w:r w:rsidR="00CF7796">
        <w:rPr>
          <w:lang w:val="en-GB"/>
        </w:rPr>
        <w:t xml:space="preserve">olphin, </w:t>
      </w:r>
      <w:r w:rsidR="000421E2">
        <w:rPr>
          <w:lang w:val="en-GB"/>
        </w:rPr>
        <w:t>b</w:t>
      </w:r>
      <w:r w:rsidR="00CF7796">
        <w:rPr>
          <w:lang w:val="en-GB"/>
        </w:rPr>
        <w:t xml:space="preserve">ottlenose </w:t>
      </w:r>
      <w:r w:rsidR="000421E2">
        <w:rPr>
          <w:lang w:val="en-GB"/>
        </w:rPr>
        <w:t>d</w:t>
      </w:r>
      <w:r w:rsidR="00CF7796">
        <w:rPr>
          <w:lang w:val="en-GB"/>
        </w:rPr>
        <w:t xml:space="preserve">olphin) </w:t>
      </w:r>
      <w:r w:rsidR="00FB02F2" w:rsidRPr="00FB02F2">
        <w:rPr>
          <w:lang w:val="en-US"/>
        </w:rPr>
        <w:t>which are at risk from incidental by-ca</w:t>
      </w:r>
      <w:r w:rsidR="00FB02F2">
        <w:rPr>
          <w:lang w:val="en-US"/>
        </w:rPr>
        <w:t>tch in the region or subregion</w:t>
      </w:r>
      <w:r w:rsidR="00FB02F2" w:rsidRPr="00FB02F2">
        <w:rPr>
          <w:lang w:val="en-US"/>
        </w:rPr>
        <w:t>. A low rate should be at levels which do not threaten the species, such that its long-term viability is ensured.</w:t>
      </w:r>
      <w:r w:rsidR="00CF7796">
        <w:rPr>
          <w:lang w:val="en-US"/>
        </w:rPr>
        <w:t xml:space="preserve"> The population abundance of three species </w:t>
      </w:r>
      <w:r w:rsidR="00CF7796">
        <w:rPr>
          <w:lang w:val="en-GB"/>
        </w:rPr>
        <w:t xml:space="preserve">indicates the level of </w:t>
      </w:r>
      <w:r w:rsidR="00CF7796">
        <w:rPr>
          <w:lang w:val="en-US"/>
        </w:rPr>
        <w:t xml:space="preserve">anthropogenic </w:t>
      </w:r>
      <w:r w:rsidR="00CF7796">
        <w:rPr>
          <w:lang w:val="en-GB"/>
        </w:rPr>
        <w:t xml:space="preserve">pressures on the species, and whether they </w:t>
      </w:r>
      <w:r w:rsidR="000421E2">
        <w:rPr>
          <w:lang w:val="en-GB"/>
        </w:rPr>
        <w:t xml:space="preserve">are </w:t>
      </w:r>
      <w:r w:rsidR="00CF7796">
        <w:rPr>
          <w:lang w:val="en-GB"/>
        </w:rPr>
        <w:t xml:space="preserve">adversely affected by them or not. It should be at levels </w:t>
      </w:r>
      <w:r w:rsidR="00CF7796">
        <w:rPr>
          <w:lang w:val="en-US"/>
        </w:rPr>
        <w:t xml:space="preserve">that their long-term viability is ensured. </w:t>
      </w:r>
      <w:r w:rsidR="000421E2">
        <w:rPr>
          <w:lang w:val="en-US"/>
        </w:rPr>
        <w:t>D</w:t>
      </w:r>
      <w:r w:rsidR="00CF7796">
        <w:rPr>
          <w:lang w:val="en-US"/>
        </w:rPr>
        <w:t>istributional range refers to the occurrence where a wide area of occurrence and distribution are indicative of healthy populations which are not adversely affected due to anthropogenic pressures.</w:t>
      </w:r>
    </w:p>
    <w:p w:rsidR="009F7FCE" w:rsidRDefault="009F7FCE" w:rsidP="009F7FCE">
      <w:pPr>
        <w:pStyle w:val="ListBullet"/>
        <w:rPr>
          <w:lang w:val="en-GB"/>
        </w:rPr>
      </w:pPr>
      <w:r w:rsidRPr="008B63AF">
        <w:rPr>
          <w:b/>
          <w:lang w:val="en-GB"/>
        </w:rPr>
        <w:t>Relevant criteri</w:t>
      </w:r>
      <w:r>
        <w:rPr>
          <w:b/>
          <w:lang w:val="en-GB"/>
        </w:rPr>
        <w:t>on/a</w:t>
      </w:r>
      <w:r w:rsidR="00B75AC4">
        <w:rPr>
          <w:lang w:val="en-GB"/>
        </w:rPr>
        <w:t xml:space="preserve">: </w:t>
      </w:r>
      <w:r w:rsidR="009877E8" w:rsidRPr="00D23F58">
        <w:rPr>
          <w:lang w:val="en-GB"/>
        </w:rPr>
        <w:t>D1C1</w:t>
      </w:r>
      <w:r w:rsidR="009C7431">
        <w:rPr>
          <w:lang w:val="en-GB"/>
        </w:rPr>
        <w:t>, D1C2; D1C4</w:t>
      </w:r>
      <w:r w:rsidR="000421E2">
        <w:rPr>
          <w:lang w:val="en-GB"/>
        </w:rPr>
        <w:t>.</w:t>
      </w:r>
    </w:p>
    <w:p w:rsidR="009F7FCE" w:rsidRDefault="009F7FCE" w:rsidP="009F7FCE">
      <w:pPr>
        <w:rPr>
          <w:lang w:val="en-GB"/>
        </w:rPr>
      </w:pPr>
    </w:p>
    <w:p w:rsidR="009F7FCE" w:rsidRPr="00EC7A97" w:rsidRDefault="009F7FCE" w:rsidP="009F7FCE">
      <w:pPr>
        <w:rPr>
          <w:b/>
          <w:lang w:val="en-GB"/>
        </w:rPr>
      </w:pPr>
      <w:r w:rsidRPr="00EC7A97">
        <w:rPr>
          <w:b/>
          <w:lang w:val="en-GB"/>
        </w:rPr>
        <w:t>MAIN ASSESSMENT</w:t>
      </w:r>
    </w:p>
    <w:p w:rsidR="009F7FCE" w:rsidRDefault="009F7FCE" w:rsidP="009F7FCE">
      <w:pPr>
        <w:rPr>
          <w:lang w:val="en-GB"/>
        </w:rPr>
      </w:pPr>
    </w:p>
    <w:p w:rsidR="00B9101F" w:rsidRDefault="00B9101F" w:rsidP="000C0D15">
      <w:pPr>
        <w:pStyle w:val="ListBullet"/>
        <w:numPr>
          <w:ilvl w:val="0"/>
          <w:numId w:val="0"/>
        </w:numPr>
        <w:ind w:left="360"/>
        <w:rPr>
          <w:lang w:val="en-GB"/>
        </w:rPr>
      </w:pPr>
      <w:r w:rsidRPr="00A11B21">
        <w:rPr>
          <w:b/>
          <w:lang w:val="en-GB"/>
        </w:rPr>
        <w:t xml:space="preserve">Status and trends: </w:t>
      </w:r>
      <w:r w:rsidR="00A11B21" w:rsidRPr="00A11B21">
        <w:rPr>
          <w:lang w:val="en-GB"/>
        </w:rPr>
        <w:t xml:space="preserve">The status assessment is based on </w:t>
      </w:r>
      <w:r w:rsidR="000421E2">
        <w:rPr>
          <w:lang w:val="en-GB"/>
        </w:rPr>
        <w:t>the</w:t>
      </w:r>
      <w:r w:rsidR="00A11B21" w:rsidRPr="00A11B21">
        <w:rPr>
          <w:lang w:val="en-GB"/>
        </w:rPr>
        <w:t xml:space="preserve"> study “Studies for Carrying Out the Common Fisheries Policy</w:t>
      </w:r>
      <w:r w:rsidR="000421E2">
        <w:rPr>
          <w:lang w:val="en-GB"/>
        </w:rPr>
        <w:t xml:space="preserve"> </w:t>
      </w:r>
      <w:r w:rsidR="00A11B21" w:rsidRPr="00A11B21">
        <w:rPr>
          <w:lang w:val="en-GB"/>
        </w:rPr>
        <w:t>- Lot No. 2: Adverse Fisheries Impacts on Cetacean Populations in the Black Sea</w:t>
      </w:r>
      <w:r w:rsidR="00A11B21">
        <w:rPr>
          <w:lang w:val="en-GB"/>
        </w:rPr>
        <w:t>”</w:t>
      </w:r>
      <w:r w:rsidR="00A11B21">
        <w:rPr>
          <w:rStyle w:val="FootnoteReference"/>
          <w:lang w:val="en-GB"/>
        </w:rPr>
        <w:footnoteReference w:id="1"/>
      </w:r>
      <w:r w:rsidR="00A11B21">
        <w:rPr>
          <w:lang w:val="en-GB"/>
        </w:rPr>
        <w:t xml:space="preserve"> which was finalised in 2014</w:t>
      </w:r>
      <w:r w:rsidR="000421E2">
        <w:rPr>
          <w:lang w:val="en-GB"/>
        </w:rPr>
        <w:t>.</w:t>
      </w:r>
    </w:p>
    <w:p w:rsidR="00A11B21" w:rsidRDefault="00A11B21" w:rsidP="000C0D15">
      <w:pPr>
        <w:pStyle w:val="ListBullet"/>
        <w:numPr>
          <w:ilvl w:val="0"/>
          <w:numId w:val="0"/>
        </w:numPr>
        <w:ind w:left="360"/>
        <w:rPr>
          <w:lang w:val="en-GB"/>
        </w:rPr>
      </w:pPr>
    </w:p>
    <w:p w:rsidR="00A11B21" w:rsidRPr="00CB1F5D" w:rsidRDefault="00A11B21" w:rsidP="00B53050">
      <w:pPr>
        <w:pStyle w:val="ListBullet"/>
        <w:numPr>
          <w:ilvl w:val="0"/>
          <w:numId w:val="0"/>
        </w:numPr>
        <w:ind w:left="360"/>
        <w:rPr>
          <w:lang w:val="en-GB"/>
        </w:rPr>
      </w:pPr>
      <w:r w:rsidRPr="00CB1F5D">
        <w:rPr>
          <w:lang w:val="en-GB"/>
        </w:rPr>
        <w:t>Quantified conservation objectives (GES)</w:t>
      </w:r>
      <w:r w:rsidR="000421E2">
        <w:rPr>
          <w:lang w:val="en-GB"/>
        </w:rPr>
        <w:t xml:space="preserve"> for cetaceans</w:t>
      </w:r>
      <w:r w:rsidRPr="00CB1F5D">
        <w:rPr>
          <w:lang w:val="en-GB"/>
        </w:rPr>
        <w:t xml:space="preserve"> remain undefined in the Black Sea as a whole, but according to the study above, taking the existing metrics, then the least conservative goals are that by-catch should not exceed 1300 porpoises, 1740 bottlenose dolphins or 5860 common dolphins</w:t>
      </w:r>
      <w:r w:rsidR="000421E2" w:rsidRPr="00CB1F5D">
        <w:rPr>
          <w:lang w:val="en-GB"/>
        </w:rPr>
        <w:t xml:space="preserve"> per year</w:t>
      </w:r>
      <w:r w:rsidRPr="00CB1F5D">
        <w:rPr>
          <w:lang w:val="en-GB"/>
        </w:rPr>
        <w:t xml:space="preserve">. Based on the available data it </w:t>
      </w:r>
      <w:r w:rsidR="000421E2">
        <w:rPr>
          <w:lang w:val="en-GB"/>
        </w:rPr>
        <w:t xml:space="preserve">appears </w:t>
      </w:r>
      <w:r w:rsidRPr="00CB1F5D">
        <w:rPr>
          <w:lang w:val="en-GB"/>
        </w:rPr>
        <w:t xml:space="preserve">that </w:t>
      </w:r>
      <w:r w:rsidR="000421E2">
        <w:rPr>
          <w:lang w:val="en-GB"/>
        </w:rPr>
        <w:t xml:space="preserve">harbour </w:t>
      </w:r>
      <w:r w:rsidRPr="00CB1F5D">
        <w:rPr>
          <w:lang w:val="en-GB"/>
        </w:rPr>
        <w:t>porpoise by-catch rates are an order of magnitude greater than this threshold. According to the study</w:t>
      </w:r>
      <w:r w:rsidR="000421E2">
        <w:rPr>
          <w:lang w:val="en-GB"/>
        </w:rPr>
        <w:t>,</w:t>
      </w:r>
      <w:r w:rsidRPr="00CB1F5D">
        <w:rPr>
          <w:lang w:val="en-GB"/>
        </w:rPr>
        <w:t xml:space="preserve"> bottlenose dolphins appear (from the observed fishery hauls) to be more frequently caught than common dolphins, which</w:t>
      </w:r>
      <w:r w:rsidR="00CB1F5D">
        <w:rPr>
          <w:lang w:val="en-GB"/>
        </w:rPr>
        <w:t xml:space="preserve"> is c</w:t>
      </w:r>
      <w:r w:rsidRPr="00CB1F5D">
        <w:rPr>
          <w:lang w:val="en-GB"/>
        </w:rPr>
        <w:t>onsistent with their more coastal distribution compared</w:t>
      </w:r>
      <w:r w:rsidR="00B30E9E">
        <w:rPr>
          <w:lang w:val="en-GB"/>
        </w:rPr>
        <w:t xml:space="preserve"> w</w:t>
      </w:r>
      <w:r w:rsidRPr="00CB1F5D">
        <w:rPr>
          <w:lang w:val="en-GB"/>
        </w:rPr>
        <w:t>ith common dolphins. It is possible therefore that among a crudely estimated 14,000 dolphins taken as by-catch, the majority may be bottlenose dolphins, and their total is therefore likely to exceed the 1740 limit by several-fold</w:t>
      </w:r>
      <w:r w:rsidR="00CB1F5D">
        <w:rPr>
          <w:lang w:val="en-GB"/>
        </w:rPr>
        <w:t xml:space="preserve">. However, it is important to note that most of the incidental bycatch is </w:t>
      </w:r>
      <w:r w:rsidR="000421E2">
        <w:rPr>
          <w:lang w:val="en-GB"/>
        </w:rPr>
        <w:t>reported for</w:t>
      </w:r>
      <w:r w:rsidR="00CB1F5D">
        <w:rPr>
          <w:lang w:val="en-GB"/>
        </w:rPr>
        <w:t xml:space="preserve"> Turkey, with Bulgaria second and Romania fo</w:t>
      </w:r>
      <w:r w:rsidR="000421E2">
        <w:rPr>
          <w:lang w:val="en-GB"/>
        </w:rPr>
        <w:t>u</w:t>
      </w:r>
      <w:r w:rsidR="00CB1F5D">
        <w:rPr>
          <w:lang w:val="en-GB"/>
        </w:rPr>
        <w:t xml:space="preserve">rth. However, the study clearly remarks that the confidence of the assessment is low. </w:t>
      </w:r>
    </w:p>
    <w:p w:rsidR="00A11B21" w:rsidRDefault="00A11B21" w:rsidP="005D7114">
      <w:pPr>
        <w:pStyle w:val="ListBullet"/>
        <w:numPr>
          <w:ilvl w:val="0"/>
          <w:numId w:val="0"/>
        </w:numPr>
        <w:ind w:left="360"/>
        <w:rPr>
          <w:lang w:val="en-GB"/>
        </w:rPr>
      </w:pPr>
    </w:p>
    <w:p w:rsidR="00A11B21" w:rsidRDefault="00CB1F5D" w:rsidP="005D7114">
      <w:pPr>
        <w:pStyle w:val="ListBullet"/>
        <w:numPr>
          <w:ilvl w:val="0"/>
          <w:numId w:val="0"/>
        </w:numPr>
        <w:ind w:left="360"/>
        <w:rPr>
          <w:lang w:val="en-GB"/>
        </w:rPr>
      </w:pPr>
      <w:r>
        <w:rPr>
          <w:lang w:val="en-GB"/>
        </w:rPr>
        <w:t>For the population abundance, the following picture can be given:</w:t>
      </w:r>
    </w:p>
    <w:p w:rsidR="007429EE" w:rsidRPr="00CB1F5D" w:rsidRDefault="000421E2" w:rsidP="00CB1F5D">
      <w:pPr>
        <w:pStyle w:val="ListBullet"/>
        <w:numPr>
          <w:ilvl w:val="0"/>
          <w:numId w:val="3"/>
        </w:numPr>
        <w:rPr>
          <w:lang w:val="en-GB"/>
        </w:rPr>
      </w:pPr>
      <w:r>
        <w:rPr>
          <w:lang w:val="en-US"/>
        </w:rPr>
        <w:t>Harbour porpoise (</w:t>
      </w:r>
      <w:r w:rsidR="00CB1F5D" w:rsidRPr="004411BC">
        <w:rPr>
          <w:i/>
          <w:lang w:val="en-US"/>
        </w:rPr>
        <w:t>P</w:t>
      </w:r>
      <w:r>
        <w:rPr>
          <w:i/>
          <w:lang w:val="en-US"/>
        </w:rPr>
        <w:t>hocoena</w:t>
      </w:r>
      <w:r w:rsidR="00CB1F5D" w:rsidRPr="004411BC">
        <w:rPr>
          <w:i/>
          <w:lang w:val="en-US"/>
        </w:rPr>
        <w:t xml:space="preserve"> p</w:t>
      </w:r>
      <w:r>
        <w:rPr>
          <w:i/>
          <w:lang w:val="en-US"/>
        </w:rPr>
        <w:t>hocoena</w:t>
      </w:r>
      <w:r w:rsidR="00CB1F5D" w:rsidRPr="004411BC">
        <w:rPr>
          <w:i/>
          <w:lang w:val="en-US"/>
        </w:rPr>
        <w:t>. relicta</w:t>
      </w:r>
      <w:r>
        <w:rPr>
          <w:lang w:val="en-US"/>
        </w:rPr>
        <w:t>)</w:t>
      </w:r>
      <w:r w:rsidR="00CB1F5D" w:rsidRPr="00CB1F5D">
        <w:rPr>
          <w:lang w:val="en-US"/>
        </w:rPr>
        <w:t>: from 0.303 indiv./km</w:t>
      </w:r>
      <w:r w:rsidR="00CB1F5D" w:rsidRPr="004411BC">
        <w:rPr>
          <w:vertAlign w:val="superscript"/>
          <w:lang w:val="en-US"/>
        </w:rPr>
        <w:t>2</w:t>
      </w:r>
      <w:r w:rsidR="00CB1F5D" w:rsidRPr="00CB1F5D">
        <w:rPr>
          <w:lang w:val="en-US"/>
        </w:rPr>
        <w:t xml:space="preserve"> in the shelf stratum with a depth of ≤200 m (CV = 23.59; 95% CI = 0.191–0.481) to 0.099 indiv./km</w:t>
      </w:r>
      <w:r w:rsidR="00CB1F5D" w:rsidRPr="004411BC">
        <w:rPr>
          <w:vertAlign w:val="superscript"/>
          <w:lang w:val="en-US"/>
        </w:rPr>
        <w:t>2</w:t>
      </w:r>
      <w:r w:rsidR="00CB1F5D" w:rsidRPr="00CB1F5D">
        <w:rPr>
          <w:lang w:val="en-US"/>
        </w:rPr>
        <w:t xml:space="preserve"> in the deep-water stratum with a depth of &gt;200 m (CV = 36.15; 95% CI = 0.048–0.205) (decrease of density in three times; p&lt;0.05), and</w:t>
      </w:r>
    </w:p>
    <w:p w:rsidR="007429EE" w:rsidRPr="00CB1F5D" w:rsidRDefault="000421E2" w:rsidP="00CB1F5D">
      <w:pPr>
        <w:pStyle w:val="ListBullet"/>
        <w:numPr>
          <w:ilvl w:val="0"/>
          <w:numId w:val="3"/>
        </w:numPr>
        <w:rPr>
          <w:lang w:val="en-GB"/>
        </w:rPr>
      </w:pPr>
      <w:r>
        <w:rPr>
          <w:lang w:val="en-GB"/>
        </w:rPr>
        <w:t>Common dolphin (</w:t>
      </w:r>
      <w:r w:rsidR="00CB1F5D" w:rsidRPr="004411BC">
        <w:rPr>
          <w:i/>
          <w:lang w:val="en-US"/>
        </w:rPr>
        <w:t>D</w:t>
      </w:r>
      <w:r w:rsidRPr="004411BC">
        <w:rPr>
          <w:i/>
          <w:lang w:val="en-US"/>
        </w:rPr>
        <w:t>elphinus</w:t>
      </w:r>
      <w:r w:rsidR="00CB1F5D" w:rsidRPr="004411BC">
        <w:rPr>
          <w:i/>
          <w:lang w:val="en-US"/>
        </w:rPr>
        <w:t xml:space="preserve"> d</w:t>
      </w:r>
      <w:r w:rsidRPr="004411BC">
        <w:rPr>
          <w:i/>
          <w:lang w:val="en-US"/>
        </w:rPr>
        <w:t>elphinus</w:t>
      </w:r>
      <w:r w:rsidR="00CB1F5D" w:rsidRPr="004411BC">
        <w:rPr>
          <w:i/>
          <w:lang w:val="en-US"/>
        </w:rPr>
        <w:t xml:space="preserve"> ponticus</w:t>
      </w:r>
      <w:r>
        <w:rPr>
          <w:lang w:val="en-US"/>
        </w:rPr>
        <w:t>)</w:t>
      </w:r>
      <w:r w:rsidR="00CB1F5D" w:rsidRPr="00CB1F5D">
        <w:rPr>
          <w:lang w:val="en-US"/>
        </w:rPr>
        <w:t>: from 0.329 indiv./km</w:t>
      </w:r>
      <w:r w:rsidR="00CB1F5D" w:rsidRPr="004411BC">
        <w:rPr>
          <w:vertAlign w:val="superscript"/>
          <w:lang w:val="en-US"/>
        </w:rPr>
        <w:t>2</w:t>
      </w:r>
      <w:r w:rsidR="00CB1F5D" w:rsidRPr="00CB1F5D">
        <w:rPr>
          <w:lang w:val="en-US"/>
        </w:rPr>
        <w:t xml:space="preserve"> in the shelf stratum (CV = 25.18; 95% CI = 0.201–0.539) to 0.864 indiv./km</w:t>
      </w:r>
      <w:r w:rsidR="00CB1F5D" w:rsidRPr="004411BC">
        <w:rPr>
          <w:vertAlign w:val="superscript"/>
          <w:lang w:val="en-US"/>
        </w:rPr>
        <w:t>2</w:t>
      </w:r>
      <w:r w:rsidR="00CB1F5D" w:rsidRPr="00CB1F5D">
        <w:rPr>
          <w:lang w:val="en-US"/>
        </w:rPr>
        <w:t xml:space="preserve"> in the deep-water stratum (CV = 22.00; 95% CI = 0.552–1.352) (increase of density in 2.6 times; p&lt;0.01).</w:t>
      </w:r>
    </w:p>
    <w:p w:rsidR="007429EE" w:rsidRPr="00CB1F5D" w:rsidRDefault="00CB1F5D" w:rsidP="00CB1F5D">
      <w:pPr>
        <w:pStyle w:val="ListBullet"/>
        <w:numPr>
          <w:ilvl w:val="0"/>
          <w:numId w:val="3"/>
        </w:numPr>
        <w:rPr>
          <w:lang w:val="en-GB"/>
        </w:rPr>
      </w:pPr>
      <w:r w:rsidRPr="00CB1F5D">
        <w:rPr>
          <w:lang w:val="en-US"/>
        </w:rPr>
        <w:lastRenderedPageBreak/>
        <w:t xml:space="preserve">The variation of density of Bottlenose dolphins, </w:t>
      </w:r>
      <w:r w:rsidR="000421E2">
        <w:rPr>
          <w:lang w:val="en-US"/>
        </w:rPr>
        <w:t>(</w:t>
      </w:r>
      <w:r w:rsidRPr="00CB1F5D">
        <w:rPr>
          <w:i/>
          <w:iCs/>
          <w:lang w:val="en-US"/>
        </w:rPr>
        <w:t>T</w:t>
      </w:r>
      <w:r w:rsidR="000421E2">
        <w:rPr>
          <w:i/>
          <w:iCs/>
          <w:lang w:val="en-US"/>
        </w:rPr>
        <w:t>ursiops</w:t>
      </w:r>
      <w:r w:rsidRPr="00CB1F5D">
        <w:rPr>
          <w:i/>
          <w:iCs/>
          <w:lang w:val="en-US"/>
        </w:rPr>
        <w:t xml:space="preserve"> t</w:t>
      </w:r>
      <w:r w:rsidR="000421E2">
        <w:rPr>
          <w:i/>
          <w:iCs/>
          <w:lang w:val="en-US"/>
        </w:rPr>
        <w:t>runcatus</w:t>
      </w:r>
      <w:r w:rsidRPr="00CB1F5D">
        <w:rPr>
          <w:i/>
          <w:iCs/>
          <w:lang w:val="en-US"/>
        </w:rPr>
        <w:t xml:space="preserve"> ponticus</w:t>
      </w:r>
      <w:r w:rsidR="000421E2" w:rsidRPr="004411BC">
        <w:rPr>
          <w:iCs/>
          <w:lang w:val="en-US"/>
        </w:rPr>
        <w:t>)</w:t>
      </w:r>
      <w:r w:rsidRPr="00CB1F5D">
        <w:rPr>
          <w:lang w:val="en-US"/>
        </w:rPr>
        <w:t>, in different strata (from 0.254 to 0.195 indiv./</w:t>
      </w:r>
      <w:r w:rsidRPr="004411BC">
        <w:rPr>
          <w:iCs/>
          <w:lang w:val="en-US"/>
        </w:rPr>
        <w:t>km</w:t>
      </w:r>
      <w:r w:rsidRPr="004411BC">
        <w:rPr>
          <w:vertAlign w:val="superscript"/>
          <w:lang w:val="en-US"/>
        </w:rPr>
        <w:t>2</w:t>
      </w:r>
      <w:r w:rsidRPr="00CB1F5D">
        <w:rPr>
          <w:lang w:val="en-US"/>
        </w:rPr>
        <w:t xml:space="preserve"> in the shelf and deep-water strata, respectively) was found to be statistically insignificant. </w:t>
      </w:r>
    </w:p>
    <w:p w:rsidR="007429EE" w:rsidRPr="00CB1F5D" w:rsidRDefault="00CB1F5D" w:rsidP="00CB1F5D">
      <w:pPr>
        <w:pStyle w:val="ListBullet"/>
        <w:numPr>
          <w:ilvl w:val="0"/>
          <w:numId w:val="3"/>
        </w:numPr>
        <w:rPr>
          <w:lang w:val="en-GB"/>
        </w:rPr>
      </w:pPr>
      <w:r w:rsidRPr="00CB1F5D">
        <w:rPr>
          <w:i/>
          <w:iCs/>
          <w:lang w:val="en-US"/>
        </w:rPr>
        <w:t xml:space="preserve">P. p. relicta </w:t>
      </w:r>
      <w:r w:rsidRPr="00CB1F5D">
        <w:rPr>
          <w:lang w:val="en-US"/>
        </w:rPr>
        <w:t xml:space="preserve">abundance for the entire Black Sea (except neighbouring water bodies) was estimated as 64575 (95% CI = 36459–116611). The estimated number of </w:t>
      </w:r>
      <w:r w:rsidRPr="00CB1F5D">
        <w:rPr>
          <w:i/>
          <w:iCs/>
          <w:lang w:val="en-US"/>
        </w:rPr>
        <w:t xml:space="preserve">D. d. ponticus </w:t>
      </w:r>
      <w:r w:rsidRPr="00CB1F5D">
        <w:rPr>
          <w:lang w:val="en-US"/>
        </w:rPr>
        <w:t xml:space="preserve">was 293106 (95% CI = 186188–461480). The estimate for </w:t>
      </w:r>
      <w:r w:rsidRPr="00CB1F5D">
        <w:rPr>
          <w:i/>
          <w:iCs/>
          <w:lang w:val="en-US"/>
        </w:rPr>
        <w:t xml:space="preserve">T. t. ponticus </w:t>
      </w:r>
      <w:r w:rsidRPr="00CB1F5D">
        <w:rPr>
          <w:lang w:val="en-US"/>
        </w:rPr>
        <w:t xml:space="preserve">was 87148 (95% CI = 53332–144155). </w:t>
      </w:r>
    </w:p>
    <w:p w:rsidR="00CB1F5D" w:rsidRDefault="00CB1F5D" w:rsidP="005D7114">
      <w:pPr>
        <w:pStyle w:val="ListBullet"/>
        <w:numPr>
          <w:ilvl w:val="0"/>
          <w:numId w:val="0"/>
        </w:numPr>
        <w:ind w:left="360"/>
        <w:rPr>
          <w:lang w:val="en-GB"/>
        </w:rPr>
      </w:pPr>
    </w:p>
    <w:p w:rsidR="00CB1F5D" w:rsidRDefault="00CB1F5D" w:rsidP="005D7114">
      <w:pPr>
        <w:pStyle w:val="ListBullet"/>
        <w:numPr>
          <w:ilvl w:val="0"/>
          <w:numId w:val="0"/>
        </w:numPr>
        <w:ind w:left="360"/>
        <w:rPr>
          <w:lang w:val="en-GB"/>
        </w:rPr>
      </w:pPr>
      <w:r w:rsidRPr="00CB1F5D">
        <w:rPr>
          <w:lang w:val="en-GB"/>
        </w:rPr>
        <w:t>The numbers calculated for the Black Sea as whole are very rough estimates and have been extrapolated on the basis of one opportunistic ferry track. The values should not be used in accurate estimations of cetacean abundance.</w:t>
      </w:r>
    </w:p>
    <w:p w:rsidR="00CB1F5D" w:rsidRDefault="00CB1F5D" w:rsidP="005D7114">
      <w:pPr>
        <w:pStyle w:val="ListBullet"/>
        <w:numPr>
          <w:ilvl w:val="0"/>
          <w:numId w:val="0"/>
        </w:numPr>
        <w:ind w:left="360"/>
        <w:rPr>
          <w:lang w:val="en-GB"/>
        </w:rPr>
      </w:pPr>
    </w:p>
    <w:p w:rsidR="00B30E9E" w:rsidRDefault="00CB1F5D" w:rsidP="005D7114">
      <w:pPr>
        <w:pStyle w:val="ListBullet"/>
        <w:numPr>
          <w:ilvl w:val="0"/>
          <w:numId w:val="0"/>
        </w:numPr>
        <w:ind w:left="360"/>
        <w:rPr>
          <w:lang w:val="en-US"/>
        </w:rPr>
      </w:pPr>
      <w:r>
        <w:rPr>
          <w:lang w:val="en-GB"/>
        </w:rPr>
        <w:t xml:space="preserve">The </w:t>
      </w:r>
      <w:r w:rsidRPr="00CB1F5D">
        <w:rPr>
          <w:lang w:val="en-US"/>
        </w:rPr>
        <w:t>distributional range</w:t>
      </w:r>
      <w:r>
        <w:rPr>
          <w:lang w:val="en-US"/>
        </w:rPr>
        <w:t xml:space="preserve"> is provided in the three maps below</w:t>
      </w:r>
      <w:r w:rsidR="00B30E9E">
        <w:rPr>
          <w:lang w:val="en-US"/>
        </w:rPr>
        <w:t xml:space="preserve">. </w:t>
      </w:r>
    </w:p>
    <w:p w:rsidR="00CB1F5D" w:rsidRDefault="00CB1F5D" w:rsidP="005D7114">
      <w:pPr>
        <w:pStyle w:val="ListBullet"/>
        <w:numPr>
          <w:ilvl w:val="0"/>
          <w:numId w:val="0"/>
        </w:numPr>
        <w:ind w:left="360"/>
        <w:rPr>
          <w:lang w:val="en-GB"/>
        </w:rPr>
      </w:pPr>
      <w:r>
        <w:rPr>
          <w:lang w:val="en-US"/>
        </w:rPr>
        <w:t xml:space="preserve"> </w:t>
      </w:r>
    </w:p>
    <w:p w:rsidR="00B30E9E" w:rsidRDefault="00B30E9E" w:rsidP="005D7114">
      <w:pPr>
        <w:pStyle w:val="ListBullet"/>
        <w:numPr>
          <w:ilvl w:val="0"/>
          <w:numId w:val="0"/>
        </w:numPr>
        <w:ind w:left="360"/>
        <w:rPr>
          <w:highlight w:val="yellow"/>
          <w:lang w:val="en-GB"/>
        </w:rPr>
      </w:pPr>
      <w:r w:rsidRPr="00CF7796">
        <w:rPr>
          <w:lang w:val="en-GB"/>
        </w:rPr>
        <w:t xml:space="preserve">From the available information, it can only </w:t>
      </w:r>
      <w:r w:rsidR="00CF7796" w:rsidRPr="00CF7796">
        <w:rPr>
          <w:lang w:val="en-GB"/>
        </w:rPr>
        <w:t>be concluded</w:t>
      </w:r>
      <w:r w:rsidRPr="00CF7796">
        <w:rPr>
          <w:lang w:val="en-GB"/>
        </w:rPr>
        <w:t xml:space="preserve"> that the status is not good. A summary of the trend for this indicator can only be delivered after progress on status assessment .</w:t>
      </w:r>
      <w:r>
        <w:rPr>
          <w:highlight w:val="yellow"/>
          <w:lang w:val="en-GB"/>
        </w:rPr>
        <w:br w:type="page"/>
      </w:r>
    </w:p>
    <w:p w:rsidR="00B9101F" w:rsidRDefault="00B30E9E" w:rsidP="00B9101F">
      <w:pPr>
        <w:pStyle w:val="ListBullet"/>
        <w:rPr>
          <w:lang w:val="en-GB"/>
        </w:rPr>
      </w:pPr>
      <w:r>
        <w:rPr>
          <w:noProof/>
          <w:lang w:val="de-AT" w:eastAsia="de-AT"/>
        </w:rPr>
        <w:lastRenderedPageBreak/>
        <w:drawing>
          <wp:anchor distT="0" distB="0" distL="114300" distR="114300" simplePos="0" relativeHeight="251659264" behindDoc="0" locked="0" layoutInCell="1" allowOverlap="1" wp14:anchorId="4D991B1F" wp14:editId="05B261D0">
            <wp:simplePos x="0" y="0"/>
            <wp:positionH relativeFrom="column">
              <wp:posOffset>-61595</wp:posOffset>
            </wp:positionH>
            <wp:positionV relativeFrom="paragraph">
              <wp:posOffset>4865370</wp:posOffset>
            </wp:positionV>
            <wp:extent cx="4762800" cy="2998800"/>
            <wp:effectExtent l="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4762800" cy="2998800"/>
                    </a:xfrm>
                    <a:prstGeom prst="rect">
                      <a:avLst/>
                    </a:prstGeom>
                  </pic:spPr>
                </pic:pic>
              </a:graphicData>
            </a:graphic>
            <wp14:sizeRelH relativeFrom="margin">
              <wp14:pctWidth>0</wp14:pctWidth>
            </wp14:sizeRelH>
            <wp14:sizeRelV relativeFrom="margin">
              <wp14:pctHeight>0</wp14:pctHeight>
            </wp14:sizeRelV>
          </wp:anchor>
        </w:drawing>
      </w:r>
      <w:r w:rsidR="00B9101F" w:rsidRPr="00DE49F2">
        <w:rPr>
          <w:b/>
          <w:lang w:val="en-GB"/>
        </w:rPr>
        <w:t>Map</w:t>
      </w:r>
      <w:r>
        <w:rPr>
          <w:b/>
          <w:lang w:val="en-GB"/>
        </w:rPr>
        <w:t>s</w:t>
      </w:r>
      <w:r w:rsidR="00B9101F">
        <w:rPr>
          <w:lang w:val="en-GB"/>
        </w:rPr>
        <w:t>:</w:t>
      </w:r>
    </w:p>
    <w:p w:rsidR="00B30E9E" w:rsidRDefault="00B30E9E" w:rsidP="00B30E9E">
      <w:pPr>
        <w:pStyle w:val="ListBullet"/>
        <w:numPr>
          <w:ilvl w:val="0"/>
          <w:numId w:val="0"/>
        </w:numPr>
        <w:ind w:left="360"/>
        <w:rPr>
          <w:lang w:val="en-GB"/>
        </w:rPr>
      </w:pPr>
      <w:r>
        <w:rPr>
          <w:noProof/>
          <w:lang w:val="de-AT" w:eastAsia="de-AT"/>
        </w:rPr>
        <w:drawing>
          <wp:anchor distT="0" distB="0" distL="114300" distR="114300" simplePos="0" relativeHeight="251655168" behindDoc="0" locked="0" layoutInCell="1" allowOverlap="1" wp14:anchorId="765F308C" wp14:editId="3CD663CB">
            <wp:simplePos x="0" y="0"/>
            <wp:positionH relativeFrom="column">
              <wp:posOffset>-4445</wp:posOffset>
            </wp:positionH>
            <wp:positionV relativeFrom="paragraph">
              <wp:posOffset>3810</wp:posOffset>
            </wp:positionV>
            <wp:extent cx="4345200" cy="4690800"/>
            <wp:effectExtent l="0" t="0" r="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4345200" cy="4690800"/>
                    </a:xfrm>
                    <a:prstGeom prst="rect">
                      <a:avLst/>
                    </a:prstGeom>
                  </pic:spPr>
                </pic:pic>
              </a:graphicData>
            </a:graphic>
            <wp14:sizeRelH relativeFrom="margin">
              <wp14:pctWidth>0</wp14:pctWidth>
            </wp14:sizeRelH>
            <wp14:sizeRelV relativeFrom="margin">
              <wp14:pctHeight>0</wp14:pctHeight>
            </wp14:sizeRelV>
          </wp:anchor>
        </w:drawing>
      </w:r>
    </w:p>
    <w:p w:rsidR="00B9101F" w:rsidRDefault="00B9101F" w:rsidP="00B9101F">
      <w:pPr>
        <w:pStyle w:val="ListBullet"/>
        <w:rPr>
          <w:lang w:val="en-GB"/>
        </w:rPr>
      </w:pPr>
      <w:r w:rsidRPr="00DE49F2">
        <w:rPr>
          <w:b/>
          <w:lang w:val="en-GB"/>
        </w:rPr>
        <w:t>Figures</w:t>
      </w:r>
      <w:r>
        <w:rPr>
          <w:lang w:val="en-GB"/>
        </w:rPr>
        <w:t>:</w:t>
      </w:r>
    </w:p>
    <w:p w:rsidR="00B9101F" w:rsidRPr="00DE49F2" w:rsidRDefault="00B9101F" w:rsidP="00B9101F">
      <w:pPr>
        <w:pStyle w:val="ListBullet"/>
        <w:rPr>
          <w:lang w:val="en-GB"/>
        </w:rPr>
      </w:pPr>
      <w:r w:rsidRPr="00DE49F2">
        <w:rPr>
          <w:b/>
          <w:lang w:val="en-GB"/>
        </w:rPr>
        <w:t>Tables</w:t>
      </w:r>
      <w:r>
        <w:rPr>
          <w:b/>
          <w:lang w:val="en-GB"/>
        </w:rPr>
        <w:t>:</w:t>
      </w:r>
    </w:p>
    <w:p w:rsidR="00B9101F" w:rsidRDefault="00B9101F" w:rsidP="00B9101F">
      <w:pPr>
        <w:pStyle w:val="ListBullet"/>
        <w:rPr>
          <w:lang w:val="en-GB"/>
        </w:rPr>
      </w:pPr>
      <w:bookmarkStart w:id="0" w:name="_GoBack"/>
      <w:r w:rsidRPr="00E414BC">
        <w:rPr>
          <w:b/>
          <w:lang w:val="en-GB"/>
        </w:rPr>
        <w:t>Confidence assessment</w:t>
      </w:r>
      <w:r>
        <w:rPr>
          <w:b/>
          <w:lang w:val="en-GB"/>
        </w:rPr>
        <w:t>:</w:t>
      </w:r>
      <w:r>
        <w:rPr>
          <w:lang w:val="en-GB"/>
        </w:rPr>
        <w:t xml:space="preserve"> </w:t>
      </w:r>
    </w:p>
    <w:p w:rsidR="00B9101F" w:rsidRDefault="00B30E9E" w:rsidP="00B9101F">
      <w:pPr>
        <w:pStyle w:val="ListBullet"/>
        <w:numPr>
          <w:ilvl w:val="0"/>
          <w:numId w:val="0"/>
        </w:numPr>
        <w:ind w:left="360"/>
        <w:rPr>
          <w:lang w:val="en-GB"/>
        </w:rPr>
      </w:pPr>
      <w:r>
        <w:rPr>
          <w:lang w:val="en-GB"/>
        </w:rPr>
        <w:t>Bulgaria: Low, as the study points out several data gaps and the use of estimations</w:t>
      </w:r>
      <w:r w:rsidR="008B4C36">
        <w:rPr>
          <w:lang w:val="en-GB"/>
        </w:rPr>
        <w:t>.</w:t>
      </w:r>
      <w:r>
        <w:rPr>
          <w:lang w:val="en-GB"/>
        </w:rPr>
        <w:t xml:space="preserve"> </w:t>
      </w:r>
    </w:p>
    <w:p w:rsidR="00B9101F" w:rsidRDefault="00B9101F" w:rsidP="00B9101F">
      <w:pPr>
        <w:pStyle w:val="ListBullet"/>
        <w:numPr>
          <w:ilvl w:val="0"/>
          <w:numId w:val="0"/>
        </w:numPr>
        <w:ind w:left="360"/>
        <w:rPr>
          <w:lang w:val="en-GB"/>
        </w:rPr>
      </w:pPr>
      <w:r>
        <w:rPr>
          <w:lang w:val="en-GB"/>
        </w:rPr>
        <w:t>Romania:</w:t>
      </w:r>
      <w:r w:rsidR="00B30E9E">
        <w:rPr>
          <w:lang w:val="en-GB"/>
        </w:rPr>
        <w:t xml:space="preserve"> Low: as the study points out several data gaps and the use of estimations</w:t>
      </w:r>
      <w:r w:rsidR="008B4C36">
        <w:rPr>
          <w:lang w:val="en-GB"/>
        </w:rPr>
        <w:t>.</w:t>
      </w:r>
    </w:p>
    <w:p w:rsidR="00B30E9E" w:rsidRPr="00B30E9E" w:rsidRDefault="00B9101F" w:rsidP="00B9101F">
      <w:pPr>
        <w:pStyle w:val="ListBullet"/>
        <w:rPr>
          <w:lang w:val="en-GB"/>
        </w:rPr>
      </w:pPr>
      <w:r w:rsidRPr="00E414BC">
        <w:rPr>
          <w:b/>
          <w:lang w:val="en-GB"/>
        </w:rPr>
        <w:t>Knowledge gaps</w:t>
      </w:r>
      <w:r>
        <w:rPr>
          <w:b/>
          <w:lang w:val="en-GB"/>
        </w:rPr>
        <w:t xml:space="preserve">: </w:t>
      </w:r>
    </w:p>
    <w:bookmarkEnd w:id="0"/>
    <w:p w:rsidR="00B9101F" w:rsidRDefault="00B9101F" w:rsidP="00B9101F">
      <w:pPr>
        <w:rPr>
          <w:lang w:val="en-GB"/>
        </w:rPr>
      </w:pPr>
    </w:p>
    <w:p w:rsidR="00B9101F" w:rsidRPr="00EC7A97" w:rsidRDefault="00B9101F" w:rsidP="00B9101F">
      <w:pPr>
        <w:rPr>
          <w:b/>
          <w:lang w:val="en-GB"/>
        </w:rPr>
      </w:pPr>
      <w:r w:rsidRPr="00EC7A97">
        <w:rPr>
          <w:b/>
          <w:lang w:val="en-GB"/>
        </w:rPr>
        <w:t>SUPPORTING INFORMATION/FURTHER DETAIL</w:t>
      </w:r>
      <w:r>
        <w:rPr>
          <w:b/>
          <w:lang w:val="en-GB"/>
        </w:rPr>
        <w:t>/METADATA</w:t>
      </w:r>
    </w:p>
    <w:p w:rsidR="00B9101F" w:rsidRDefault="00B9101F" w:rsidP="00B9101F">
      <w:pPr>
        <w:rPr>
          <w:lang w:val="en-GB"/>
        </w:rPr>
      </w:pPr>
    </w:p>
    <w:p w:rsidR="00B9101F" w:rsidRDefault="00B9101F" w:rsidP="00B9101F">
      <w:pPr>
        <w:pStyle w:val="ListBullet"/>
        <w:rPr>
          <w:lang w:val="en-GB"/>
        </w:rPr>
      </w:pPr>
      <w:r w:rsidRPr="0016160F">
        <w:rPr>
          <w:b/>
          <w:lang w:val="en-GB"/>
        </w:rPr>
        <w:t>Geographical coverage</w:t>
      </w:r>
      <w:r>
        <w:rPr>
          <w:lang w:val="en-GB"/>
        </w:rPr>
        <w:t>: BG, RO</w:t>
      </w:r>
    </w:p>
    <w:p w:rsidR="00B9101F" w:rsidRPr="00B75AC4" w:rsidRDefault="00B9101F" w:rsidP="00B9101F">
      <w:pPr>
        <w:pStyle w:val="ListBullet"/>
        <w:rPr>
          <w:i/>
          <w:lang w:val="en-GB"/>
        </w:rPr>
      </w:pPr>
      <w:r>
        <w:rPr>
          <w:b/>
          <w:lang w:val="en-GB"/>
        </w:rPr>
        <w:t>D</w:t>
      </w:r>
      <w:r w:rsidRPr="0016160F">
        <w:rPr>
          <w:b/>
          <w:lang w:val="en-GB"/>
        </w:rPr>
        <w:t>ate of data used for assessment</w:t>
      </w:r>
      <w:r>
        <w:rPr>
          <w:lang w:val="en-GB"/>
        </w:rPr>
        <w:t xml:space="preserve"> </w:t>
      </w:r>
    </w:p>
    <w:p w:rsidR="00B9101F" w:rsidRDefault="00B30E9E" w:rsidP="00B9101F">
      <w:pPr>
        <w:pStyle w:val="ListBullet"/>
        <w:numPr>
          <w:ilvl w:val="0"/>
          <w:numId w:val="0"/>
        </w:numPr>
        <w:ind w:left="360"/>
        <w:rPr>
          <w:lang w:val="en-GB"/>
        </w:rPr>
      </w:pPr>
      <w:r>
        <w:rPr>
          <w:lang w:val="en-GB"/>
        </w:rPr>
        <w:t xml:space="preserve">The study </w:t>
      </w:r>
      <w:r w:rsidRPr="00A11B21">
        <w:rPr>
          <w:lang w:val="en-GB"/>
        </w:rPr>
        <w:t>“Studies for Carrying Out the Common Fisheries Policy- Lot No. 2: Adverse Fisheries Impacts on Cetacean Populations in the Black Sea</w:t>
      </w:r>
      <w:r>
        <w:rPr>
          <w:lang w:val="en-GB"/>
        </w:rPr>
        <w:t xml:space="preserve">” combines various sources of data including historic data and survey data.  </w:t>
      </w:r>
    </w:p>
    <w:p w:rsidR="00B9101F" w:rsidRDefault="00B9101F" w:rsidP="00B9101F">
      <w:pPr>
        <w:pStyle w:val="ListBullet"/>
        <w:rPr>
          <w:lang w:val="en-GB"/>
        </w:rPr>
      </w:pPr>
      <w:r w:rsidRPr="008B63AF">
        <w:rPr>
          <w:b/>
          <w:lang w:val="en-GB"/>
        </w:rPr>
        <w:t>Data products</w:t>
      </w:r>
      <w:r>
        <w:rPr>
          <w:lang w:val="en-GB"/>
        </w:rPr>
        <w:t xml:space="preserve">: </w:t>
      </w:r>
      <w:r w:rsidR="0018248A" w:rsidRPr="0018248A">
        <w:rPr>
          <w:lang w:val="en-GB"/>
        </w:rPr>
        <w:t>(insert link)</w:t>
      </w:r>
    </w:p>
    <w:p w:rsidR="00B9101F" w:rsidRPr="00B75AC4" w:rsidRDefault="00B9101F" w:rsidP="00B9101F">
      <w:pPr>
        <w:pStyle w:val="ListBullet"/>
        <w:rPr>
          <w:b/>
          <w:lang w:val="en-GB"/>
        </w:rPr>
      </w:pPr>
      <w:r w:rsidRPr="00B75AC4">
        <w:rPr>
          <w:b/>
          <w:lang w:val="en-GB"/>
        </w:rPr>
        <w:t>Contact and ownership</w:t>
      </w:r>
    </w:p>
    <w:p w:rsidR="00B9101F" w:rsidRPr="00C80DA5" w:rsidRDefault="00B9101F" w:rsidP="00B9101F">
      <w:pPr>
        <w:pStyle w:val="ListBullet"/>
        <w:numPr>
          <w:ilvl w:val="0"/>
          <w:numId w:val="0"/>
        </w:numPr>
        <w:ind w:left="360"/>
        <w:rPr>
          <w:lang w:val="en-GB"/>
        </w:rPr>
      </w:pPr>
      <w:r w:rsidRPr="00C80DA5">
        <w:rPr>
          <w:lang w:val="en-GB"/>
        </w:rPr>
        <w:t>Bulgaria: Black Sea Basin Directorate/Varna/BG</w:t>
      </w:r>
    </w:p>
    <w:p w:rsidR="00B9101F" w:rsidRPr="00B75AC4" w:rsidRDefault="00B9101F" w:rsidP="00B9101F">
      <w:pPr>
        <w:pStyle w:val="ListBullet"/>
        <w:numPr>
          <w:ilvl w:val="0"/>
          <w:numId w:val="0"/>
        </w:numPr>
        <w:ind w:left="360"/>
        <w:rPr>
          <w:lang w:val="en-GB"/>
        </w:rPr>
      </w:pPr>
      <w:r w:rsidRPr="00C80DA5">
        <w:rPr>
          <w:lang w:val="en-GB"/>
        </w:rPr>
        <w:t>Romania: National Institute for marine research and development "Grigore Antipa"/Constanta/Romania</w:t>
      </w:r>
    </w:p>
    <w:p w:rsidR="00B9101F" w:rsidRPr="00DE49F2" w:rsidRDefault="00B9101F" w:rsidP="00B30E9E">
      <w:pPr>
        <w:pStyle w:val="ListBullet"/>
        <w:rPr>
          <w:i/>
          <w:lang w:val="en-GB"/>
        </w:rPr>
      </w:pPr>
      <w:r w:rsidRPr="00DE49F2">
        <w:rPr>
          <w:b/>
          <w:lang w:val="en-GB"/>
        </w:rPr>
        <w:t>Method for assessment (optional)</w:t>
      </w:r>
      <w:r w:rsidRPr="00DE49F2">
        <w:rPr>
          <w:lang w:val="en-GB"/>
        </w:rPr>
        <w:t xml:space="preserve">: </w:t>
      </w:r>
      <w:r w:rsidR="00B30E9E">
        <w:rPr>
          <w:lang w:val="en-GB"/>
        </w:rPr>
        <w:t xml:space="preserve">see details under </w:t>
      </w:r>
      <w:r w:rsidR="00B30E9E" w:rsidRPr="00B30E9E">
        <w:rPr>
          <w:lang w:val="en-GB"/>
        </w:rPr>
        <w:t>https://ec.europa.eu/fisheries/sites/fisheries/files/docs/body/cetaceans-in-the-black-sea_en.pdf</w:t>
      </w:r>
    </w:p>
    <w:p w:rsidR="00537246" w:rsidRDefault="00B9101F" w:rsidP="00B9101F">
      <w:r w:rsidRPr="00BF5893">
        <w:rPr>
          <w:b/>
          <w:lang w:val="en-GB"/>
        </w:rPr>
        <w:t>Date of publication/preparation</w:t>
      </w:r>
      <w:r>
        <w:rPr>
          <w:b/>
          <w:lang w:val="en-GB"/>
        </w:rPr>
        <w:t>:</w:t>
      </w:r>
      <w:r>
        <w:rPr>
          <w:lang w:val="en-GB"/>
        </w:rPr>
        <w:t xml:space="preserve"> </w:t>
      </w:r>
      <w:r w:rsidRPr="0018248A">
        <w:rPr>
          <w:lang w:val="en-GB"/>
        </w:rPr>
        <w:t xml:space="preserve">(preparation </w:t>
      </w:r>
      <w:r w:rsidR="008B4C36">
        <w:rPr>
          <w:lang w:val="en-GB"/>
        </w:rPr>
        <w:t>06.02.2017</w:t>
      </w:r>
      <w:r w:rsidRPr="0018248A">
        <w:rPr>
          <w:lang w:val="en-GB"/>
        </w:rPr>
        <w:t>)</w:t>
      </w:r>
    </w:p>
    <w:sectPr w:rsidR="00537246" w:rsidSect="0053724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921" w:rsidRDefault="00EB0921" w:rsidP="00A11B21">
      <w:r>
        <w:separator/>
      </w:r>
    </w:p>
  </w:endnote>
  <w:endnote w:type="continuationSeparator" w:id="0">
    <w:p w:rsidR="00EB0921" w:rsidRDefault="00EB0921" w:rsidP="00A11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921" w:rsidRDefault="00EB0921" w:rsidP="00A11B21">
      <w:r>
        <w:separator/>
      </w:r>
    </w:p>
  </w:footnote>
  <w:footnote w:type="continuationSeparator" w:id="0">
    <w:p w:rsidR="00EB0921" w:rsidRDefault="00EB0921" w:rsidP="00A11B21">
      <w:r>
        <w:continuationSeparator/>
      </w:r>
    </w:p>
  </w:footnote>
  <w:footnote w:id="1">
    <w:p w:rsidR="00A11B21" w:rsidRPr="00A11B21" w:rsidRDefault="00A11B21">
      <w:pPr>
        <w:pStyle w:val="FootnoteText"/>
        <w:rPr>
          <w:lang w:val="de-AT"/>
        </w:rPr>
      </w:pPr>
      <w:r>
        <w:rPr>
          <w:rStyle w:val="FootnoteReference"/>
        </w:rPr>
        <w:footnoteRef/>
      </w:r>
      <w:r>
        <w:t xml:space="preserve"> </w:t>
      </w:r>
      <w:r w:rsidRPr="00A11B21">
        <w:t>https://ec.europa.eu/fisheries/sites/fisheries/files/docs/body/cetaceans-in-the-black-sea_en.pdf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2644A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924A3C"/>
    <w:multiLevelType w:val="hybridMultilevel"/>
    <w:tmpl w:val="6D60856C"/>
    <w:lvl w:ilvl="0" w:tplc="E0C6CC48">
      <w:start w:val="1"/>
      <w:numFmt w:val="bullet"/>
      <w:lvlText w:val="•"/>
      <w:lvlJc w:val="left"/>
      <w:pPr>
        <w:tabs>
          <w:tab w:val="num" w:pos="720"/>
        </w:tabs>
        <w:ind w:left="720" w:hanging="360"/>
      </w:pPr>
      <w:rPr>
        <w:rFonts w:ascii="Arial" w:hAnsi="Arial" w:hint="default"/>
      </w:rPr>
    </w:lvl>
    <w:lvl w:ilvl="1" w:tplc="6A9A1024" w:tentative="1">
      <w:start w:val="1"/>
      <w:numFmt w:val="bullet"/>
      <w:lvlText w:val="•"/>
      <w:lvlJc w:val="left"/>
      <w:pPr>
        <w:tabs>
          <w:tab w:val="num" w:pos="1440"/>
        </w:tabs>
        <w:ind w:left="1440" w:hanging="360"/>
      </w:pPr>
      <w:rPr>
        <w:rFonts w:ascii="Arial" w:hAnsi="Arial" w:hint="default"/>
      </w:rPr>
    </w:lvl>
    <w:lvl w:ilvl="2" w:tplc="955ECE2E" w:tentative="1">
      <w:start w:val="1"/>
      <w:numFmt w:val="bullet"/>
      <w:lvlText w:val="•"/>
      <w:lvlJc w:val="left"/>
      <w:pPr>
        <w:tabs>
          <w:tab w:val="num" w:pos="2160"/>
        </w:tabs>
        <w:ind w:left="2160" w:hanging="360"/>
      </w:pPr>
      <w:rPr>
        <w:rFonts w:ascii="Arial" w:hAnsi="Arial" w:hint="default"/>
      </w:rPr>
    </w:lvl>
    <w:lvl w:ilvl="3" w:tplc="684EDE72" w:tentative="1">
      <w:start w:val="1"/>
      <w:numFmt w:val="bullet"/>
      <w:lvlText w:val="•"/>
      <w:lvlJc w:val="left"/>
      <w:pPr>
        <w:tabs>
          <w:tab w:val="num" w:pos="2880"/>
        </w:tabs>
        <w:ind w:left="2880" w:hanging="360"/>
      </w:pPr>
      <w:rPr>
        <w:rFonts w:ascii="Arial" w:hAnsi="Arial" w:hint="default"/>
      </w:rPr>
    </w:lvl>
    <w:lvl w:ilvl="4" w:tplc="72BC332E" w:tentative="1">
      <w:start w:val="1"/>
      <w:numFmt w:val="bullet"/>
      <w:lvlText w:val="•"/>
      <w:lvlJc w:val="left"/>
      <w:pPr>
        <w:tabs>
          <w:tab w:val="num" w:pos="3600"/>
        </w:tabs>
        <w:ind w:left="3600" w:hanging="360"/>
      </w:pPr>
      <w:rPr>
        <w:rFonts w:ascii="Arial" w:hAnsi="Arial" w:hint="default"/>
      </w:rPr>
    </w:lvl>
    <w:lvl w:ilvl="5" w:tplc="BBC63766" w:tentative="1">
      <w:start w:val="1"/>
      <w:numFmt w:val="bullet"/>
      <w:lvlText w:val="•"/>
      <w:lvlJc w:val="left"/>
      <w:pPr>
        <w:tabs>
          <w:tab w:val="num" w:pos="4320"/>
        </w:tabs>
        <w:ind w:left="4320" w:hanging="360"/>
      </w:pPr>
      <w:rPr>
        <w:rFonts w:ascii="Arial" w:hAnsi="Arial" w:hint="default"/>
      </w:rPr>
    </w:lvl>
    <w:lvl w:ilvl="6" w:tplc="C33A316E" w:tentative="1">
      <w:start w:val="1"/>
      <w:numFmt w:val="bullet"/>
      <w:lvlText w:val="•"/>
      <w:lvlJc w:val="left"/>
      <w:pPr>
        <w:tabs>
          <w:tab w:val="num" w:pos="5040"/>
        </w:tabs>
        <w:ind w:left="5040" w:hanging="360"/>
      </w:pPr>
      <w:rPr>
        <w:rFonts w:ascii="Arial" w:hAnsi="Arial" w:hint="default"/>
      </w:rPr>
    </w:lvl>
    <w:lvl w:ilvl="7" w:tplc="B1C2D7D0" w:tentative="1">
      <w:start w:val="1"/>
      <w:numFmt w:val="bullet"/>
      <w:lvlText w:val="•"/>
      <w:lvlJc w:val="left"/>
      <w:pPr>
        <w:tabs>
          <w:tab w:val="num" w:pos="5760"/>
        </w:tabs>
        <w:ind w:left="5760" w:hanging="360"/>
      </w:pPr>
      <w:rPr>
        <w:rFonts w:ascii="Arial" w:hAnsi="Arial" w:hint="default"/>
      </w:rPr>
    </w:lvl>
    <w:lvl w:ilvl="8" w:tplc="0402102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0"/>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FCE"/>
    <w:rsid w:val="000421E2"/>
    <w:rsid w:val="0018248A"/>
    <w:rsid w:val="00197397"/>
    <w:rsid w:val="001F0FE6"/>
    <w:rsid w:val="002D3933"/>
    <w:rsid w:val="003A2F90"/>
    <w:rsid w:val="003E2660"/>
    <w:rsid w:val="00430AC6"/>
    <w:rsid w:val="004411BC"/>
    <w:rsid w:val="00462CEB"/>
    <w:rsid w:val="00465B2B"/>
    <w:rsid w:val="00490713"/>
    <w:rsid w:val="00537246"/>
    <w:rsid w:val="006B4C9E"/>
    <w:rsid w:val="007045D2"/>
    <w:rsid w:val="007429EE"/>
    <w:rsid w:val="00743CC8"/>
    <w:rsid w:val="008A3ABE"/>
    <w:rsid w:val="008B4C36"/>
    <w:rsid w:val="009877E8"/>
    <w:rsid w:val="009B022D"/>
    <w:rsid w:val="009C7431"/>
    <w:rsid w:val="009F7FCE"/>
    <w:rsid w:val="00A11B21"/>
    <w:rsid w:val="00A903C5"/>
    <w:rsid w:val="00AC6EF2"/>
    <w:rsid w:val="00B30E9E"/>
    <w:rsid w:val="00B527D5"/>
    <w:rsid w:val="00B53638"/>
    <w:rsid w:val="00B75AC4"/>
    <w:rsid w:val="00B9101F"/>
    <w:rsid w:val="00C02619"/>
    <w:rsid w:val="00C37415"/>
    <w:rsid w:val="00CB1F5D"/>
    <w:rsid w:val="00CF7796"/>
    <w:rsid w:val="00D23F58"/>
    <w:rsid w:val="00DE319B"/>
    <w:rsid w:val="00E07AA0"/>
    <w:rsid w:val="00E13229"/>
    <w:rsid w:val="00E7289C"/>
    <w:rsid w:val="00E85E1E"/>
    <w:rsid w:val="00EB0921"/>
    <w:rsid w:val="00F73789"/>
    <w:rsid w:val="00F920DD"/>
    <w:rsid w:val="00FB02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E1943"/>
  <w15:docId w15:val="{C804752E-4932-4EC6-8236-BEF97A59D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7FCE"/>
    <w:pPr>
      <w:spacing w:after="0" w:line="240" w:lineRule="auto"/>
    </w:pPr>
    <w:rPr>
      <w:rFonts w:ascii="Times New Roman" w:eastAsia="Times New Roman" w:hAnsi="Times New Roman" w:cs="Times New Roman"/>
      <w:szCs w:val="24"/>
      <w:lang w:val="fr-BE" w:eastAsia="fr-FR"/>
    </w:rPr>
  </w:style>
  <w:style w:type="paragraph" w:styleId="Heading1">
    <w:name w:val="heading 1"/>
    <w:basedOn w:val="Normal"/>
    <w:next w:val="Normal"/>
    <w:link w:val="Heading1Char"/>
    <w:uiPriority w:val="9"/>
    <w:qFormat/>
    <w:rsid w:val="00DE319B"/>
    <w:pPr>
      <w:keepNext/>
      <w:keepLines/>
      <w:spacing w:before="240" w:after="24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qFormat/>
    <w:rsid w:val="009F7FCE"/>
    <w:pPr>
      <w:spacing w:after="120"/>
      <w:ind w:left="578" w:hanging="578"/>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19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9F7FCE"/>
    <w:rPr>
      <w:rFonts w:ascii="Times New Roman" w:eastAsia="Times New Roman" w:hAnsi="Times New Roman" w:cs="Times New Roman"/>
      <w:b/>
      <w:sz w:val="28"/>
      <w:szCs w:val="24"/>
      <w:lang w:val="fr-BE" w:eastAsia="fr-FR"/>
    </w:rPr>
  </w:style>
  <w:style w:type="character" w:styleId="CommentReference">
    <w:name w:val="annotation reference"/>
    <w:basedOn w:val="DefaultParagraphFont"/>
    <w:uiPriority w:val="99"/>
    <w:semiHidden/>
    <w:unhideWhenUsed/>
    <w:rsid w:val="009F7FCE"/>
    <w:rPr>
      <w:sz w:val="16"/>
      <w:szCs w:val="16"/>
    </w:rPr>
  </w:style>
  <w:style w:type="paragraph" w:styleId="CommentText">
    <w:name w:val="annotation text"/>
    <w:basedOn w:val="Normal"/>
    <w:link w:val="CommentTextChar"/>
    <w:uiPriority w:val="99"/>
    <w:unhideWhenUsed/>
    <w:rsid w:val="009F7FCE"/>
    <w:rPr>
      <w:sz w:val="20"/>
      <w:szCs w:val="20"/>
    </w:rPr>
  </w:style>
  <w:style w:type="character" w:customStyle="1" w:styleId="CommentTextChar">
    <w:name w:val="Comment Text Char"/>
    <w:basedOn w:val="DefaultParagraphFont"/>
    <w:link w:val="CommentText"/>
    <w:uiPriority w:val="99"/>
    <w:rsid w:val="009F7FCE"/>
    <w:rPr>
      <w:rFonts w:ascii="Times New Roman" w:eastAsia="Times New Roman" w:hAnsi="Times New Roman" w:cs="Times New Roman"/>
      <w:sz w:val="20"/>
      <w:szCs w:val="20"/>
      <w:lang w:val="fr-BE" w:eastAsia="fr-FR"/>
    </w:rPr>
  </w:style>
  <w:style w:type="paragraph" w:styleId="ListBullet">
    <w:name w:val="List Bullet"/>
    <w:basedOn w:val="Normal"/>
    <w:uiPriority w:val="99"/>
    <w:unhideWhenUsed/>
    <w:rsid w:val="009F7FCE"/>
    <w:pPr>
      <w:numPr>
        <w:numId w:val="1"/>
      </w:numPr>
      <w:contextualSpacing/>
    </w:pPr>
  </w:style>
  <w:style w:type="paragraph" w:styleId="BalloonText">
    <w:name w:val="Balloon Text"/>
    <w:basedOn w:val="Normal"/>
    <w:link w:val="BalloonTextChar"/>
    <w:uiPriority w:val="99"/>
    <w:semiHidden/>
    <w:unhideWhenUsed/>
    <w:rsid w:val="009F7FCE"/>
    <w:rPr>
      <w:rFonts w:ascii="Tahoma" w:hAnsi="Tahoma" w:cs="Tahoma"/>
      <w:sz w:val="16"/>
      <w:szCs w:val="16"/>
    </w:rPr>
  </w:style>
  <w:style w:type="character" w:customStyle="1" w:styleId="BalloonTextChar">
    <w:name w:val="Balloon Text Char"/>
    <w:basedOn w:val="DefaultParagraphFont"/>
    <w:link w:val="BalloonText"/>
    <w:uiPriority w:val="99"/>
    <w:semiHidden/>
    <w:rsid w:val="009F7FCE"/>
    <w:rPr>
      <w:rFonts w:ascii="Tahoma" w:eastAsia="Times New Roman" w:hAnsi="Tahoma" w:cs="Tahoma"/>
      <w:sz w:val="16"/>
      <w:szCs w:val="16"/>
      <w:lang w:val="fr-BE" w:eastAsia="fr-FR"/>
    </w:rPr>
  </w:style>
  <w:style w:type="paragraph" w:styleId="CommentSubject">
    <w:name w:val="annotation subject"/>
    <w:basedOn w:val="CommentText"/>
    <w:next w:val="CommentText"/>
    <w:link w:val="CommentSubjectChar"/>
    <w:uiPriority w:val="99"/>
    <w:semiHidden/>
    <w:unhideWhenUsed/>
    <w:rsid w:val="00197397"/>
    <w:rPr>
      <w:b/>
      <w:bCs/>
    </w:rPr>
  </w:style>
  <w:style w:type="character" w:customStyle="1" w:styleId="CommentSubjectChar">
    <w:name w:val="Comment Subject Char"/>
    <w:basedOn w:val="CommentTextChar"/>
    <w:link w:val="CommentSubject"/>
    <w:uiPriority w:val="99"/>
    <w:semiHidden/>
    <w:rsid w:val="00197397"/>
    <w:rPr>
      <w:rFonts w:ascii="Times New Roman" w:eastAsia="Times New Roman" w:hAnsi="Times New Roman" w:cs="Times New Roman"/>
      <w:b/>
      <w:bCs/>
      <w:sz w:val="20"/>
      <w:szCs w:val="20"/>
      <w:lang w:val="fr-BE" w:eastAsia="fr-FR"/>
    </w:rPr>
  </w:style>
  <w:style w:type="paragraph" w:customStyle="1" w:styleId="Default">
    <w:name w:val="Default"/>
    <w:rsid w:val="00FB02F2"/>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A11B21"/>
    <w:rPr>
      <w:sz w:val="20"/>
      <w:szCs w:val="20"/>
    </w:rPr>
  </w:style>
  <w:style w:type="character" w:customStyle="1" w:styleId="FootnoteTextChar">
    <w:name w:val="Footnote Text Char"/>
    <w:basedOn w:val="DefaultParagraphFont"/>
    <w:link w:val="FootnoteText"/>
    <w:uiPriority w:val="99"/>
    <w:semiHidden/>
    <w:rsid w:val="00A11B21"/>
    <w:rPr>
      <w:rFonts w:ascii="Times New Roman" w:eastAsia="Times New Roman" w:hAnsi="Times New Roman" w:cs="Times New Roman"/>
      <w:sz w:val="20"/>
      <w:szCs w:val="20"/>
      <w:lang w:val="fr-BE" w:eastAsia="fr-FR"/>
    </w:rPr>
  </w:style>
  <w:style w:type="character" w:styleId="FootnoteReference">
    <w:name w:val="footnote reference"/>
    <w:basedOn w:val="DefaultParagraphFont"/>
    <w:uiPriority w:val="99"/>
    <w:semiHidden/>
    <w:unhideWhenUsed/>
    <w:rsid w:val="00A11B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759002">
      <w:bodyDiv w:val="1"/>
      <w:marLeft w:val="0"/>
      <w:marRight w:val="0"/>
      <w:marTop w:val="0"/>
      <w:marBottom w:val="0"/>
      <w:divBdr>
        <w:top w:val="none" w:sz="0" w:space="0" w:color="auto"/>
        <w:left w:val="none" w:sz="0" w:space="0" w:color="auto"/>
        <w:bottom w:val="none" w:sz="0" w:space="0" w:color="auto"/>
        <w:right w:val="none" w:sz="0" w:space="0" w:color="auto"/>
      </w:divBdr>
    </w:div>
    <w:div w:id="606274854">
      <w:bodyDiv w:val="1"/>
      <w:marLeft w:val="0"/>
      <w:marRight w:val="0"/>
      <w:marTop w:val="0"/>
      <w:marBottom w:val="0"/>
      <w:divBdr>
        <w:top w:val="none" w:sz="0" w:space="0" w:color="auto"/>
        <w:left w:val="none" w:sz="0" w:space="0" w:color="auto"/>
        <w:bottom w:val="none" w:sz="0" w:space="0" w:color="auto"/>
        <w:right w:val="none" w:sz="0" w:space="0" w:color="auto"/>
      </w:divBdr>
      <w:divsChild>
        <w:div w:id="285048462">
          <w:marLeft w:val="360"/>
          <w:marRight w:val="0"/>
          <w:marTop w:val="200"/>
          <w:marBottom w:val="0"/>
          <w:divBdr>
            <w:top w:val="none" w:sz="0" w:space="0" w:color="auto"/>
            <w:left w:val="none" w:sz="0" w:space="0" w:color="auto"/>
            <w:bottom w:val="none" w:sz="0" w:space="0" w:color="auto"/>
            <w:right w:val="none" w:sz="0" w:space="0" w:color="auto"/>
          </w:divBdr>
        </w:div>
        <w:div w:id="1491210704">
          <w:marLeft w:val="360"/>
          <w:marRight w:val="0"/>
          <w:marTop w:val="200"/>
          <w:marBottom w:val="0"/>
          <w:divBdr>
            <w:top w:val="none" w:sz="0" w:space="0" w:color="auto"/>
            <w:left w:val="none" w:sz="0" w:space="0" w:color="auto"/>
            <w:bottom w:val="none" w:sz="0" w:space="0" w:color="auto"/>
            <w:right w:val="none" w:sz="0" w:space="0" w:color="auto"/>
          </w:divBdr>
        </w:div>
        <w:div w:id="1700006182">
          <w:marLeft w:val="360"/>
          <w:marRight w:val="0"/>
          <w:marTop w:val="200"/>
          <w:marBottom w:val="0"/>
          <w:divBdr>
            <w:top w:val="none" w:sz="0" w:space="0" w:color="auto"/>
            <w:left w:val="none" w:sz="0" w:space="0" w:color="auto"/>
            <w:bottom w:val="none" w:sz="0" w:space="0" w:color="auto"/>
            <w:right w:val="none" w:sz="0" w:space="0" w:color="auto"/>
          </w:divBdr>
        </w:div>
        <w:div w:id="253706122">
          <w:marLeft w:val="360"/>
          <w:marRight w:val="0"/>
          <w:marTop w:val="200"/>
          <w:marBottom w:val="0"/>
          <w:divBdr>
            <w:top w:val="none" w:sz="0" w:space="0" w:color="auto"/>
            <w:left w:val="none" w:sz="0" w:space="0" w:color="auto"/>
            <w:bottom w:val="none" w:sz="0" w:space="0" w:color="auto"/>
            <w:right w:val="none" w:sz="0" w:space="0" w:color="auto"/>
          </w:divBdr>
        </w:div>
      </w:divsChild>
    </w:div>
    <w:div w:id="1175847596">
      <w:bodyDiv w:val="1"/>
      <w:marLeft w:val="0"/>
      <w:marRight w:val="0"/>
      <w:marTop w:val="0"/>
      <w:marBottom w:val="0"/>
      <w:divBdr>
        <w:top w:val="none" w:sz="0" w:space="0" w:color="auto"/>
        <w:left w:val="none" w:sz="0" w:space="0" w:color="auto"/>
        <w:bottom w:val="none" w:sz="0" w:space="0" w:color="auto"/>
        <w:right w:val="none" w:sz="0" w:space="0" w:color="auto"/>
      </w:divBdr>
    </w:div>
    <w:div w:id="1992245062">
      <w:bodyDiv w:val="1"/>
      <w:marLeft w:val="0"/>
      <w:marRight w:val="0"/>
      <w:marTop w:val="0"/>
      <w:marBottom w:val="0"/>
      <w:divBdr>
        <w:top w:val="none" w:sz="0" w:space="0" w:color="auto"/>
        <w:left w:val="none" w:sz="0" w:space="0" w:color="auto"/>
        <w:bottom w:val="none" w:sz="0" w:space="0" w:color="auto"/>
        <w:right w:val="none" w:sz="0" w:space="0" w:color="auto"/>
      </w:divBdr>
      <w:divsChild>
        <w:div w:id="670530166">
          <w:marLeft w:val="0"/>
          <w:marRight w:val="0"/>
          <w:marTop w:val="0"/>
          <w:marBottom w:val="0"/>
          <w:divBdr>
            <w:top w:val="none" w:sz="0" w:space="0" w:color="auto"/>
            <w:left w:val="none" w:sz="0" w:space="0" w:color="auto"/>
            <w:bottom w:val="none" w:sz="0" w:space="0" w:color="auto"/>
            <w:right w:val="none" w:sz="0" w:space="0" w:color="auto"/>
          </w:divBdr>
        </w:div>
        <w:div w:id="775251513">
          <w:marLeft w:val="0"/>
          <w:marRight w:val="0"/>
          <w:marTop w:val="0"/>
          <w:marBottom w:val="0"/>
          <w:divBdr>
            <w:top w:val="none" w:sz="0" w:space="0" w:color="auto"/>
            <w:left w:val="none" w:sz="0" w:space="0" w:color="auto"/>
            <w:bottom w:val="none" w:sz="0" w:space="0" w:color="auto"/>
            <w:right w:val="none" w:sz="0" w:space="0" w:color="auto"/>
          </w:divBdr>
        </w:div>
        <w:div w:id="876314450">
          <w:marLeft w:val="0"/>
          <w:marRight w:val="0"/>
          <w:marTop w:val="0"/>
          <w:marBottom w:val="0"/>
          <w:divBdr>
            <w:top w:val="none" w:sz="0" w:space="0" w:color="auto"/>
            <w:left w:val="none" w:sz="0" w:space="0" w:color="auto"/>
            <w:bottom w:val="none" w:sz="0" w:space="0" w:color="auto"/>
            <w:right w:val="none" w:sz="0" w:space="0" w:color="auto"/>
          </w:divBdr>
        </w:div>
        <w:div w:id="488791296">
          <w:marLeft w:val="0"/>
          <w:marRight w:val="0"/>
          <w:marTop w:val="0"/>
          <w:marBottom w:val="0"/>
          <w:divBdr>
            <w:top w:val="none" w:sz="0" w:space="0" w:color="auto"/>
            <w:left w:val="none" w:sz="0" w:space="0" w:color="auto"/>
            <w:bottom w:val="none" w:sz="0" w:space="0" w:color="auto"/>
            <w:right w:val="none" w:sz="0" w:space="0" w:color="auto"/>
          </w:divBdr>
        </w:div>
        <w:div w:id="1756245706">
          <w:marLeft w:val="0"/>
          <w:marRight w:val="0"/>
          <w:marTop w:val="0"/>
          <w:marBottom w:val="0"/>
          <w:divBdr>
            <w:top w:val="none" w:sz="0" w:space="0" w:color="auto"/>
            <w:left w:val="none" w:sz="0" w:space="0" w:color="auto"/>
            <w:bottom w:val="none" w:sz="0" w:space="0" w:color="auto"/>
            <w:right w:val="none" w:sz="0" w:space="0" w:color="auto"/>
          </w:divBdr>
        </w:div>
        <w:div w:id="305739376">
          <w:marLeft w:val="0"/>
          <w:marRight w:val="0"/>
          <w:marTop w:val="0"/>
          <w:marBottom w:val="0"/>
          <w:divBdr>
            <w:top w:val="none" w:sz="0" w:space="0" w:color="auto"/>
            <w:left w:val="none" w:sz="0" w:space="0" w:color="auto"/>
            <w:bottom w:val="none" w:sz="0" w:space="0" w:color="auto"/>
            <w:right w:val="none" w:sz="0" w:space="0" w:color="auto"/>
          </w:divBdr>
        </w:div>
        <w:div w:id="2054500006">
          <w:marLeft w:val="0"/>
          <w:marRight w:val="0"/>
          <w:marTop w:val="0"/>
          <w:marBottom w:val="0"/>
          <w:divBdr>
            <w:top w:val="none" w:sz="0" w:space="0" w:color="auto"/>
            <w:left w:val="none" w:sz="0" w:space="0" w:color="auto"/>
            <w:bottom w:val="none" w:sz="0" w:space="0" w:color="auto"/>
            <w:right w:val="none" w:sz="0" w:space="0" w:color="auto"/>
          </w:divBdr>
        </w:div>
        <w:div w:id="779380436">
          <w:marLeft w:val="0"/>
          <w:marRight w:val="0"/>
          <w:marTop w:val="0"/>
          <w:marBottom w:val="0"/>
          <w:divBdr>
            <w:top w:val="none" w:sz="0" w:space="0" w:color="auto"/>
            <w:left w:val="none" w:sz="0" w:space="0" w:color="auto"/>
            <w:bottom w:val="none" w:sz="0" w:space="0" w:color="auto"/>
            <w:right w:val="none" w:sz="0" w:space="0" w:color="auto"/>
          </w:divBdr>
        </w:div>
        <w:div w:id="1817069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34247-02BD-4A10-B206-FA0B225E5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776</Words>
  <Characters>4896</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ABP</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InterSus</dc:creator>
  <cp:lastModifiedBy>Thomas Dworak</cp:lastModifiedBy>
  <cp:revision>4</cp:revision>
  <dcterms:created xsi:type="dcterms:W3CDTF">2017-02-06T14:56:00Z</dcterms:created>
  <dcterms:modified xsi:type="dcterms:W3CDTF">2017-02-07T07:37:00Z</dcterms:modified>
</cp:coreProperties>
</file>