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759" w:rsidRDefault="00770759" w:rsidP="00746E24">
      <w:pPr>
        <w:pStyle w:val="Samenvattingssubtitel"/>
        <w:rPr>
          <w:lang w:val="en-GB"/>
        </w:rPr>
      </w:pPr>
      <w:r>
        <w:rPr>
          <w:lang w:val="en-GB"/>
        </w:rPr>
        <w:t>Methodology on cost</w:t>
      </w:r>
      <w:r w:rsidR="0011171B">
        <w:rPr>
          <w:lang w:val="en-GB"/>
        </w:rPr>
        <w:t xml:space="preserve"> and benefit</w:t>
      </w:r>
      <w:r>
        <w:rPr>
          <w:lang w:val="en-GB"/>
        </w:rPr>
        <w:t xml:space="preserve"> assessment for coordinated measures </w:t>
      </w:r>
      <w:r w:rsidRPr="00770759">
        <w:rPr>
          <w:lang w:val="en-GB"/>
        </w:rPr>
        <w:t>for the joint implementation of the Marine Strategy Framework Directive (MSFD) in Bulgaria and Romania – Phase 2</w:t>
      </w:r>
    </w:p>
    <w:p w:rsidR="00B36820" w:rsidRPr="00B36820" w:rsidRDefault="00B36820" w:rsidP="00B36820">
      <w:pPr>
        <w:spacing w:line="360" w:lineRule="auto"/>
        <w:ind w:left="1701"/>
        <w:jc w:val="right"/>
        <w:rPr>
          <w:lang w:val="en-GB"/>
        </w:rPr>
      </w:pPr>
      <w:r w:rsidRPr="00B36820">
        <w:rPr>
          <w:lang w:val="en-GB"/>
        </w:rPr>
        <w:t>Version 22/05/2015</w:t>
      </w:r>
    </w:p>
    <w:p w:rsidR="00770759" w:rsidRPr="00770759" w:rsidRDefault="00770759" w:rsidP="00770759">
      <w:pPr>
        <w:spacing w:line="360" w:lineRule="auto"/>
        <w:ind w:left="1701"/>
        <w:jc w:val="both"/>
        <w:rPr>
          <w:u w:val="single"/>
          <w:lang w:val="en-GB"/>
        </w:rPr>
      </w:pPr>
      <w:r w:rsidRPr="00770759">
        <w:rPr>
          <w:u w:val="single"/>
          <w:lang w:val="en-GB"/>
        </w:rPr>
        <w:t>Framework contract for services related to coordination between the different marine regions in implementing the ecosystem approach ENV.D.2/FRA/2012/0017</w:t>
      </w:r>
    </w:p>
    <w:p w:rsidR="00770759" w:rsidRPr="00770759" w:rsidRDefault="00770759" w:rsidP="00770759">
      <w:pPr>
        <w:spacing w:line="360" w:lineRule="auto"/>
        <w:ind w:left="1701"/>
        <w:jc w:val="both"/>
        <w:rPr>
          <w:u w:val="single"/>
          <w:lang w:val="en-GB"/>
        </w:rPr>
      </w:pPr>
      <w:r w:rsidRPr="00770759">
        <w:rPr>
          <w:u w:val="single"/>
          <w:lang w:val="en-GB"/>
        </w:rPr>
        <w:t>European Commission</w:t>
      </w:r>
    </w:p>
    <w:p w:rsidR="00770759" w:rsidRDefault="00770759" w:rsidP="00770759">
      <w:pPr>
        <w:spacing w:line="360" w:lineRule="auto"/>
        <w:ind w:left="1701"/>
        <w:jc w:val="both"/>
        <w:rPr>
          <w:u w:val="single"/>
          <w:lang w:val="en-GB"/>
        </w:rPr>
      </w:pPr>
      <w:r w:rsidRPr="00770759">
        <w:rPr>
          <w:u w:val="single"/>
          <w:lang w:val="en-GB"/>
        </w:rPr>
        <w:t>Project number BE0114000978</w:t>
      </w:r>
    </w:p>
    <w:p w:rsidR="00097928" w:rsidRDefault="00097928" w:rsidP="00265A16">
      <w:pPr>
        <w:pStyle w:val="Kop1"/>
        <w:rPr>
          <w:lang w:val="en-GB"/>
        </w:rPr>
      </w:pPr>
      <w:r>
        <w:rPr>
          <w:lang w:val="en-GB"/>
        </w:rPr>
        <w:t>Cost assessment</w:t>
      </w:r>
    </w:p>
    <w:p w:rsidR="00265A16" w:rsidRDefault="00265A16" w:rsidP="00B36820">
      <w:pPr>
        <w:pStyle w:val="Kop2"/>
        <w:rPr>
          <w:lang w:val="en-GB"/>
        </w:rPr>
      </w:pPr>
      <w:r>
        <w:rPr>
          <w:lang w:val="en-GB"/>
        </w:rPr>
        <w:t>Cost typology</w:t>
      </w:r>
    </w:p>
    <w:p w:rsidR="00CF5A02" w:rsidRPr="00CF5A02" w:rsidRDefault="00C32F93" w:rsidP="00B36820">
      <w:pPr>
        <w:pStyle w:val="ARCADISStandaard"/>
        <w:rPr>
          <w:lang w:val="en-GB"/>
        </w:rPr>
      </w:pPr>
      <w:r w:rsidRPr="00C32F93">
        <w:rPr>
          <w:lang w:val="en-GB"/>
        </w:rPr>
        <w:t xml:space="preserve">Costs of measures differ depending on their type. In case of </w:t>
      </w:r>
      <w:r w:rsidRPr="00B36820">
        <w:rPr>
          <w:lang w:val="en-GB"/>
        </w:rPr>
        <w:t xml:space="preserve">technical </w:t>
      </w:r>
      <w:r w:rsidR="00097928" w:rsidRPr="00B36820">
        <w:rPr>
          <w:lang w:val="en-GB"/>
        </w:rPr>
        <w:t>measures</w:t>
      </w:r>
      <w:r w:rsidR="00CF5A02">
        <w:rPr>
          <w:b/>
          <w:lang w:val="en-GB"/>
        </w:rPr>
        <w:t>,</w:t>
      </w:r>
      <w:r w:rsidRPr="00C32F93">
        <w:rPr>
          <w:lang w:val="en-GB"/>
        </w:rPr>
        <w:t xml:space="preserve"> additional costs</w:t>
      </w:r>
      <w:r>
        <w:rPr>
          <w:lang w:val="en-GB"/>
        </w:rPr>
        <w:t xml:space="preserve"> </w:t>
      </w:r>
      <w:r w:rsidRPr="00C32F93">
        <w:rPr>
          <w:lang w:val="en-GB"/>
        </w:rPr>
        <w:t xml:space="preserve">of introducing new measures mainly consist </w:t>
      </w:r>
      <w:proofErr w:type="spellStart"/>
      <w:r w:rsidRPr="00C32F93">
        <w:rPr>
          <w:lang w:val="en-GB"/>
        </w:rPr>
        <w:t>of</w:t>
      </w:r>
      <w:r w:rsidR="00097928">
        <w:rPr>
          <w:lang w:val="en-GB"/>
        </w:rPr>
        <w:t>i</w:t>
      </w:r>
      <w:r w:rsidR="00CF5A02" w:rsidRPr="00CF5A02">
        <w:rPr>
          <w:lang w:val="en-GB"/>
        </w:rPr>
        <w:t>nvestment</w:t>
      </w:r>
      <w:proofErr w:type="spellEnd"/>
      <w:r w:rsidR="00CF5A02" w:rsidRPr="00CF5A02">
        <w:rPr>
          <w:lang w:val="en-GB"/>
        </w:rPr>
        <w:t xml:space="preserve"> costs</w:t>
      </w:r>
      <w:r w:rsidR="00097928">
        <w:rPr>
          <w:lang w:val="en-GB"/>
        </w:rPr>
        <w:t>, o</w:t>
      </w:r>
      <w:r w:rsidR="00CC0B18" w:rsidRPr="00CF5A02">
        <w:rPr>
          <w:lang w:val="en-GB"/>
        </w:rPr>
        <w:t>perational</w:t>
      </w:r>
      <w:r w:rsidR="00CC0B18">
        <w:rPr>
          <w:lang w:val="en-GB"/>
        </w:rPr>
        <w:t xml:space="preserve"> &amp; maintenance </w:t>
      </w:r>
      <w:r w:rsidR="00CF5A02" w:rsidRPr="00CF5A02">
        <w:rPr>
          <w:lang w:val="en-GB"/>
        </w:rPr>
        <w:t>costs</w:t>
      </w:r>
    </w:p>
    <w:p w:rsidR="00265A16" w:rsidRPr="00265A16" w:rsidRDefault="00C32F93" w:rsidP="00CF5A02">
      <w:pPr>
        <w:pStyle w:val="ARCADISStandaard"/>
        <w:rPr>
          <w:lang w:val="en-GB"/>
        </w:rPr>
      </w:pPr>
      <w:r w:rsidRPr="00C32F93">
        <w:rPr>
          <w:lang w:val="en-GB"/>
        </w:rPr>
        <w:t>The costs</w:t>
      </w:r>
      <w:r>
        <w:rPr>
          <w:lang w:val="en-GB"/>
        </w:rPr>
        <w:t xml:space="preserve"> </w:t>
      </w:r>
      <w:r w:rsidRPr="00C32F93">
        <w:rPr>
          <w:lang w:val="en-GB"/>
        </w:rPr>
        <w:t xml:space="preserve">associated with the </w:t>
      </w:r>
      <w:r w:rsidRPr="00B36820">
        <w:rPr>
          <w:lang w:val="en-GB"/>
        </w:rPr>
        <w:t>policy instruments</w:t>
      </w:r>
      <w:r w:rsidRPr="0011171B">
        <w:rPr>
          <w:lang w:val="en-GB"/>
        </w:rPr>
        <w:t xml:space="preserve"> </w:t>
      </w:r>
      <w:r w:rsidRPr="00C32F93">
        <w:rPr>
          <w:lang w:val="en-GB"/>
        </w:rPr>
        <w:t>and their implementation are indirect costs and they include:</w:t>
      </w:r>
    </w:p>
    <w:p w:rsidR="00C32F93" w:rsidRPr="00C32F93" w:rsidRDefault="00C32F93" w:rsidP="00C32F93">
      <w:pPr>
        <w:pStyle w:val="OpsommingSymbool"/>
        <w:rPr>
          <w:lang w:val="en-GB"/>
        </w:rPr>
      </w:pPr>
      <w:r w:rsidRPr="00C32F93">
        <w:rPr>
          <w:lang w:val="en-GB"/>
        </w:rPr>
        <w:t>Administrative costs for the regulator: research, information and meeting costs, enactment and lobbying costs, design and implementation costs and administration, monitoring and prosecution costs</w:t>
      </w:r>
      <w:r w:rsidR="000B5266">
        <w:rPr>
          <w:rStyle w:val="Voetnootmarkering"/>
          <w:lang w:val="en-GB"/>
        </w:rPr>
        <w:footnoteReference w:id="1"/>
      </w:r>
      <w:r w:rsidRPr="00C32F93">
        <w:rPr>
          <w:lang w:val="en-GB"/>
        </w:rPr>
        <w:t xml:space="preserve">. </w:t>
      </w:r>
    </w:p>
    <w:p w:rsidR="00C32F93" w:rsidRPr="00C32F93" w:rsidRDefault="00C32F93" w:rsidP="00C32F93">
      <w:pPr>
        <w:pStyle w:val="OpsommingSymbool"/>
        <w:rPr>
          <w:lang w:val="en-GB"/>
        </w:rPr>
      </w:pPr>
      <w:r w:rsidRPr="00C32F93">
        <w:rPr>
          <w:lang w:val="en-GB"/>
        </w:rPr>
        <w:t>Compliance costs for the regulated: investment in abatement equipment or additional costs related</w:t>
      </w:r>
      <w:r>
        <w:rPr>
          <w:lang w:val="en-GB"/>
        </w:rPr>
        <w:t xml:space="preserve"> </w:t>
      </w:r>
      <w:r w:rsidRPr="00C32F93">
        <w:rPr>
          <w:lang w:val="en-GB"/>
        </w:rPr>
        <w:t>to changed behaviour, administrative costs e.g. costs of applying for permits, monitoring costs;</w:t>
      </w:r>
    </w:p>
    <w:p w:rsidR="00CC0B18" w:rsidRPr="00CC0B18" w:rsidRDefault="00CC0B18" w:rsidP="00CC0B18">
      <w:pPr>
        <w:pStyle w:val="OpsommingSymbool"/>
        <w:rPr>
          <w:lang w:val="en-GB"/>
        </w:rPr>
      </w:pPr>
      <w:r w:rsidRPr="00CC0B18">
        <w:rPr>
          <w:lang w:val="en-GB"/>
        </w:rPr>
        <w:t>Opportunity costs: the value lost to society of any goods</w:t>
      </w:r>
      <w:r w:rsidRPr="00CD1DFD">
        <w:rPr>
          <w:lang w:val="en-GB"/>
        </w:rPr>
        <w:t xml:space="preserve"> </w:t>
      </w:r>
      <w:r w:rsidRPr="00CC0B18">
        <w:rPr>
          <w:lang w:val="en-GB"/>
        </w:rPr>
        <w:t>and services that will not be produced and consumed as a result of a</w:t>
      </w:r>
      <w:r>
        <w:rPr>
          <w:lang w:val="en-GB"/>
        </w:rPr>
        <w:t xml:space="preserve"> </w:t>
      </w:r>
      <w:r w:rsidRPr="00CC0B18">
        <w:rPr>
          <w:lang w:val="en-GB"/>
        </w:rPr>
        <w:t>regulation</w:t>
      </w:r>
      <w:r w:rsidR="00565D4B">
        <w:rPr>
          <w:lang w:val="en-GB"/>
        </w:rPr>
        <w:t>/implementation of a measure.</w:t>
      </w:r>
    </w:p>
    <w:p w:rsidR="00C32F93" w:rsidRDefault="0011171B" w:rsidP="00B36820">
      <w:pPr>
        <w:pStyle w:val="OpsommingSymbool"/>
        <w:numPr>
          <w:ilvl w:val="0"/>
          <w:numId w:val="0"/>
        </w:numPr>
        <w:ind w:left="1701"/>
        <w:rPr>
          <w:lang w:val="en-GB"/>
        </w:rPr>
      </w:pPr>
      <w:r w:rsidRPr="0011171B">
        <w:rPr>
          <w:lang w:val="en-GB"/>
        </w:rPr>
        <w:t>Within the assessment for coordinated measures for the joint implementation of the MSFD, the following broad categories of measures will be applied:</w:t>
      </w:r>
      <w:r w:rsidR="0075552A">
        <w:rPr>
          <w:lang w:val="en-GB"/>
        </w:rPr>
        <w:t xml:space="preserve">  </w:t>
      </w:r>
      <w:r w:rsidR="00097928">
        <w:rPr>
          <w:lang w:val="en-GB"/>
        </w:rPr>
        <w:t xml:space="preserve"> </w:t>
      </w:r>
    </w:p>
    <w:p w:rsidR="00097928" w:rsidRPr="00B36820" w:rsidRDefault="00097928" w:rsidP="00B36820">
      <w:pPr>
        <w:pStyle w:val="OpsommingSymbool"/>
      </w:pPr>
      <w:r w:rsidRPr="00B36820">
        <w:t xml:space="preserve">Technical </w:t>
      </w:r>
      <w:proofErr w:type="spellStart"/>
      <w:r w:rsidRPr="00B36820">
        <w:t>measures</w:t>
      </w:r>
      <w:proofErr w:type="spellEnd"/>
      <w:r w:rsidRPr="00B36820">
        <w:t>:</w:t>
      </w:r>
    </w:p>
    <w:p w:rsidR="00097928" w:rsidRPr="00B36820" w:rsidRDefault="00097928" w:rsidP="00B36820">
      <w:pPr>
        <w:pStyle w:val="OpsommingSymbool"/>
      </w:pPr>
      <w:proofErr w:type="spellStart"/>
      <w:r w:rsidRPr="00B36820">
        <w:t>Legislative</w:t>
      </w:r>
      <w:proofErr w:type="spellEnd"/>
      <w:r w:rsidRPr="00B36820">
        <w:t xml:space="preserve"> </w:t>
      </w:r>
      <w:proofErr w:type="spellStart"/>
      <w:r w:rsidRPr="00B36820">
        <w:t>measures</w:t>
      </w:r>
      <w:proofErr w:type="spellEnd"/>
    </w:p>
    <w:p w:rsidR="00097928" w:rsidRPr="00B36820" w:rsidRDefault="00097928" w:rsidP="00B36820">
      <w:pPr>
        <w:pStyle w:val="OpsommingSymbool"/>
      </w:pPr>
      <w:r w:rsidRPr="00B36820">
        <w:t xml:space="preserve">Policy </w:t>
      </w:r>
      <w:proofErr w:type="spellStart"/>
      <w:r w:rsidRPr="00B36820">
        <w:t>instruments</w:t>
      </w:r>
      <w:proofErr w:type="spellEnd"/>
    </w:p>
    <w:p w:rsidR="00097928" w:rsidRPr="00B36820" w:rsidRDefault="00097928" w:rsidP="00B36820">
      <w:pPr>
        <w:pStyle w:val="OpsommingSymbool"/>
        <w:rPr>
          <w:lang w:val="en-US"/>
        </w:rPr>
      </w:pPr>
      <w:r w:rsidRPr="00B36820">
        <w:rPr>
          <w:lang w:val="en-US"/>
        </w:rPr>
        <w:t xml:space="preserve">Capacity building and awareness raising measures </w:t>
      </w:r>
    </w:p>
    <w:p w:rsidR="00B36820" w:rsidRPr="001E0C58" w:rsidRDefault="00B36820" w:rsidP="00B36820">
      <w:pPr>
        <w:rPr>
          <w:lang w:val="en-US"/>
        </w:rPr>
      </w:pPr>
    </w:p>
    <w:p w:rsidR="00265A16" w:rsidRDefault="00DB7EF9" w:rsidP="00B36820">
      <w:pPr>
        <w:pStyle w:val="Kop2"/>
        <w:rPr>
          <w:lang w:val="en-GB"/>
        </w:rPr>
      </w:pPr>
      <w:r>
        <w:rPr>
          <w:lang w:val="en-GB"/>
        </w:rPr>
        <w:t xml:space="preserve">Proposed </w:t>
      </w:r>
      <w:r w:rsidR="00265A16">
        <w:rPr>
          <w:lang w:val="en-GB"/>
        </w:rPr>
        <w:t>approach</w:t>
      </w:r>
    </w:p>
    <w:p w:rsidR="00C32F93" w:rsidRDefault="00C32F93">
      <w:pPr>
        <w:pStyle w:val="ARCADISStandaard"/>
        <w:rPr>
          <w:lang w:val="en-GB"/>
        </w:rPr>
      </w:pPr>
      <w:r w:rsidRPr="00C32F93">
        <w:rPr>
          <w:lang w:val="en-GB"/>
        </w:rPr>
        <w:t xml:space="preserve">The main question to be answered in costing of potential </w:t>
      </w:r>
      <w:r>
        <w:rPr>
          <w:lang w:val="en-GB"/>
        </w:rPr>
        <w:t>B</w:t>
      </w:r>
      <w:r w:rsidR="000B5266">
        <w:rPr>
          <w:lang w:val="en-GB"/>
        </w:rPr>
        <w:t>lack Sea</w:t>
      </w:r>
      <w:r>
        <w:rPr>
          <w:lang w:val="en-GB"/>
        </w:rPr>
        <w:t xml:space="preserve"> </w:t>
      </w:r>
      <w:r w:rsidR="000B5266">
        <w:rPr>
          <w:lang w:val="en-GB"/>
        </w:rPr>
        <w:t>measures (as an input for CEA/</w:t>
      </w:r>
      <w:r w:rsidRPr="00C32F93">
        <w:rPr>
          <w:lang w:val="en-GB"/>
        </w:rPr>
        <w:t>CBA) is how much the implementation of the given measure costs the</w:t>
      </w:r>
      <w:r>
        <w:rPr>
          <w:lang w:val="en-GB"/>
        </w:rPr>
        <w:t xml:space="preserve"> </w:t>
      </w:r>
      <w:r w:rsidRPr="00C32F93">
        <w:rPr>
          <w:lang w:val="en-GB"/>
        </w:rPr>
        <w:t xml:space="preserve">society (in terms of public and private costs). To answer this question, </w:t>
      </w:r>
      <w:r>
        <w:rPr>
          <w:lang w:val="en-GB"/>
        </w:rPr>
        <w:t xml:space="preserve">the </w:t>
      </w:r>
      <w:r w:rsidRPr="00C32F93">
        <w:rPr>
          <w:lang w:val="en-GB"/>
        </w:rPr>
        <w:t>nature of the given measure needs</w:t>
      </w:r>
      <w:r>
        <w:rPr>
          <w:lang w:val="en-GB"/>
        </w:rPr>
        <w:t xml:space="preserve"> </w:t>
      </w:r>
      <w:r w:rsidRPr="00C32F93">
        <w:rPr>
          <w:lang w:val="en-GB"/>
        </w:rPr>
        <w:t xml:space="preserve">to be determined and its </w:t>
      </w:r>
      <w:r w:rsidRPr="00B36820">
        <w:rPr>
          <w:lang w:val="en-GB"/>
        </w:rPr>
        <w:t xml:space="preserve">breakdown into basic </w:t>
      </w:r>
      <w:r w:rsidR="005800A7" w:rsidRPr="00B36820">
        <w:rPr>
          <w:lang w:val="en-GB"/>
        </w:rPr>
        <w:lastRenderedPageBreak/>
        <w:t xml:space="preserve">cost </w:t>
      </w:r>
      <w:r w:rsidRPr="00B36820">
        <w:rPr>
          <w:lang w:val="en-GB"/>
        </w:rPr>
        <w:t>components</w:t>
      </w:r>
      <w:r w:rsidRPr="00C32F93">
        <w:rPr>
          <w:lang w:val="en-GB"/>
        </w:rPr>
        <w:t xml:space="preserve"> and/ or inputs needed for implementation</w:t>
      </w:r>
      <w:r>
        <w:rPr>
          <w:lang w:val="en-GB"/>
        </w:rPr>
        <w:t xml:space="preserve"> </w:t>
      </w:r>
      <w:r w:rsidRPr="00C32F93">
        <w:rPr>
          <w:lang w:val="en-GB"/>
        </w:rPr>
        <w:t xml:space="preserve">provided. </w:t>
      </w:r>
      <w:r w:rsidR="00DB7EF9">
        <w:rPr>
          <w:lang w:val="en-GB"/>
        </w:rPr>
        <w:t xml:space="preserve">In order to get insight in the different costs of measures and to assign values to it, we propose a 3 step approach: </w:t>
      </w:r>
    </w:p>
    <w:p w:rsidR="00DB7EF9" w:rsidRDefault="00DB7EF9" w:rsidP="00B36820">
      <w:pPr>
        <w:pStyle w:val="ARCADISStandaard"/>
        <w:numPr>
          <w:ilvl w:val="0"/>
          <w:numId w:val="13"/>
        </w:numPr>
        <w:rPr>
          <w:lang w:val="en-GB"/>
        </w:rPr>
      </w:pPr>
      <w:r>
        <w:rPr>
          <w:lang w:val="en-GB"/>
        </w:rPr>
        <w:t>Assigning cost components to measures</w:t>
      </w:r>
    </w:p>
    <w:p w:rsidR="00DB7EF9" w:rsidRDefault="00DB7EF9" w:rsidP="00B36820">
      <w:pPr>
        <w:pStyle w:val="ARCADISStandaard"/>
        <w:numPr>
          <w:ilvl w:val="0"/>
          <w:numId w:val="13"/>
        </w:numPr>
        <w:rPr>
          <w:lang w:val="en-GB"/>
        </w:rPr>
      </w:pPr>
      <w:r>
        <w:rPr>
          <w:lang w:val="en-GB"/>
        </w:rPr>
        <w:t>First rough assessment</w:t>
      </w:r>
    </w:p>
    <w:p w:rsidR="00DB7EF9" w:rsidRDefault="00DB7EF9" w:rsidP="00B36820">
      <w:pPr>
        <w:pStyle w:val="ARCADISStandaard"/>
        <w:numPr>
          <w:ilvl w:val="0"/>
          <w:numId w:val="13"/>
        </w:numPr>
        <w:rPr>
          <w:lang w:val="en-GB"/>
        </w:rPr>
      </w:pPr>
      <w:r>
        <w:rPr>
          <w:lang w:val="en-GB"/>
        </w:rPr>
        <w:t>More detailed assessment</w:t>
      </w:r>
    </w:p>
    <w:p w:rsidR="00B36820" w:rsidRDefault="00B36820" w:rsidP="00B36820">
      <w:pPr>
        <w:pStyle w:val="OpsommingSymbool"/>
        <w:numPr>
          <w:ilvl w:val="0"/>
          <w:numId w:val="0"/>
        </w:numPr>
        <w:ind w:left="2268"/>
        <w:rPr>
          <w:lang w:val="en-US"/>
        </w:rPr>
      </w:pPr>
    </w:p>
    <w:p w:rsidR="00DB7EF9" w:rsidRPr="00DB7EF9" w:rsidRDefault="00DB7EF9" w:rsidP="00B36820">
      <w:pPr>
        <w:pStyle w:val="Kop3"/>
        <w:rPr>
          <w:lang w:val="en-GB"/>
        </w:rPr>
      </w:pPr>
      <w:r w:rsidRPr="00DB7EF9">
        <w:rPr>
          <w:lang w:val="en-GB"/>
        </w:rPr>
        <w:t>Assigning cost components to measures</w:t>
      </w:r>
    </w:p>
    <w:p w:rsidR="00C32F93" w:rsidRPr="00A15D79" w:rsidRDefault="00C32F93">
      <w:pPr>
        <w:pStyle w:val="ARCADISStandaard"/>
        <w:rPr>
          <w:lang w:val="en-US"/>
        </w:rPr>
      </w:pPr>
      <w:r w:rsidRPr="00C32F93">
        <w:rPr>
          <w:lang w:val="en-GB"/>
        </w:rPr>
        <w:t xml:space="preserve">Different types of measures require different types of </w:t>
      </w:r>
      <w:r>
        <w:rPr>
          <w:lang w:val="en-GB"/>
        </w:rPr>
        <w:t xml:space="preserve">cost </w:t>
      </w:r>
      <w:r w:rsidRPr="00C32F93">
        <w:rPr>
          <w:lang w:val="en-GB"/>
        </w:rPr>
        <w:t>input to be implemented</w:t>
      </w:r>
      <w:r>
        <w:rPr>
          <w:lang w:val="en-GB"/>
        </w:rPr>
        <w:t>.</w:t>
      </w:r>
      <w:r w:rsidR="005D21D3">
        <w:rPr>
          <w:lang w:val="en-GB"/>
        </w:rPr>
        <w:t xml:space="preserve"> </w:t>
      </w:r>
      <w:r>
        <w:rPr>
          <w:lang w:val="en-GB"/>
        </w:rPr>
        <w:t>As an example, for l</w:t>
      </w:r>
      <w:r w:rsidRPr="00C32F93">
        <w:rPr>
          <w:lang w:val="en-GB"/>
        </w:rPr>
        <w:t xml:space="preserve">egislative measures </w:t>
      </w:r>
      <w:r>
        <w:rPr>
          <w:lang w:val="en-GB"/>
        </w:rPr>
        <w:t xml:space="preserve">the main cost element consist of </w:t>
      </w:r>
      <w:r w:rsidRPr="00C32F93">
        <w:rPr>
          <w:lang w:val="en-GB"/>
        </w:rPr>
        <w:t>the time needed to draft the laws and administer them</w:t>
      </w:r>
      <w:r>
        <w:rPr>
          <w:lang w:val="en-GB"/>
        </w:rPr>
        <w:t>.</w:t>
      </w:r>
      <w:r w:rsidRPr="00C32F93">
        <w:rPr>
          <w:lang w:val="en-GB"/>
        </w:rPr>
        <w:t xml:space="preserve"> </w:t>
      </w:r>
      <w:r>
        <w:rPr>
          <w:lang w:val="en-GB"/>
        </w:rPr>
        <w:t xml:space="preserve">Per type of measure (based on </w:t>
      </w:r>
      <w:r w:rsidR="00097928">
        <w:rPr>
          <w:lang w:val="en-GB"/>
        </w:rPr>
        <w:t xml:space="preserve">the </w:t>
      </w:r>
      <w:r w:rsidR="00AC3EDC">
        <w:rPr>
          <w:lang w:val="en-GB"/>
        </w:rPr>
        <w:t>4 type categor</w:t>
      </w:r>
      <w:r w:rsidR="00B36820">
        <w:rPr>
          <w:lang w:val="en-GB"/>
        </w:rPr>
        <w:t>y</w:t>
      </w:r>
      <w:r w:rsidR="00AC3EDC">
        <w:rPr>
          <w:lang w:val="en-GB"/>
        </w:rPr>
        <w:t xml:space="preserve"> of measures</w:t>
      </w:r>
      <w:r w:rsidR="00097928">
        <w:rPr>
          <w:lang w:val="en-GB"/>
        </w:rPr>
        <w:t xml:space="preserve"> above</w:t>
      </w:r>
      <w:r w:rsidRPr="00C32F93">
        <w:rPr>
          <w:lang w:val="en-GB"/>
        </w:rPr>
        <w:t>)</w:t>
      </w:r>
      <w:r>
        <w:rPr>
          <w:lang w:val="en-GB"/>
        </w:rPr>
        <w:t xml:space="preserve"> we provide </w:t>
      </w:r>
      <w:r w:rsidRPr="00A15D79">
        <w:rPr>
          <w:lang w:val="en-GB"/>
        </w:rPr>
        <w:t>cost templates</w:t>
      </w:r>
      <w:r>
        <w:rPr>
          <w:lang w:val="en-GB"/>
        </w:rPr>
        <w:t xml:space="preserve"> to be filled in during the Brussels May workshop (5-6/05). </w:t>
      </w:r>
      <w:r w:rsidR="00BF65A4" w:rsidRPr="00A15D79">
        <w:rPr>
          <w:lang w:val="en-US"/>
        </w:rPr>
        <w:t>A</w:t>
      </w:r>
      <w:r w:rsidR="00BF65A4">
        <w:rPr>
          <w:lang w:val="en-US"/>
        </w:rPr>
        <w:t xml:space="preserve">s a first step, the proposed measures should be subdivided into cost components and their temporal scale (one off; </w:t>
      </w:r>
      <w:r w:rsidR="001F2D56">
        <w:rPr>
          <w:lang w:val="en-US"/>
        </w:rPr>
        <w:t>yearly</w:t>
      </w:r>
      <w:r w:rsidR="00BF65A4">
        <w:rPr>
          <w:lang w:val="en-US"/>
        </w:rPr>
        <w:t xml:space="preserve"> costs</w:t>
      </w:r>
      <w:r w:rsidR="001F2D56">
        <w:rPr>
          <w:lang w:val="en-US"/>
        </w:rPr>
        <w:t xml:space="preserve">, </w:t>
      </w:r>
      <w:r w:rsidR="001F2D56" w:rsidRPr="001F2D56">
        <w:rPr>
          <w:lang w:val="en-US"/>
        </w:rPr>
        <w:t>time period</w:t>
      </w:r>
      <w:r w:rsidR="00BF65A4" w:rsidRPr="001F2D56">
        <w:rPr>
          <w:lang w:val="en-US"/>
        </w:rPr>
        <w:t>).</w:t>
      </w:r>
      <w:r w:rsidR="00BF65A4">
        <w:rPr>
          <w:lang w:val="en-US"/>
        </w:rPr>
        <w:t xml:space="preserve"> Each cost component </w:t>
      </w:r>
      <w:r w:rsidR="00CF190F">
        <w:rPr>
          <w:lang w:val="en-US"/>
        </w:rPr>
        <w:t>is shown here under with its specific</w:t>
      </w:r>
      <w:r w:rsidR="00BF65A4">
        <w:rPr>
          <w:lang w:val="en-US"/>
        </w:rPr>
        <w:t xml:space="preserve"> </w:t>
      </w:r>
      <w:r w:rsidR="00CF190F">
        <w:rPr>
          <w:lang w:val="en-US"/>
        </w:rPr>
        <w:t xml:space="preserve">cost </w:t>
      </w:r>
      <w:r w:rsidR="00BF65A4">
        <w:rPr>
          <w:lang w:val="en-US"/>
        </w:rPr>
        <w:t xml:space="preserve">indicators. </w:t>
      </w:r>
    </w:p>
    <w:p w:rsidR="00CD1DFD" w:rsidRDefault="00CD1DFD">
      <w:pPr>
        <w:spacing w:line="360" w:lineRule="auto"/>
        <w:ind w:left="1701"/>
        <w:jc w:val="both"/>
        <w:rPr>
          <w:b/>
          <w:lang w:val="en-GB"/>
        </w:rPr>
      </w:pPr>
    </w:p>
    <w:p w:rsidR="00DB7EF9" w:rsidRDefault="00DB7EF9">
      <w:pPr>
        <w:spacing w:line="360" w:lineRule="auto"/>
        <w:ind w:left="1701"/>
        <w:jc w:val="both"/>
        <w:rPr>
          <w:b/>
          <w:lang w:val="en-GB"/>
        </w:rPr>
      </w:pPr>
      <w:r>
        <w:rPr>
          <w:b/>
          <w:lang w:val="en-GB"/>
        </w:rPr>
        <w:t xml:space="preserve">Cost components </w:t>
      </w:r>
    </w:p>
    <w:p w:rsidR="00DB7EF9" w:rsidRPr="00A15D79" w:rsidRDefault="00DB7EF9">
      <w:pPr>
        <w:pStyle w:val="OpsommingSymbool"/>
        <w:rPr>
          <w:lang w:val="en-GB"/>
        </w:rPr>
      </w:pPr>
      <w:r w:rsidRPr="00A15D79">
        <w:rPr>
          <w:lang w:val="en-GB"/>
        </w:rPr>
        <w:t>Implementation costs for a law, regulation, …</w:t>
      </w:r>
    </w:p>
    <w:p w:rsidR="00DB7EF9" w:rsidRPr="00A15D79" w:rsidRDefault="00DB7EF9" w:rsidP="00B36820">
      <w:pPr>
        <w:pStyle w:val="OpsommingSymbool"/>
        <w:numPr>
          <w:ilvl w:val="1"/>
          <w:numId w:val="6"/>
        </w:numPr>
        <w:rPr>
          <w:lang w:val="en-GB"/>
        </w:rPr>
      </w:pPr>
      <w:r w:rsidRPr="00A15D79">
        <w:rPr>
          <w:lang w:val="en-GB"/>
        </w:rPr>
        <w:t>Preparation (Planning,</w:t>
      </w:r>
      <w:r w:rsidR="00B36820">
        <w:rPr>
          <w:lang w:val="en-GB"/>
        </w:rPr>
        <w:t xml:space="preserve"> </w:t>
      </w:r>
      <w:r w:rsidRPr="00A15D79">
        <w:rPr>
          <w:lang w:val="en-GB"/>
        </w:rPr>
        <w:t xml:space="preserve">writing) </w:t>
      </w:r>
    </w:p>
    <w:p w:rsidR="00DB7EF9" w:rsidRPr="00A15D79" w:rsidRDefault="00DB7EF9" w:rsidP="00B36820">
      <w:pPr>
        <w:pStyle w:val="OpsommingSymbool"/>
        <w:numPr>
          <w:ilvl w:val="1"/>
          <w:numId w:val="6"/>
        </w:numPr>
        <w:rPr>
          <w:lang w:val="en-GB"/>
        </w:rPr>
      </w:pPr>
      <w:r w:rsidRPr="00A15D79">
        <w:rPr>
          <w:lang w:val="en-GB"/>
        </w:rPr>
        <w:t>Consultation, Dealing with objections,</w:t>
      </w:r>
      <w:r w:rsidRPr="00A15D79">
        <w:rPr>
          <w:lang w:val="en-GB"/>
        </w:rPr>
        <w:tab/>
        <w:t xml:space="preserve"> </w:t>
      </w:r>
    </w:p>
    <w:p w:rsidR="00DB7EF9" w:rsidRDefault="00DB7EF9" w:rsidP="00B36820">
      <w:pPr>
        <w:pStyle w:val="OpsommingSymbool"/>
        <w:numPr>
          <w:ilvl w:val="1"/>
          <w:numId w:val="6"/>
        </w:numPr>
        <w:rPr>
          <w:lang w:val="en-GB"/>
        </w:rPr>
      </w:pPr>
      <w:r w:rsidRPr="00A15D79">
        <w:rPr>
          <w:lang w:val="en-GB"/>
        </w:rPr>
        <w:t>Finalisation (Approval and sign-off, advertising</w:t>
      </w:r>
      <w:r w:rsidRPr="00A15D79">
        <w:rPr>
          <w:lang w:val="en-GB"/>
        </w:rPr>
        <w:tab/>
        <w:t xml:space="preserve"> </w:t>
      </w:r>
    </w:p>
    <w:p w:rsidR="00A15D79" w:rsidRPr="00A15D79" w:rsidRDefault="00A15D79">
      <w:pPr>
        <w:pStyle w:val="OpsommingSymbool"/>
        <w:numPr>
          <w:ilvl w:val="0"/>
          <w:numId w:val="0"/>
        </w:numPr>
        <w:ind w:left="2268"/>
        <w:rPr>
          <w:lang w:val="en-GB"/>
        </w:rPr>
      </w:pPr>
    </w:p>
    <w:p w:rsidR="00DB7EF9" w:rsidRPr="00A15D79" w:rsidRDefault="00DB7EF9">
      <w:pPr>
        <w:pStyle w:val="OpsommingSymbool"/>
        <w:rPr>
          <w:lang w:val="en-GB"/>
        </w:rPr>
      </w:pPr>
      <w:r w:rsidRPr="00A15D79">
        <w:rPr>
          <w:lang w:val="en-GB"/>
        </w:rPr>
        <w:t>•</w:t>
      </w:r>
      <w:r w:rsidRPr="00A15D79">
        <w:rPr>
          <w:lang w:val="en-GB"/>
        </w:rPr>
        <w:tab/>
        <w:t>Enforcement costs</w:t>
      </w:r>
    </w:p>
    <w:p w:rsidR="00DB7EF9" w:rsidRPr="00A15D79" w:rsidRDefault="00DB7EF9" w:rsidP="00B36820">
      <w:pPr>
        <w:pStyle w:val="OpsommingSymbool"/>
        <w:numPr>
          <w:ilvl w:val="1"/>
          <w:numId w:val="6"/>
        </w:numPr>
        <w:rPr>
          <w:lang w:val="en-GB"/>
        </w:rPr>
      </w:pPr>
      <w:r w:rsidRPr="00A15D79">
        <w:rPr>
          <w:lang w:val="en-GB"/>
        </w:rPr>
        <w:t xml:space="preserve">Surface surveillance </w:t>
      </w:r>
    </w:p>
    <w:p w:rsidR="00DB7EF9" w:rsidRPr="00A15D79" w:rsidRDefault="00DB7EF9" w:rsidP="00B36820">
      <w:pPr>
        <w:pStyle w:val="OpsommingSymbool"/>
        <w:numPr>
          <w:ilvl w:val="1"/>
          <w:numId w:val="6"/>
        </w:numPr>
        <w:rPr>
          <w:lang w:val="en-GB"/>
        </w:rPr>
      </w:pPr>
      <w:r w:rsidRPr="00A15D79">
        <w:rPr>
          <w:lang w:val="en-GB"/>
        </w:rPr>
        <w:t>Joint enforce</w:t>
      </w:r>
      <w:r w:rsidRPr="00DB7EF9">
        <w:rPr>
          <w:lang w:val="en-GB"/>
        </w:rPr>
        <w:t>ment patrols with local officer</w:t>
      </w:r>
    </w:p>
    <w:p w:rsidR="00DB7EF9" w:rsidRPr="00A15D79" w:rsidRDefault="00DB7EF9" w:rsidP="00B36820">
      <w:pPr>
        <w:pStyle w:val="OpsommingSymbool"/>
        <w:numPr>
          <w:ilvl w:val="1"/>
          <w:numId w:val="6"/>
        </w:numPr>
        <w:rPr>
          <w:lang w:val="en-GB"/>
        </w:rPr>
      </w:pPr>
      <w:r w:rsidRPr="00A15D79">
        <w:rPr>
          <w:lang w:val="en-GB"/>
        </w:rPr>
        <w:t xml:space="preserve">Aerial surveillance </w:t>
      </w:r>
    </w:p>
    <w:p w:rsidR="00DB7EF9" w:rsidRDefault="00DB7EF9" w:rsidP="00B36820">
      <w:pPr>
        <w:pStyle w:val="OpsommingSymbool"/>
        <w:numPr>
          <w:ilvl w:val="1"/>
          <w:numId w:val="6"/>
        </w:numPr>
        <w:rPr>
          <w:lang w:val="en-GB"/>
        </w:rPr>
      </w:pPr>
      <w:r w:rsidRPr="00A15D79">
        <w:rPr>
          <w:lang w:val="en-GB"/>
        </w:rPr>
        <w:t xml:space="preserve">Investigations/prosecutions </w:t>
      </w:r>
    </w:p>
    <w:p w:rsidR="00A15D79" w:rsidRPr="00A15D79" w:rsidRDefault="00A15D79">
      <w:pPr>
        <w:pStyle w:val="OpsommingSymbool"/>
        <w:numPr>
          <w:ilvl w:val="0"/>
          <w:numId w:val="0"/>
        </w:numPr>
        <w:ind w:left="2268"/>
        <w:rPr>
          <w:lang w:val="en-GB"/>
        </w:rPr>
      </w:pPr>
    </w:p>
    <w:p w:rsidR="00DB7EF9" w:rsidRPr="00A15D79" w:rsidRDefault="00DB7EF9">
      <w:pPr>
        <w:pStyle w:val="OpsommingSymbool"/>
        <w:rPr>
          <w:lang w:val="en-GB"/>
        </w:rPr>
      </w:pPr>
      <w:r w:rsidRPr="00A15D79">
        <w:rPr>
          <w:lang w:val="en-GB"/>
        </w:rPr>
        <w:t>•</w:t>
      </w:r>
      <w:r w:rsidRPr="00A15D79">
        <w:rPr>
          <w:lang w:val="en-GB"/>
        </w:rPr>
        <w:tab/>
        <w:t>Negotiation costs</w:t>
      </w:r>
    </w:p>
    <w:p w:rsidR="00DB7EF9" w:rsidRPr="00A15D79" w:rsidRDefault="00DB7EF9" w:rsidP="00B36820">
      <w:pPr>
        <w:pStyle w:val="OpsommingSymbool"/>
        <w:numPr>
          <w:ilvl w:val="1"/>
          <w:numId w:val="6"/>
        </w:numPr>
        <w:rPr>
          <w:lang w:val="en-GB"/>
        </w:rPr>
      </w:pPr>
      <w:r w:rsidRPr="00A15D79">
        <w:rPr>
          <w:lang w:val="en-GB"/>
        </w:rPr>
        <w:t>Planning &amp; preparation</w:t>
      </w:r>
    </w:p>
    <w:p w:rsidR="0075552A" w:rsidRDefault="0075552A" w:rsidP="00B36820">
      <w:pPr>
        <w:pStyle w:val="OpsommingSymbool"/>
        <w:numPr>
          <w:ilvl w:val="1"/>
          <w:numId w:val="6"/>
        </w:numPr>
        <w:rPr>
          <w:lang w:val="en-GB"/>
        </w:rPr>
      </w:pPr>
      <w:r w:rsidRPr="00A15D79">
        <w:rPr>
          <w:lang w:val="en-GB"/>
        </w:rPr>
        <w:t>Drafting agreement &amp; Ratification</w:t>
      </w:r>
    </w:p>
    <w:p w:rsidR="00DB7EF9" w:rsidRPr="00A15D79" w:rsidRDefault="00DB7EF9" w:rsidP="00B36820">
      <w:pPr>
        <w:pStyle w:val="OpsommingSymbool"/>
        <w:numPr>
          <w:ilvl w:val="1"/>
          <w:numId w:val="6"/>
        </w:numPr>
        <w:rPr>
          <w:lang w:val="en-GB"/>
        </w:rPr>
      </w:pPr>
      <w:r w:rsidRPr="00A15D79">
        <w:rPr>
          <w:lang w:val="en-GB"/>
        </w:rPr>
        <w:t>Meetings with neighbo</w:t>
      </w:r>
      <w:r w:rsidR="00B36820">
        <w:rPr>
          <w:lang w:val="en-GB"/>
        </w:rPr>
        <w:t>u</w:t>
      </w:r>
      <w:r w:rsidRPr="00A15D79">
        <w:rPr>
          <w:lang w:val="en-GB"/>
        </w:rPr>
        <w:t>ring MS</w:t>
      </w:r>
      <w:r w:rsidRPr="00A15D79">
        <w:rPr>
          <w:lang w:val="en-GB"/>
        </w:rPr>
        <w:tab/>
        <w:t xml:space="preserve"> </w:t>
      </w:r>
    </w:p>
    <w:p w:rsidR="00DB7EF9" w:rsidRDefault="00DB7EF9" w:rsidP="00B36820">
      <w:pPr>
        <w:pStyle w:val="OpsommingSymbool"/>
        <w:numPr>
          <w:ilvl w:val="1"/>
          <w:numId w:val="6"/>
        </w:numPr>
        <w:rPr>
          <w:lang w:val="en-GB"/>
        </w:rPr>
      </w:pPr>
      <w:r w:rsidRPr="00A15D79">
        <w:rPr>
          <w:lang w:val="en-GB"/>
        </w:rPr>
        <w:t>Travel &amp; other costs</w:t>
      </w:r>
    </w:p>
    <w:p w:rsidR="00A15D79" w:rsidRPr="00A15D79" w:rsidRDefault="00A15D79">
      <w:pPr>
        <w:pStyle w:val="OpsommingSymbool"/>
        <w:numPr>
          <w:ilvl w:val="0"/>
          <w:numId w:val="0"/>
        </w:numPr>
        <w:ind w:left="2268"/>
        <w:rPr>
          <w:lang w:val="en-GB"/>
        </w:rPr>
      </w:pPr>
    </w:p>
    <w:p w:rsidR="00DB7EF9" w:rsidRPr="00A15D79" w:rsidRDefault="00DB7EF9">
      <w:pPr>
        <w:pStyle w:val="OpsommingSymbool"/>
        <w:rPr>
          <w:lang w:val="en-GB"/>
        </w:rPr>
      </w:pPr>
      <w:r w:rsidRPr="00A15D79">
        <w:rPr>
          <w:lang w:val="en-GB"/>
        </w:rPr>
        <w:t>•</w:t>
      </w:r>
      <w:r w:rsidRPr="00A15D79">
        <w:rPr>
          <w:lang w:val="en-GB"/>
        </w:rPr>
        <w:tab/>
        <w:t>Management costs</w:t>
      </w:r>
    </w:p>
    <w:p w:rsidR="00DB7EF9" w:rsidRPr="00A15D79" w:rsidRDefault="00DB7EF9" w:rsidP="00B36820">
      <w:pPr>
        <w:pStyle w:val="OpsommingSymbool"/>
        <w:numPr>
          <w:ilvl w:val="1"/>
          <w:numId w:val="6"/>
        </w:numPr>
        <w:rPr>
          <w:lang w:val="en-GB"/>
        </w:rPr>
      </w:pPr>
      <w:r w:rsidRPr="00A15D79">
        <w:rPr>
          <w:lang w:val="en-GB"/>
        </w:rPr>
        <w:t>Staff time (preparation, follow up)</w:t>
      </w:r>
    </w:p>
    <w:p w:rsidR="0075552A" w:rsidRPr="00A15D79" w:rsidRDefault="0075552A" w:rsidP="00B36820">
      <w:pPr>
        <w:pStyle w:val="OpsommingSymbool"/>
        <w:numPr>
          <w:ilvl w:val="1"/>
          <w:numId w:val="6"/>
        </w:numPr>
        <w:rPr>
          <w:lang w:val="en-GB"/>
        </w:rPr>
      </w:pPr>
      <w:r w:rsidRPr="00A15D79">
        <w:rPr>
          <w:lang w:val="en-GB"/>
        </w:rPr>
        <w:t>Meetings with neighbo</w:t>
      </w:r>
      <w:r w:rsidR="00B36820">
        <w:rPr>
          <w:lang w:val="en-GB"/>
        </w:rPr>
        <w:t>u</w:t>
      </w:r>
      <w:r w:rsidRPr="00A15D79">
        <w:rPr>
          <w:lang w:val="en-GB"/>
        </w:rPr>
        <w:t>ring MS</w:t>
      </w:r>
      <w:r w:rsidRPr="00A15D79">
        <w:rPr>
          <w:lang w:val="en-GB"/>
        </w:rPr>
        <w:tab/>
        <w:t xml:space="preserve"> </w:t>
      </w:r>
    </w:p>
    <w:p w:rsidR="0075552A" w:rsidRDefault="0075552A" w:rsidP="00B36820">
      <w:pPr>
        <w:pStyle w:val="OpsommingSymbool"/>
        <w:numPr>
          <w:ilvl w:val="1"/>
          <w:numId w:val="6"/>
        </w:numPr>
        <w:rPr>
          <w:lang w:val="en-GB"/>
        </w:rPr>
      </w:pPr>
      <w:r w:rsidRPr="00A15D79">
        <w:rPr>
          <w:lang w:val="en-GB"/>
        </w:rPr>
        <w:t>Travel &amp; other costs</w:t>
      </w:r>
    </w:p>
    <w:p w:rsidR="00A15D79" w:rsidRDefault="00A15D79">
      <w:pPr>
        <w:pStyle w:val="OpsommingSymbool"/>
        <w:numPr>
          <w:ilvl w:val="0"/>
          <w:numId w:val="0"/>
        </w:numPr>
        <w:ind w:left="2268"/>
        <w:rPr>
          <w:lang w:val="en-GB"/>
        </w:rPr>
      </w:pPr>
    </w:p>
    <w:p w:rsidR="00DB7EF9" w:rsidRPr="00DB7EF9" w:rsidRDefault="00DB7EF9">
      <w:pPr>
        <w:pStyle w:val="OpsommingSymbool"/>
        <w:rPr>
          <w:lang w:val="en-GB"/>
        </w:rPr>
      </w:pPr>
      <w:r w:rsidRPr="00DB7EF9">
        <w:rPr>
          <w:lang w:val="en-GB"/>
        </w:rPr>
        <w:t>Research costs</w:t>
      </w:r>
    </w:p>
    <w:p w:rsidR="00DB7EF9" w:rsidRPr="00BF65A4" w:rsidRDefault="00DB7EF9" w:rsidP="00B36820">
      <w:pPr>
        <w:pStyle w:val="OpsommingSymbool"/>
        <w:numPr>
          <w:ilvl w:val="1"/>
          <w:numId w:val="6"/>
        </w:numPr>
        <w:rPr>
          <w:lang w:val="en-GB"/>
        </w:rPr>
      </w:pPr>
      <w:r w:rsidRPr="00BF65A4">
        <w:rPr>
          <w:lang w:val="en-GB"/>
        </w:rPr>
        <w:t xml:space="preserve">Research time </w:t>
      </w:r>
      <w:r w:rsidRPr="00BF65A4">
        <w:rPr>
          <w:lang w:val="en-GB"/>
        </w:rPr>
        <w:tab/>
        <w:t xml:space="preserve"> </w:t>
      </w:r>
    </w:p>
    <w:p w:rsidR="00DB7EF9" w:rsidRDefault="00DB7EF9" w:rsidP="00B36820">
      <w:pPr>
        <w:pStyle w:val="OpsommingSymbool"/>
        <w:numPr>
          <w:ilvl w:val="1"/>
          <w:numId w:val="6"/>
        </w:numPr>
        <w:rPr>
          <w:lang w:val="en-GB"/>
        </w:rPr>
      </w:pPr>
      <w:r w:rsidRPr="00BF65A4">
        <w:rPr>
          <w:lang w:val="en-GB"/>
        </w:rPr>
        <w:lastRenderedPageBreak/>
        <w:t>Information and meeting costs</w:t>
      </w:r>
      <w:r w:rsidRPr="00BF65A4">
        <w:rPr>
          <w:lang w:val="en-GB"/>
        </w:rPr>
        <w:tab/>
      </w:r>
    </w:p>
    <w:p w:rsidR="009947B0" w:rsidRDefault="00627D9B" w:rsidP="00B36820">
      <w:pPr>
        <w:pStyle w:val="OpsommingSymbool"/>
        <w:numPr>
          <w:ilvl w:val="1"/>
          <w:numId w:val="6"/>
        </w:numPr>
        <w:rPr>
          <w:lang w:val="en-GB"/>
        </w:rPr>
      </w:pPr>
      <w:r>
        <w:rPr>
          <w:lang w:val="en-GB"/>
        </w:rPr>
        <w:t>Alternative approach: c</w:t>
      </w:r>
      <w:r w:rsidR="009947B0">
        <w:rPr>
          <w:lang w:val="en-GB"/>
        </w:rPr>
        <w:t>osts of similar research projects</w:t>
      </w:r>
    </w:p>
    <w:p w:rsidR="00A15D79" w:rsidRPr="00BF65A4" w:rsidRDefault="00A15D79">
      <w:pPr>
        <w:pStyle w:val="OpsommingSymbool"/>
        <w:numPr>
          <w:ilvl w:val="0"/>
          <w:numId w:val="0"/>
        </w:numPr>
        <w:ind w:left="2268"/>
        <w:rPr>
          <w:lang w:val="en-GB"/>
        </w:rPr>
      </w:pPr>
    </w:p>
    <w:p w:rsidR="00DB7EF9" w:rsidRPr="00DB7EF9" w:rsidRDefault="00DB7EF9">
      <w:pPr>
        <w:pStyle w:val="OpsommingSymbool"/>
        <w:rPr>
          <w:lang w:val="en-GB"/>
        </w:rPr>
      </w:pPr>
      <w:r w:rsidRPr="00DB7EF9">
        <w:rPr>
          <w:lang w:val="en-GB"/>
        </w:rPr>
        <w:t>Technical implementation costs</w:t>
      </w:r>
    </w:p>
    <w:p w:rsidR="00DB7EF9" w:rsidRPr="00BF65A4" w:rsidRDefault="00DB7EF9" w:rsidP="00B36820">
      <w:pPr>
        <w:pStyle w:val="OpsommingSymbool"/>
        <w:numPr>
          <w:ilvl w:val="1"/>
          <w:numId w:val="6"/>
        </w:numPr>
        <w:rPr>
          <w:lang w:val="en-GB"/>
        </w:rPr>
      </w:pPr>
      <w:r w:rsidRPr="00BF65A4">
        <w:rPr>
          <w:lang w:val="en-GB"/>
        </w:rPr>
        <w:t xml:space="preserve">Investment costs </w:t>
      </w:r>
    </w:p>
    <w:p w:rsidR="00DB7EF9" w:rsidRPr="00BF65A4" w:rsidRDefault="00DB7EF9" w:rsidP="00B36820">
      <w:pPr>
        <w:pStyle w:val="OpsommingSymbool"/>
        <w:numPr>
          <w:ilvl w:val="1"/>
          <w:numId w:val="6"/>
        </w:numPr>
        <w:rPr>
          <w:lang w:val="en-GB"/>
        </w:rPr>
      </w:pPr>
      <w:r w:rsidRPr="00BF65A4">
        <w:rPr>
          <w:lang w:val="en-GB"/>
        </w:rPr>
        <w:t xml:space="preserve">Operational costs </w:t>
      </w:r>
    </w:p>
    <w:p w:rsidR="00DB7EF9" w:rsidRDefault="00A15D79" w:rsidP="00B36820">
      <w:pPr>
        <w:pStyle w:val="OpsommingSymbool"/>
        <w:numPr>
          <w:ilvl w:val="1"/>
          <w:numId w:val="6"/>
        </w:numPr>
        <w:rPr>
          <w:lang w:val="en-GB"/>
        </w:rPr>
      </w:pPr>
      <w:r>
        <w:rPr>
          <w:lang w:val="en-GB"/>
        </w:rPr>
        <w:t>Maintenance costs</w:t>
      </w:r>
    </w:p>
    <w:p w:rsidR="00A15D79" w:rsidRPr="00BF65A4" w:rsidRDefault="00A15D79">
      <w:pPr>
        <w:pStyle w:val="OpsommingSymbool"/>
        <w:numPr>
          <w:ilvl w:val="0"/>
          <w:numId w:val="0"/>
        </w:numPr>
        <w:ind w:left="2268"/>
        <w:rPr>
          <w:lang w:val="en-GB"/>
        </w:rPr>
      </w:pPr>
    </w:p>
    <w:p w:rsidR="00DB7EF9" w:rsidRPr="00DB7EF9" w:rsidRDefault="00DB7EF9">
      <w:pPr>
        <w:pStyle w:val="OpsommingSymbool"/>
        <w:rPr>
          <w:lang w:val="en-GB"/>
        </w:rPr>
      </w:pPr>
      <w:r w:rsidRPr="00DB7EF9">
        <w:rPr>
          <w:lang w:val="en-GB"/>
        </w:rPr>
        <w:t>Costs of stakeholder consultations</w:t>
      </w:r>
    </w:p>
    <w:p w:rsidR="00DB7EF9" w:rsidRPr="00BF65A4" w:rsidRDefault="00DB7EF9" w:rsidP="00B36820">
      <w:pPr>
        <w:pStyle w:val="OpsommingSymbool"/>
        <w:numPr>
          <w:ilvl w:val="1"/>
          <w:numId w:val="6"/>
        </w:numPr>
        <w:rPr>
          <w:lang w:val="en-GB"/>
        </w:rPr>
      </w:pPr>
      <w:r w:rsidRPr="00BF65A4">
        <w:rPr>
          <w:lang w:val="en-GB"/>
        </w:rPr>
        <w:t>Staff time (preparation, follow up)</w:t>
      </w:r>
    </w:p>
    <w:p w:rsidR="0075552A" w:rsidRPr="00A15D79" w:rsidRDefault="0075552A" w:rsidP="00B36820">
      <w:pPr>
        <w:pStyle w:val="OpsommingSymbool"/>
        <w:numPr>
          <w:ilvl w:val="1"/>
          <w:numId w:val="6"/>
        </w:numPr>
        <w:rPr>
          <w:lang w:val="en-GB"/>
        </w:rPr>
      </w:pPr>
      <w:r w:rsidRPr="00A15D79">
        <w:rPr>
          <w:lang w:val="en-GB"/>
        </w:rPr>
        <w:t xml:space="preserve">Meetings with </w:t>
      </w:r>
      <w:r w:rsidR="00B36820">
        <w:rPr>
          <w:lang w:val="en-GB"/>
        </w:rPr>
        <w:t>stakeholders</w:t>
      </w:r>
      <w:r w:rsidRPr="00A15D79">
        <w:rPr>
          <w:lang w:val="en-GB"/>
        </w:rPr>
        <w:tab/>
        <w:t xml:space="preserve"> </w:t>
      </w:r>
    </w:p>
    <w:p w:rsidR="00A15D79" w:rsidRPr="00BF65A4" w:rsidRDefault="00A15D79">
      <w:pPr>
        <w:pStyle w:val="OpsommingSymbool"/>
        <w:numPr>
          <w:ilvl w:val="0"/>
          <w:numId w:val="0"/>
        </w:numPr>
        <w:ind w:left="2268"/>
        <w:rPr>
          <w:lang w:val="en-GB"/>
        </w:rPr>
      </w:pPr>
    </w:p>
    <w:p w:rsidR="00DB7EF9" w:rsidRPr="00DB7EF9" w:rsidRDefault="00DB7EF9">
      <w:pPr>
        <w:pStyle w:val="OpsommingSymbool"/>
        <w:rPr>
          <w:lang w:val="en-GB"/>
        </w:rPr>
      </w:pPr>
      <w:r w:rsidRPr="00DB7EF9">
        <w:rPr>
          <w:lang w:val="en-GB"/>
        </w:rPr>
        <w:t>Communication costs</w:t>
      </w:r>
    </w:p>
    <w:p w:rsidR="00DB7EF9" w:rsidRPr="00BF65A4" w:rsidRDefault="00BF65A4" w:rsidP="00B36820">
      <w:pPr>
        <w:pStyle w:val="OpsommingSymbool"/>
        <w:numPr>
          <w:ilvl w:val="1"/>
          <w:numId w:val="6"/>
        </w:numPr>
        <w:rPr>
          <w:lang w:val="en-GB"/>
        </w:rPr>
      </w:pPr>
      <w:r w:rsidRPr="00A15D79">
        <w:rPr>
          <w:lang w:val="en-GB"/>
        </w:rPr>
        <w:t xml:space="preserve">Advertisement </w:t>
      </w:r>
    </w:p>
    <w:p w:rsidR="00DB7EF9" w:rsidRPr="00BF65A4" w:rsidRDefault="00DB7EF9" w:rsidP="00B36820">
      <w:pPr>
        <w:pStyle w:val="OpsommingSymbool"/>
        <w:numPr>
          <w:ilvl w:val="1"/>
          <w:numId w:val="6"/>
        </w:numPr>
        <w:rPr>
          <w:lang w:val="en-GB"/>
        </w:rPr>
      </w:pPr>
      <w:r w:rsidRPr="00BF65A4">
        <w:rPr>
          <w:lang w:val="en-GB"/>
        </w:rPr>
        <w:t>Staff time</w:t>
      </w:r>
    </w:p>
    <w:p w:rsidR="00DB7EF9" w:rsidRDefault="00DB7EF9" w:rsidP="00B36820">
      <w:pPr>
        <w:pStyle w:val="OpsommingSymbool"/>
        <w:numPr>
          <w:ilvl w:val="1"/>
          <w:numId w:val="6"/>
        </w:numPr>
        <w:rPr>
          <w:lang w:val="en-GB"/>
        </w:rPr>
      </w:pPr>
      <w:r w:rsidRPr="00BF65A4">
        <w:rPr>
          <w:lang w:val="en-GB"/>
        </w:rPr>
        <w:t>Other administration costs</w:t>
      </w:r>
    </w:p>
    <w:p w:rsidR="00A15D79" w:rsidRPr="00BF65A4" w:rsidRDefault="00A15D79">
      <w:pPr>
        <w:pStyle w:val="OpsommingSymbool"/>
        <w:numPr>
          <w:ilvl w:val="0"/>
          <w:numId w:val="0"/>
        </w:numPr>
        <w:ind w:left="2268"/>
        <w:rPr>
          <w:lang w:val="en-GB"/>
        </w:rPr>
      </w:pPr>
    </w:p>
    <w:p w:rsidR="00DB7EF9" w:rsidRPr="00DB7EF9" w:rsidRDefault="00DB7EF9">
      <w:pPr>
        <w:pStyle w:val="OpsommingSymbool"/>
        <w:rPr>
          <w:lang w:val="en-GB"/>
        </w:rPr>
      </w:pPr>
      <w:r w:rsidRPr="00DB7EF9">
        <w:rPr>
          <w:lang w:val="en-GB"/>
        </w:rPr>
        <w:t>Training costs</w:t>
      </w:r>
    </w:p>
    <w:p w:rsidR="00DB7EF9" w:rsidRPr="00BF65A4" w:rsidRDefault="00DB7EF9" w:rsidP="00B36820">
      <w:pPr>
        <w:pStyle w:val="OpsommingSymbool"/>
        <w:numPr>
          <w:ilvl w:val="1"/>
          <w:numId w:val="6"/>
        </w:numPr>
        <w:rPr>
          <w:lang w:val="en-GB"/>
        </w:rPr>
      </w:pPr>
      <w:r w:rsidRPr="00BF65A4">
        <w:rPr>
          <w:lang w:val="en-GB"/>
        </w:rPr>
        <w:t>Preparation</w:t>
      </w:r>
    </w:p>
    <w:p w:rsidR="00DB7EF9" w:rsidRPr="00BF65A4" w:rsidRDefault="00DB7EF9" w:rsidP="00B36820">
      <w:pPr>
        <w:pStyle w:val="OpsommingSymbool"/>
        <w:numPr>
          <w:ilvl w:val="1"/>
          <w:numId w:val="6"/>
        </w:numPr>
        <w:rPr>
          <w:lang w:val="en-GB"/>
        </w:rPr>
      </w:pPr>
      <w:r w:rsidRPr="00BF65A4">
        <w:rPr>
          <w:lang w:val="en-GB"/>
        </w:rPr>
        <w:t>Training material (courses)</w:t>
      </w:r>
    </w:p>
    <w:p w:rsidR="00DB7EF9" w:rsidRDefault="00DB7EF9" w:rsidP="00B36820">
      <w:pPr>
        <w:pStyle w:val="OpsommingSymbool"/>
        <w:numPr>
          <w:ilvl w:val="1"/>
          <w:numId w:val="6"/>
        </w:numPr>
        <w:rPr>
          <w:lang w:val="en-GB"/>
        </w:rPr>
      </w:pPr>
      <w:r w:rsidRPr="00BF65A4">
        <w:rPr>
          <w:lang w:val="en-GB"/>
        </w:rPr>
        <w:t xml:space="preserve">Giving training </w:t>
      </w:r>
    </w:p>
    <w:p w:rsidR="00A15D79" w:rsidRPr="00BF65A4" w:rsidRDefault="00A15D79">
      <w:pPr>
        <w:pStyle w:val="OpsommingSymbool"/>
        <w:numPr>
          <w:ilvl w:val="0"/>
          <w:numId w:val="0"/>
        </w:numPr>
        <w:ind w:left="2268"/>
        <w:rPr>
          <w:lang w:val="en-GB"/>
        </w:rPr>
      </w:pPr>
    </w:p>
    <w:p w:rsidR="00DB7EF9" w:rsidRPr="00DB7EF9" w:rsidRDefault="00DB7EF9">
      <w:pPr>
        <w:pStyle w:val="OpsommingSymbool"/>
        <w:rPr>
          <w:lang w:val="en-GB"/>
        </w:rPr>
      </w:pPr>
      <w:r w:rsidRPr="00DB7EF9">
        <w:rPr>
          <w:lang w:val="en-GB"/>
        </w:rPr>
        <w:t>Costs for assistance with voluntary agreements</w:t>
      </w:r>
    </w:p>
    <w:p w:rsidR="00DB7EF9" w:rsidRPr="00BF65A4" w:rsidRDefault="00DB7EF9" w:rsidP="00B36820">
      <w:pPr>
        <w:pStyle w:val="OpsommingSymbool"/>
        <w:numPr>
          <w:ilvl w:val="1"/>
          <w:numId w:val="6"/>
        </w:numPr>
        <w:rPr>
          <w:lang w:val="en-GB"/>
        </w:rPr>
      </w:pPr>
      <w:r w:rsidRPr="00BF65A4">
        <w:rPr>
          <w:lang w:val="en-GB"/>
        </w:rPr>
        <w:t>Staff time (preparation, follow up)</w:t>
      </w:r>
    </w:p>
    <w:p w:rsidR="0075552A" w:rsidRPr="00A15D79" w:rsidRDefault="0075552A" w:rsidP="00B36820">
      <w:pPr>
        <w:pStyle w:val="OpsommingSymbool"/>
        <w:numPr>
          <w:ilvl w:val="1"/>
          <w:numId w:val="6"/>
        </w:numPr>
        <w:rPr>
          <w:lang w:val="en-GB"/>
        </w:rPr>
      </w:pPr>
      <w:r w:rsidRPr="00A15D79">
        <w:rPr>
          <w:lang w:val="en-GB"/>
        </w:rPr>
        <w:t>Meetings with neighbo</w:t>
      </w:r>
      <w:r w:rsidR="00B36820">
        <w:rPr>
          <w:lang w:val="en-GB"/>
        </w:rPr>
        <w:t>u</w:t>
      </w:r>
      <w:r w:rsidRPr="00A15D79">
        <w:rPr>
          <w:lang w:val="en-GB"/>
        </w:rPr>
        <w:t>ring MS</w:t>
      </w:r>
      <w:r w:rsidRPr="00A15D79">
        <w:rPr>
          <w:lang w:val="en-GB"/>
        </w:rPr>
        <w:tab/>
        <w:t xml:space="preserve"> </w:t>
      </w:r>
    </w:p>
    <w:p w:rsidR="0075552A" w:rsidRDefault="0075552A" w:rsidP="00B36820">
      <w:pPr>
        <w:pStyle w:val="OpsommingSymbool"/>
        <w:numPr>
          <w:ilvl w:val="1"/>
          <w:numId w:val="6"/>
        </w:numPr>
        <w:rPr>
          <w:lang w:val="en-GB"/>
        </w:rPr>
      </w:pPr>
      <w:r w:rsidRPr="00A15D79">
        <w:rPr>
          <w:lang w:val="en-GB"/>
        </w:rPr>
        <w:t>Travel &amp; other costs</w:t>
      </w:r>
    </w:p>
    <w:p w:rsidR="00A15D79" w:rsidRPr="00C728D6" w:rsidRDefault="00A15D79">
      <w:pPr>
        <w:pStyle w:val="OpsommingSymbool"/>
        <w:numPr>
          <w:ilvl w:val="0"/>
          <w:numId w:val="0"/>
        </w:numPr>
        <w:ind w:left="2268"/>
        <w:rPr>
          <w:lang w:val="en-GB"/>
        </w:rPr>
      </w:pPr>
    </w:p>
    <w:p w:rsidR="00DB7EF9" w:rsidRPr="00DB7EF9" w:rsidRDefault="00DB7EF9">
      <w:pPr>
        <w:pStyle w:val="OpsommingSymbool"/>
        <w:rPr>
          <w:lang w:val="en-GB"/>
        </w:rPr>
      </w:pPr>
      <w:r w:rsidRPr="00DB7EF9">
        <w:rPr>
          <w:lang w:val="en-GB"/>
        </w:rPr>
        <w:t>Cost for awareness raising</w:t>
      </w:r>
    </w:p>
    <w:p w:rsidR="00DB7EF9" w:rsidRPr="00BF65A4" w:rsidRDefault="00DB7EF9" w:rsidP="00B36820">
      <w:pPr>
        <w:pStyle w:val="OpsommingSymbool"/>
        <w:numPr>
          <w:ilvl w:val="1"/>
          <w:numId w:val="6"/>
        </w:numPr>
        <w:rPr>
          <w:lang w:val="en-GB"/>
        </w:rPr>
      </w:pPr>
      <w:r w:rsidRPr="00BF65A4">
        <w:rPr>
          <w:lang w:val="en-GB"/>
        </w:rPr>
        <w:t>Staff time (preparation, follow up)</w:t>
      </w:r>
    </w:p>
    <w:p w:rsidR="00DB7EF9" w:rsidRDefault="00DB7EF9" w:rsidP="00B36820">
      <w:pPr>
        <w:pStyle w:val="OpsommingSymbool"/>
        <w:numPr>
          <w:ilvl w:val="1"/>
          <w:numId w:val="6"/>
        </w:numPr>
        <w:rPr>
          <w:lang w:val="en-GB"/>
        </w:rPr>
      </w:pPr>
      <w:r w:rsidRPr="00BF65A4">
        <w:rPr>
          <w:lang w:val="en-GB"/>
        </w:rPr>
        <w:t>Awareness raising material</w:t>
      </w:r>
    </w:p>
    <w:p w:rsidR="009947B0" w:rsidRPr="00BF65A4" w:rsidRDefault="009947B0" w:rsidP="009947B0">
      <w:pPr>
        <w:pStyle w:val="OpsommingSymbool"/>
        <w:numPr>
          <w:ilvl w:val="0"/>
          <w:numId w:val="0"/>
        </w:numPr>
        <w:ind w:left="2268"/>
        <w:rPr>
          <w:lang w:val="en-GB"/>
        </w:rPr>
      </w:pPr>
    </w:p>
    <w:p w:rsidR="00627590" w:rsidRDefault="00627590" w:rsidP="00627590">
      <w:pPr>
        <w:pStyle w:val="OpsommingSymbool"/>
        <w:rPr>
          <w:lang w:val="en-GB"/>
        </w:rPr>
      </w:pPr>
      <w:proofErr w:type="spellStart"/>
      <w:r>
        <w:rPr>
          <w:lang w:val="en-GB"/>
        </w:rPr>
        <w:t>Sectoral</w:t>
      </w:r>
      <w:proofErr w:type="spellEnd"/>
      <w:r>
        <w:rPr>
          <w:lang w:val="en-GB"/>
        </w:rPr>
        <w:t xml:space="preserve"> costs</w:t>
      </w:r>
    </w:p>
    <w:p w:rsidR="00627590" w:rsidRDefault="00627590" w:rsidP="00B36820">
      <w:pPr>
        <w:pStyle w:val="OpsommingSymbool"/>
        <w:numPr>
          <w:ilvl w:val="1"/>
          <w:numId w:val="6"/>
        </w:numPr>
        <w:rPr>
          <w:lang w:val="en-GB"/>
        </w:rPr>
      </w:pPr>
      <w:r>
        <w:rPr>
          <w:lang w:val="en-GB"/>
        </w:rPr>
        <w:t>Investment &amp; operational costs</w:t>
      </w:r>
    </w:p>
    <w:p w:rsidR="00627590" w:rsidRDefault="00627590" w:rsidP="00B36820">
      <w:pPr>
        <w:pStyle w:val="OpsommingSymbool"/>
        <w:numPr>
          <w:ilvl w:val="1"/>
          <w:numId w:val="6"/>
        </w:numPr>
        <w:rPr>
          <w:lang w:val="en-GB"/>
        </w:rPr>
      </w:pPr>
      <w:r>
        <w:rPr>
          <w:lang w:val="en-GB"/>
        </w:rPr>
        <w:t>Loss of added value</w:t>
      </w:r>
    </w:p>
    <w:p w:rsidR="00627590" w:rsidRPr="00DB7EF9" w:rsidRDefault="00627590" w:rsidP="00B36820">
      <w:pPr>
        <w:pStyle w:val="OpsommingSymbool"/>
        <w:numPr>
          <w:ilvl w:val="1"/>
          <w:numId w:val="6"/>
        </w:numPr>
        <w:rPr>
          <w:lang w:val="en-GB"/>
        </w:rPr>
      </w:pPr>
      <w:r>
        <w:rPr>
          <w:lang w:val="en-GB"/>
        </w:rPr>
        <w:t>Loss of employment</w:t>
      </w:r>
    </w:p>
    <w:p w:rsidR="00DB7EF9" w:rsidRPr="00A15D79" w:rsidRDefault="00DB7EF9" w:rsidP="00B36820">
      <w:pPr>
        <w:pStyle w:val="OpsommingSymbool"/>
        <w:numPr>
          <w:ilvl w:val="0"/>
          <w:numId w:val="0"/>
        </w:numPr>
        <w:ind w:left="1985"/>
        <w:rPr>
          <w:lang w:val="en-GB"/>
        </w:rPr>
      </w:pPr>
    </w:p>
    <w:p w:rsidR="00B36820" w:rsidRDefault="00B36820">
      <w:pPr>
        <w:spacing w:before="0" w:after="200" w:line="276" w:lineRule="auto"/>
        <w:rPr>
          <w:rFonts w:cs="Arial"/>
          <w:b/>
          <w:bCs/>
          <w:color w:val="0079A2"/>
          <w:szCs w:val="26"/>
          <w:lang w:val="en-GB"/>
        </w:rPr>
      </w:pPr>
      <w:r>
        <w:rPr>
          <w:lang w:val="en-GB"/>
        </w:rPr>
        <w:br w:type="page"/>
      </w:r>
    </w:p>
    <w:p w:rsidR="00BF65A4" w:rsidRPr="00BF65A4" w:rsidRDefault="00BF65A4" w:rsidP="00B36820">
      <w:pPr>
        <w:pStyle w:val="Kop3"/>
        <w:rPr>
          <w:lang w:val="en-GB"/>
        </w:rPr>
      </w:pPr>
      <w:r w:rsidRPr="00BF65A4">
        <w:rPr>
          <w:lang w:val="en-GB"/>
        </w:rPr>
        <w:lastRenderedPageBreak/>
        <w:t>First rough assessment</w:t>
      </w:r>
    </w:p>
    <w:p w:rsidR="00BF65A4" w:rsidRDefault="00BF65A4" w:rsidP="007A7283">
      <w:pPr>
        <w:spacing w:line="360" w:lineRule="auto"/>
        <w:ind w:left="1701"/>
        <w:jc w:val="both"/>
        <w:rPr>
          <w:lang w:val="en-GB"/>
        </w:rPr>
      </w:pPr>
      <w:r>
        <w:rPr>
          <w:lang w:val="en-GB"/>
        </w:rPr>
        <w:t xml:space="preserve">Based on the breakdown of measures into cost components, a first rough cost indication should be obtained, based </w:t>
      </w:r>
      <w:r w:rsidR="005D21D3">
        <w:rPr>
          <w:lang w:val="en-GB"/>
        </w:rPr>
        <w:t>on the CBE event in Brussels (5-6/05)</w:t>
      </w:r>
      <w:r>
        <w:rPr>
          <w:lang w:val="en-GB"/>
        </w:rPr>
        <w:t>. Costs will be divided into low, medium, high categories each with a preliminary cost range</w:t>
      </w:r>
      <w:r w:rsidR="00C728D6" w:rsidRPr="007A7283">
        <w:rPr>
          <w:vertAlign w:val="superscript"/>
        </w:rPr>
        <w:footnoteReference w:id="2"/>
      </w:r>
      <w:r w:rsidRPr="007A7283">
        <w:rPr>
          <w:vertAlign w:val="superscript"/>
          <w:lang w:val="en-GB"/>
        </w:rPr>
        <w:t xml:space="preserve">; </w:t>
      </w:r>
    </w:p>
    <w:p w:rsidR="00BF65A4" w:rsidRDefault="00BF65A4">
      <w:pPr>
        <w:pStyle w:val="OpsommingSymbool"/>
        <w:rPr>
          <w:lang w:val="en-GB"/>
        </w:rPr>
      </w:pPr>
      <w:r>
        <w:rPr>
          <w:lang w:val="en-GB"/>
        </w:rPr>
        <w:t>Low</w:t>
      </w:r>
      <w:r w:rsidR="00C728D6">
        <w:rPr>
          <w:lang w:val="en-GB"/>
        </w:rPr>
        <w:t>: &lt; 50,000 €</w:t>
      </w:r>
    </w:p>
    <w:p w:rsidR="00BF65A4" w:rsidRDefault="00BF65A4">
      <w:pPr>
        <w:pStyle w:val="OpsommingSymbool"/>
        <w:rPr>
          <w:lang w:val="en-GB"/>
        </w:rPr>
      </w:pPr>
      <w:r>
        <w:rPr>
          <w:lang w:val="en-GB"/>
        </w:rPr>
        <w:t>Medium</w:t>
      </w:r>
      <w:r w:rsidR="00C728D6">
        <w:rPr>
          <w:lang w:val="en-GB"/>
        </w:rPr>
        <w:t>: 50,000 – 1 million €</w:t>
      </w:r>
    </w:p>
    <w:p w:rsidR="00BF65A4" w:rsidRDefault="00BF65A4">
      <w:pPr>
        <w:pStyle w:val="OpsommingSymbool"/>
        <w:rPr>
          <w:lang w:val="en-GB"/>
        </w:rPr>
      </w:pPr>
      <w:r>
        <w:rPr>
          <w:lang w:val="en-GB"/>
        </w:rPr>
        <w:t xml:space="preserve">High: </w:t>
      </w:r>
      <w:r w:rsidR="00C728D6">
        <w:rPr>
          <w:lang w:val="en-GB"/>
        </w:rPr>
        <w:t>&gt; 1 million €</w:t>
      </w:r>
    </w:p>
    <w:p w:rsidR="005D21D3" w:rsidRDefault="005D21D3" w:rsidP="007A7283">
      <w:pPr>
        <w:spacing w:line="360" w:lineRule="auto"/>
        <w:ind w:left="1701"/>
        <w:jc w:val="both"/>
        <w:rPr>
          <w:lang w:val="en-GB"/>
        </w:rPr>
      </w:pPr>
      <w:r>
        <w:rPr>
          <w:lang w:val="en-GB"/>
        </w:rPr>
        <w:t>This first assessment gives an indication of broad cost ranges and enables to assign the appropriate time/effort of further detailed analysis</w:t>
      </w:r>
      <w:r w:rsidR="00097928">
        <w:rPr>
          <w:lang w:val="en-GB"/>
        </w:rPr>
        <w:t xml:space="preserve"> (see </w:t>
      </w:r>
      <w:r w:rsidR="00097928">
        <w:rPr>
          <w:lang w:val="en-GB"/>
        </w:rPr>
        <w:fldChar w:fldCharType="begin"/>
      </w:r>
      <w:r w:rsidR="00097928">
        <w:rPr>
          <w:lang w:val="en-GB"/>
        </w:rPr>
        <w:instrText xml:space="preserve"> REF _Ref418164892 \n \h </w:instrText>
      </w:r>
      <w:r w:rsidR="00097928">
        <w:rPr>
          <w:lang w:val="en-GB"/>
        </w:rPr>
      </w:r>
      <w:r w:rsidR="007A7283">
        <w:rPr>
          <w:lang w:val="en-GB"/>
        </w:rPr>
        <w:instrText xml:space="preserve"> \* MERGEFORMAT </w:instrText>
      </w:r>
      <w:r w:rsidR="00097928">
        <w:rPr>
          <w:lang w:val="en-GB"/>
        </w:rPr>
        <w:fldChar w:fldCharType="separate"/>
      </w:r>
      <w:r w:rsidR="00097928">
        <w:rPr>
          <w:lang w:val="en-GB"/>
        </w:rPr>
        <w:t>2.3</w:t>
      </w:r>
      <w:r w:rsidR="00097928">
        <w:rPr>
          <w:lang w:val="en-GB"/>
        </w:rPr>
        <w:fldChar w:fldCharType="end"/>
      </w:r>
      <w:r w:rsidR="00097928">
        <w:rPr>
          <w:lang w:val="en-GB"/>
        </w:rPr>
        <w:t>)</w:t>
      </w:r>
      <w:r>
        <w:rPr>
          <w:lang w:val="en-GB"/>
        </w:rPr>
        <w:t xml:space="preserve">. </w:t>
      </w:r>
      <w:r w:rsidR="00DC5690">
        <w:rPr>
          <w:lang w:val="en-GB"/>
        </w:rPr>
        <w:t xml:space="preserve">Focus should be </w:t>
      </w:r>
      <w:r w:rsidR="00627D9B">
        <w:rPr>
          <w:lang w:val="en-GB"/>
        </w:rPr>
        <w:t xml:space="preserve">put </w:t>
      </w:r>
      <w:r w:rsidR="00DC5690">
        <w:rPr>
          <w:lang w:val="en-GB"/>
        </w:rPr>
        <w:t>on high cost measures</w:t>
      </w:r>
      <w:r w:rsidR="00097928">
        <w:rPr>
          <w:lang w:val="en-GB"/>
        </w:rPr>
        <w:t>. L</w:t>
      </w:r>
      <w:r w:rsidR="00DC5690">
        <w:rPr>
          <w:lang w:val="en-GB"/>
        </w:rPr>
        <w:t xml:space="preserve">ow cost measures may be shifted backward or even not </w:t>
      </w:r>
      <w:r w:rsidR="00097928">
        <w:rPr>
          <w:lang w:val="en-GB"/>
        </w:rPr>
        <w:t xml:space="preserve">at </w:t>
      </w:r>
      <w:r w:rsidR="00DC5690">
        <w:rPr>
          <w:lang w:val="en-GB"/>
        </w:rPr>
        <w:t>all analysed into detail.</w:t>
      </w:r>
      <w:r w:rsidR="00097928">
        <w:rPr>
          <w:lang w:val="en-GB"/>
        </w:rPr>
        <w:t xml:space="preserve"> Based on the outcomes of the detailed assessment, the 3 cost categories will be further divided into 5 size </w:t>
      </w:r>
      <w:r w:rsidR="00854950">
        <w:rPr>
          <w:lang w:val="en-GB"/>
        </w:rPr>
        <w:t>classes when more accurate estimates have been made</w:t>
      </w:r>
      <w:r w:rsidR="00097928">
        <w:rPr>
          <w:lang w:val="en-GB"/>
        </w:rPr>
        <w:t>.</w:t>
      </w:r>
    </w:p>
    <w:p w:rsidR="00DB7EF9" w:rsidRDefault="00DB7EF9">
      <w:pPr>
        <w:spacing w:before="0" w:after="200" w:line="276" w:lineRule="auto"/>
        <w:rPr>
          <w:b/>
          <w:lang w:val="en-GB"/>
        </w:rPr>
      </w:pPr>
    </w:p>
    <w:p w:rsidR="00C728D6" w:rsidRPr="00C728D6" w:rsidRDefault="00B36820" w:rsidP="00B36820">
      <w:pPr>
        <w:pStyle w:val="Kop3"/>
        <w:rPr>
          <w:lang w:val="en-GB"/>
        </w:rPr>
      </w:pPr>
      <w:bookmarkStart w:id="0" w:name="_Ref418164892"/>
      <w:r>
        <w:rPr>
          <w:lang w:val="en-GB"/>
        </w:rPr>
        <w:t>D</w:t>
      </w:r>
      <w:r w:rsidR="00C728D6" w:rsidRPr="00C728D6">
        <w:rPr>
          <w:lang w:val="en-GB"/>
        </w:rPr>
        <w:t>etailed assessment</w:t>
      </w:r>
      <w:bookmarkEnd w:id="0"/>
    </w:p>
    <w:p w:rsidR="00AC3EDC" w:rsidRDefault="00C728D6" w:rsidP="00AC3EDC">
      <w:pPr>
        <w:spacing w:line="360" w:lineRule="auto"/>
        <w:ind w:left="1701"/>
        <w:jc w:val="both"/>
        <w:rPr>
          <w:lang w:val="en-GB"/>
        </w:rPr>
      </w:pPr>
      <w:r w:rsidRPr="00A15D79">
        <w:rPr>
          <w:lang w:val="en-GB"/>
        </w:rPr>
        <w:t xml:space="preserve">As a final step in the cost assessment, </w:t>
      </w:r>
      <w:r>
        <w:rPr>
          <w:lang w:val="en-GB"/>
        </w:rPr>
        <w:t xml:space="preserve">cost data will be assigned to each cost component of the selected measures. </w:t>
      </w:r>
      <w:r w:rsidR="00AC3EDC">
        <w:rPr>
          <w:lang w:val="en-GB"/>
        </w:rPr>
        <w:t>Per category of measures the possible cost components are grouped, each including a table where cost data can be filled in, in a structural way. T</w:t>
      </w:r>
      <w:r w:rsidR="00AC3EDC" w:rsidRPr="00770759">
        <w:rPr>
          <w:lang w:val="en-GB"/>
        </w:rPr>
        <w:t xml:space="preserve">he costs will be given as </w:t>
      </w:r>
      <w:r w:rsidR="00AC3EDC">
        <w:rPr>
          <w:lang w:val="en-GB"/>
        </w:rPr>
        <w:t xml:space="preserve">one off cost and </w:t>
      </w:r>
      <w:r w:rsidR="00AC3EDC" w:rsidRPr="00770759">
        <w:rPr>
          <w:lang w:val="en-GB"/>
        </w:rPr>
        <w:t xml:space="preserve">total </w:t>
      </w:r>
      <w:r w:rsidR="00AC3EDC" w:rsidRPr="00A15D79">
        <w:rPr>
          <w:lang w:val="en-GB"/>
        </w:rPr>
        <w:t>annual costs,</w:t>
      </w:r>
      <w:r w:rsidR="00AC3EDC">
        <w:rPr>
          <w:b/>
          <w:lang w:val="en-GB"/>
        </w:rPr>
        <w:t xml:space="preserve"> </w:t>
      </w:r>
      <w:r w:rsidR="00AC3EDC">
        <w:rPr>
          <w:lang w:val="en-GB"/>
        </w:rPr>
        <w:t>in case of operational costs.</w:t>
      </w:r>
    </w:p>
    <w:p w:rsidR="00B36820" w:rsidRDefault="00B36820" w:rsidP="00B36820">
      <w:pPr>
        <w:pStyle w:val="Kop4"/>
        <w:rPr>
          <w:lang w:val="en-US"/>
        </w:rPr>
      </w:pPr>
      <w:r w:rsidRPr="00265A16">
        <w:rPr>
          <w:lang w:val="en-US"/>
        </w:rPr>
        <w:t xml:space="preserve">Cost assumptions </w:t>
      </w:r>
      <w:r>
        <w:rPr>
          <w:lang w:val="en-US"/>
        </w:rPr>
        <w:t>&amp; unit cost data</w:t>
      </w:r>
    </w:p>
    <w:p w:rsidR="00B36820" w:rsidRDefault="00B36820" w:rsidP="00B36820">
      <w:pPr>
        <w:spacing w:line="360" w:lineRule="auto"/>
        <w:ind w:left="1701"/>
        <w:jc w:val="both"/>
        <w:rPr>
          <w:lang w:val="en-GB"/>
        </w:rPr>
      </w:pPr>
      <w:r>
        <w:rPr>
          <w:b/>
          <w:lang w:val="en-GB"/>
        </w:rPr>
        <w:t>Unit cost d</w:t>
      </w:r>
      <w:r w:rsidRPr="00770759">
        <w:rPr>
          <w:b/>
          <w:lang w:val="en-GB"/>
        </w:rPr>
        <w:t>ata</w:t>
      </w:r>
      <w:r>
        <w:rPr>
          <w:b/>
          <w:lang w:val="en-GB"/>
        </w:rPr>
        <w:t xml:space="preserve"> (e.g. rate par day €)</w:t>
      </w:r>
      <w:r w:rsidRPr="00770759">
        <w:rPr>
          <w:b/>
          <w:lang w:val="en-GB"/>
        </w:rPr>
        <w:t xml:space="preserve"> </w:t>
      </w:r>
      <w:r w:rsidRPr="00770759">
        <w:rPr>
          <w:lang w:val="en-GB"/>
        </w:rPr>
        <w:t xml:space="preserve">will </w:t>
      </w:r>
      <w:r>
        <w:rPr>
          <w:lang w:val="en-GB"/>
        </w:rPr>
        <w:t xml:space="preserve">in first instance </w:t>
      </w:r>
      <w:r w:rsidRPr="00770759">
        <w:rPr>
          <w:lang w:val="en-GB"/>
        </w:rPr>
        <w:t xml:space="preserve">be obtained from cost assessments done in the Black Sea (e.g. TDA (2008), </w:t>
      </w:r>
      <w:proofErr w:type="spellStart"/>
      <w:r w:rsidRPr="00770759">
        <w:rPr>
          <w:lang w:val="en-GB"/>
        </w:rPr>
        <w:t>Halkos</w:t>
      </w:r>
      <w:proofErr w:type="spellEnd"/>
      <w:r w:rsidRPr="00770759">
        <w:rPr>
          <w:lang w:val="en-GB"/>
        </w:rPr>
        <w:t xml:space="preserve"> (2013)) and in other regional seas (e.g. </w:t>
      </w:r>
      <w:proofErr w:type="spellStart"/>
      <w:r w:rsidRPr="00770759">
        <w:rPr>
          <w:lang w:val="en-GB"/>
        </w:rPr>
        <w:t>Reinhard</w:t>
      </w:r>
      <w:proofErr w:type="spellEnd"/>
      <w:r w:rsidRPr="00770759">
        <w:rPr>
          <w:lang w:val="en-GB"/>
        </w:rPr>
        <w:t xml:space="preserve"> </w:t>
      </w:r>
      <w:r w:rsidRPr="00770759">
        <w:rPr>
          <w:i/>
          <w:lang w:val="en-GB"/>
        </w:rPr>
        <w:t>et al</w:t>
      </w:r>
      <w:r w:rsidRPr="00770759">
        <w:rPr>
          <w:lang w:val="en-GB"/>
        </w:rPr>
        <w:t xml:space="preserve">., 2012, UNEP/MAP, 2013). Cost data will also be obtained by </w:t>
      </w:r>
      <w:r>
        <w:rPr>
          <w:lang w:val="en-GB"/>
        </w:rPr>
        <w:t xml:space="preserve">CBE participants, previous to the May workshop. </w:t>
      </w:r>
      <w:r>
        <w:rPr>
          <w:b/>
          <w:lang w:val="en-GB"/>
        </w:rPr>
        <w:t xml:space="preserve">Costs </w:t>
      </w:r>
      <w:r w:rsidRPr="00CD1DFD">
        <w:rPr>
          <w:b/>
          <w:lang w:val="en-GB"/>
        </w:rPr>
        <w:t xml:space="preserve">for </w:t>
      </w:r>
      <w:proofErr w:type="spellStart"/>
      <w:r w:rsidRPr="00CD1DFD">
        <w:rPr>
          <w:b/>
          <w:lang w:val="en-GB"/>
        </w:rPr>
        <w:t>transboundary</w:t>
      </w:r>
      <w:proofErr w:type="spellEnd"/>
      <w:r w:rsidRPr="00CD1DFD">
        <w:rPr>
          <w:b/>
          <w:lang w:val="en-GB"/>
        </w:rPr>
        <w:t xml:space="preserve"> measures </w:t>
      </w:r>
      <w:r w:rsidRPr="00A15D79">
        <w:rPr>
          <w:lang w:val="en-GB"/>
        </w:rPr>
        <w:t>will be assigned to each MS</w:t>
      </w:r>
      <w:r>
        <w:rPr>
          <w:b/>
          <w:lang w:val="en-GB"/>
        </w:rPr>
        <w:t xml:space="preserve"> </w:t>
      </w:r>
      <w:r>
        <w:rPr>
          <w:lang w:val="en-GB"/>
        </w:rPr>
        <w:t xml:space="preserve">based on geographical (e.g. coast length) or demographic/economic properties (coastal population, tourists, number of fishery ports, fishermen. </w:t>
      </w:r>
    </w:p>
    <w:p w:rsidR="00B36820" w:rsidRDefault="00B36820" w:rsidP="00B36820">
      <w:pPr>
        <w:pStyle w:val="ARCADISStandaard"/>
        <w:rPr>
          <w:lang w:val="en-GB"/>
        </w:rPr>
      </w:pPr>
    </w:p>
    <w:p w:rsidR="00B36820" w:rsidRPr="00B36820" w:rsidRDefault="00B36820" w:rsidP="00B36820">
      <w:pPr>
        <w:pStyle w:val="ARCADISStandaard"/>
        <w:rPr>
          <w:lang w:val="en-GB"/>
        </w:rPr>
      </w:pPr>
      <w:r>
        <w:rPr>
          <w:lang w:val="en-GB"/>
        </w:rPr>
        <w:t>The following unit c</w:t>
      </w:r>
      <w:r w:rsidRPr="00B36820">
        <w:rPr>
          <w:lang w:val="en-GB"/>
        </w:rPr>
        <w:t>ost</w:t>
      </w:r>
      <w:r>
        <w:rPr>
          <w:lang w:val="en-GB"/>
        </w:rPr>
        <w:t xml:space="preserve">s will </w:t>
      </w:r>
      <w:r w:rsidRPr="00B36820">
        <w:rPr>
          <w:lang w:val="en-GB"/>
        </w:rPr>
        <w:t>be requested from CBE pa</w:t>
      </w:r>
      <w:r>
        <w:rPr>
          <w:lang w:val="en-GB"/>
        </w:rPr>
        <w:t xml:space="preserve">rticipants previous to workshop: </w:t>
      </w:r>
    </w:p>
    <w:p w:rsidR="00B36820" w:rsidRDefault="00B36820" w:rsidP="00B36820">
      <w:pPr>
        <w:pStyle w:val="OpsommingSymbool"/>
        <w:rPr>
          <w:lang w:val="en-US"/>
        </w:rPr>
      </w:pPr>
      <w:r>
        <w:rPr>
          <w:lang w:val="en-US"/>
        </w:rPr>
        <w:t xml:space="preserve">Personnel costs (cost per FTE per </w:t>
      </w:r>
      <w:proofErr w:type="spellStart"/>
      <w:r>
        <w:rPr>
          <w:lang w:val="en-US"/>
        </w:rPr>
        <w:t>manday</w:t>
      </w:r>
      <w:proofErr w:type="spellEnd"/>
      <w:r>
        <w:rPr>
          <w:lang w:val="en-US"/>
        </w:rPr>
        <w:t>)</w:t>
      </w:r>
    </w:p>
    <w:p w:rsidR="00B36820" w:rsidRDefault="00B36820" w:rsidP="00B36820">
      <w:pPr>
        <w:pStyle w:val="OpsommingSymbool"/>
        <w:numPr>
          <w:ilvl w:val="1"/>
          <w:numId w:val="6"/>
        </w:numPr>
        <w:rPr>
          <w:lang w:val="en-US"/>
        </w:rPr>
      </w:pPr>
      <w:r>
        <w:rPr>
          <w:lang w:val="en-US"/>
        </w:rPr>
        <w:t>Policy officer</w:t>
      </w:r>
    </w:p>
    <w:p w:rsidR="00B36820" w:rsidRDefault="00B36820" w:rsidP="00B36820">
      <w:pPr>
        <w:pStyle w:val="OpsommingSymbool"/>
        <w:numPr>
          <w:ilvl w:val="1"/>
          <w:numId w:val="6"/>
        </w:numPr>
        <w:rPr>
          <w:lang w:val="en-US"/>
        </w:rPr>
      </w:pPr>
      <w:r>
        <w:rPr>
          <w:lang w:val="en-US"/>
        </w:rPr>
        <w:t>Researcher</w:t>
      </w:r>
    </w:p>
    <w:p w:rsidR="00B36820" w:rsidRDefault="00B36820" w:rsidP="00B36820">
      <w:pPr>
        <w:pStyle w:val="OpsommingSymbool"/>
        <w:numPr>
          <w:ilvl w:val="1"/>
          <w:numId w:val="6"/>
        </w:numPr>
        <w:rPr>
          <w:lang w:val="en-US"/>
        </w:rPr>
      </w:pPr>
      <w:r>
        <w:rPr>
          <w:lang w:val="en-US"/>
        </w:rPr>
        <w:t>Marine officer</w:t>
      </w:r>
    </w:p>
    <w:p w:rsidR="00B36820" w:rsidRDefault="00B36820" w:rsidP="00B36820">
      <w:pPr>
        <w:pStyle w:val="OpsommingSymbool"/>
        <w:numPr>
          <w:ilvl w:val="1"/>
          <w:numId w:val="6"/>
        </w:numPr>
        <w:rPr>
          <w:lang w:val="en-US"/>
        </w:rPr>
      </w:pPr>
      <w:r>
        <w:rPr>
          <w:lang w:val="en-US"/>
        </w:rPr>
        <w:t>Police officer</w:t>
      </w:r>
    </w:p>
    <w:p w:rsidR="00B36820" w:rsidRDefault="00B36820" w:rsidP="00B36820">
      <w:pPr>
        <w:pStyle w:val="OpsommingSymbool"/>
        <w:rPr>
          <w:lang w:val="en-US"/>
        </w:rPr>
      </w:pPr>
      <w:r>
        <w:rPr>
          <w:lang w:val="en-US"/>
        </w:rPr>
        <w:t>Meeting costs per participant</w:t>
      </w:r>
    </w:p>
    <w:p w:rsidR="00B36820" w:rsidRDefault="00B36820" w:rsidP="00B36820">
      <w:pPr>
        <w:pStyle w:val="OpsommingSymbool"/>
        <w:numPr>
          <w:ilvl w:val="1"/>
          <w:numId w:val="6"/>
        </w:numPr>
        <w:rPr>
          <w:lang w:val="en-US"/>
        </w:rPr>
      </w:pPr>
      <w:r>
        <w:rPr>
          <w:lang w:val="en-US"/>
        </w:rPr>
        <w:lastRenderedPageBreak/>
        <w:t>Venue costs</w:t>
      </w:r>
    </w:p>
    <w:p w:rsidR="00B36820" w:rsidRPr="00265A16" w:rsidRDefault="00B36820" w:rsidP="00B36820">
      <w:pPr>
        <w:pStyle w:val="OpsommingSymbool"/>
        <w:numPr>
          <w:ilvl w:val="1"/>
          <w:numId w:val="6"/>
        </w:numPr>
        <w:rPr>
          <w:lang w:val="en-US"/>
        </w:rPr>
      </w:pPr>
      <w:r>
        <w:rPr>
          <w:lang w:val="en-US"/>
        </w:rPr>
        <w:t>Hotel &amp; restauration costs</w:t>
      </w:r>
    </w:p>
    <w:p w:rsidR="00B36820" w:rsidRDefault="00B36820" w:rsidP="00B36820">
      <w:pPr>
        <w:pStyle w:val="OpsommingSymbool"/>
        <w:rPr>
          <w:lang w:val="en-US"/>
        </w:rPr>
      </w:pPr>
      <w:r>
        <w:rPr>
          <w:lang w:val="en-US"/>
        </w:rPr>
        <w:t>Travel costs per participant</w:t>
      </w:r>
    </w:p>
    <w:p w:rsidR="00B36820" w:rsidRDefault="00B36820" w:rsidP="00B36820">
      <w:pPr>
        <w:pStyle w:val="OpsommingSymbool"/>
        <w:numPr>
          <w:ilvl w:val="1"/>
          <w:numId w:val="6"/>
        </w:numPr>
        <w:rPr>
          <w:lang w:val="en-US"/>
        </w:rPr>
      </w:pPr>
      <w:r>
        <w:rPr>
          <w:lang w:val="en-US"/>
        </w:rPr>
        <w:t>Travel within MS</w:t>
      </w:r>
    </w:p>
    <w:p w:rsidR="00B36820" w:rsidRDefault="00B36820" w:rsidP="00B36820">
      <w:pPr>
        <w:pStyle w:val="OpsommingSymbool"/>
        <w:numPr>
          <w:ilvl w:val="1"/>
          <w:numId w:val="6"/>
        </w:numPr>
        <w:rPr>
          <w:lang w:val="en-US"/>
        </w:rPr>
      </w:pPr>
      <w:r>
        <w:rPr>
          <w:lang w:val="en-US"/>
        </w:rPr>
        <w:t>Travel between MS</w:t>
      </w:r>
    </w:p>
    <w:p w:rsidR="00B36820" w:rsidRDefault="00B36820" w:rsidP="00B36820">
      <w:pPr>
        <w:pStyle w:val="OpsommingSymbool"/>
        <w:rPr>
          <w:lang w:val="en-US"/>
        </w:rPr>
      </w:pPr>
      <w:r>
        <w:rPr>
          <w:lang w:val="en-US"/>
        </w:rPr>
        <w:t>Surveillance costs</w:t>
      </w:r>
    </w:p>
    <w:p w:rsidR="00B36820" w:rsidRDefault="00B36820" w:rsidP="00B36820">
      <w:pPr>
        <w:pStyle w:val="OpsommingSymbool"/>
        <w:numPr>
          <w:ilvl w:val="1"/>
          <w:numId w:val="6"/>
        </w:numPr>
        <w:rPr>
          <w:lang w:val="en-US"/>
        </w:rPr>
      </w:pPr>
      <w:r>
        <w:rPr>
          <w:lang w:val="en-US"/>
        </w:rPr>
        <w:t>Cost per shipping hour</w:t>
      </w:r>
    </w:p>
    <w:p w:rsidR="00B36820" w:rsidRDefault="00B36820" w:rsidP="00B36820">
      <w:pPr>
        <w:pStyle w:val="OpsommingSymbool"/>
        <w:numPr>
          <w:ilvl w:val="1"/>
          <w:numId w:val="6"/>
        </w:numPr>
        <w:rPr>
          <w:lang w:val="en-US"/>
        </w:rPr>
      </w:pPr>
      <w:r>
        <w:rPr>
          <w:lang w:val="en-US"/>
        </w:rPr>
        <w:t>Cost per aerial surveillance</w:t>
      </w:r>
    </w:p>
    <w:p w:rsidR="00B36820" w:rsidRDefault="00B36820" w:rsidP="00C728D6">
      <w:pPr>
        <w:spacing w:line="360" w:lineRule="auto"/>
        <w:ind w:left="1701"/>
        <w:jc w:val="both"/>
        <w:rPr>
          <w:b/>
          <w:lang w:val="en-GB"/>
        </w:rPr>
      </w:pPr>
    </w:p>
    <w:p w:rsidR="00B36820" w:rsidRDefault="00B36820" w:rsidP="00B36820">
      <w:pPr>
        <w:pStyle w:val="Kop4"/>
        <w:rPr>
          <w:lang w:val="en-US"/>
        </w:rPr>
      </w:pPr>
      <w:r>
        <w:rPr>
          <w:lang w:val="en-US"/>
        </w:rPr>
        <w:t xml:space="preserve">Assigning costs to each cost component of the measure </w:t>
      </w:r>
    </w:p>
    <w:p w:rsidR="00097928" w:rsidRPr="00181E39" w:rsidRDefault="00097928" w:rsidP="00B36820">
      <w:pPr>
        <w:pStyle w:val="Kop5"/>
        <w:numPr>
          <w:ilvl w:val="0"/>
          <w:numId w:val="0"/>
        </w:numPr>
        <w:ind w:left="1701"/>
        <w:rPr>
          <w:lang w:val="en-GB"/>
        </w:rPr>
      </w:pPr>
      <w:r w:rsidRPr="00181E39">
        <w:rPr>
          <w:lang w:val="en-GB"/>
        </w:rPr>
        <w:t>Technical measures:</w:t>
      </w:r>
    </w:p>
    <w:p w:rsidR="00097928" w:rsidRDefault="00097928" w:rsidP="00097928">
      <w:pPr>
        <w:pStyle w:val="OpsommingSymbool"/>
        <w:rPr>
          <w:lang w:val="en-GB"/>
        </w:rPr>
      </w:pPr>
      <w:r w:rsidRPr="006620B9">
        <w:rPr>
          <w:lang w:val="en-GB"/>
        </w:rPr>
        <w:t>Technical implementation costs</w:t>
      </w:r>
    </w:p>
    <w:tbl>
      <w:tblPr>
        <w:tblW w:w="6464" w:type="dxa"/>
        <w:tblInd w:w="2124" w:type="dxa"/>
        <w:tblLook w:val="04A0" w:firstRow="1" w:lastRow="0" w:firstColumn="1" w:lastColumn="0" w:noHBand="0" w:noVBand="1"/>
      </w:tblPr>
      <w:tblGrid>
        <w:gridCol w:w="3402"/>
        <w:gridCol w:w="1531"/>
        <w:gridCol w:w="1531"/>
      </w:tblGrid>
      <w:tr w:rsidR="00097928" w:rsidRPr="005D21D3" w:rsidTr="00B36820">
        <w:trPr>
          <w:trHeight w:val="454"/>
        </w:trPr>
        <w:tc>
          <w:tcPr>
            <w:tcW w:w="3402" w:type="dxa"/>
            <w:tcBorders>
              <w:top w:val="single" w:sz="4" w:space="0" w:color="auto"/>
              <w:left w:val="single" w:sz="4" w:space="0" w:color="auto"/>
              <w:bottom w:val="single" w:sz="4" w:space="0" w:color="auto"/>
              <w:right w:val="single" w:sz="4" w:space="0" w:color="auto"/>
            </w:tcBorders>
            <w:shd w:val="clear" w:color="000000" w:fill="D8D8D8"/>
            <w:hideMark/>
          </w:tcPr>
          <w:p w:rsidR="00097928" w:rsidRPr="005D21D3" w:rsidRDefault="00097928" w:rsidP="00097928">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 xml:space="preserve">Actions required </w:t>
            </w:r>
          </w:p>
        </w:tc>
        <w:tc>
          <w:tcPr>
            <w:tcW w:w="1531" w:type="dxa"/>
            <w:tcBorders>
              <w:top w:val="single" w:sz="4" w:space="0" w:color="auto"/>
              <w:left w:val="nil"/>
              <w:bottom w:val="single" w:sz="4" w:space="0" w:color="auto"/>
              <w:right w:val="single" w:sz="4" w:space="0" w:color="auto"/>
            </w:tcBorders>
            <w:shd w:val="clear" w:color="000000" w:fill="D8D8D8"/>
            <w:hideMark/>
          </w:tcPr>
          <w:p w:rsidR="00097928" w:rsidRPr="005D21D3" w:rsidRDefault="00097928" w:rsidP="00097928">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Estimated one-off cost, €</w:t>
            </w:r>
          </w:p>
        </w:tc>
        <w:tc>
          <w:tcPr>
            <w:tcW w:w="1531" w:type="dxa"/>
            <w:tcBorders>
              <w:top w:val="single" w:sz="4" w:space="0" w:color="auto"/>
              <w:left w:val="nil"/>
              <w:bottom w:val="single" w:sz="4" w:space="0" w:color="auto"/>
              <w:right w:val="single" w:sz="4" w:space="0" w:color="auto"/>
            </w:tcBorders>
            <w:shd w:val="clear" w:color="000000" w:fill="D8D8D8"/>
            <w:hideMark/>
          </w:tcPr>
          <w:p w:rsidR="00097928" w:rsidRPr="005D21D3" w:rsidRDefault="00097928" w:rsidP="00097928">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Estimated cost per year (€)</w:t>
            </w:r>
          </w:p>
        </w:tc>
      </w:tr>
      <w:tr w:rsidR="00097928" w:rsidRPr="005D21D3" w:rsidTr="00097928">
        <w:trPr>
          <w:trHeight w:val="264"/>
        </w:trPr>
        <w:tc>
          <w:tcPr>
            <w:tcW w:w="3402" w:type="dxa"/>
            <w:tcBorders>
              <w:top w:val="nil"/>
              <w:left w:val="single" w:sz="4" w:space="0" w:color="auto"/>
              <w:bottom w:val="single" w:sz="4" w:space="0" w:color="auto"/>
              <w:right w:val="single" w:sz="4" w:space="0" w:color="auto"/>
            </w:tcBorders>
            <w:shd w:val="clear" w:color="auto" w:fill="auto"/>
            <w:hideMark/>
          </w:tcPr>
          <w:p w:rsidR="00097928" w:rsidRPr="005D21D3" w:rsidRDefault="00097928"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Investment costs</w:t>
            </w:r>
          </w:p>
        </w:tc>
        <w:tc>
          <w:tcPr>
            <w:tcW w:w="1531" w:type="dxa"/>
            <w:tcBorders>
              <w:top w:val="nil"/>
              <w:left w:val="nil"/>
              <w:bottom w:val="single" w:sz="4" w:space="0" w:color="auto"/>
              <w:right w:val="single" w:sz="4" w:space="0" w:color="auto"/>
            </w:tcBorders>
            <w:shd w:val="clear" w:color="auto" w:fill="auto"/>
            <w:hideMark/>
          </w:tcPr>
          <w:p w:rsidR="00097928" w:rsidRPr="005D21D3" w:rsidRDefault="00097928"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531" w:type="dxa"/>
            <w:tcBorders>
              <w:top w:val="nil"/>
              <w:left w:val="nil"/>
              <w:bottom w:val="single" w:sz="4" w:space="0" w:color="auto"/>
              <w:right w:val="single" w:sz="4" w:space="0" w:color="auto"/>
            </w:tcBorders>
            <w:shd w:val="clear" w:color="000000" w:fill="D9D9D9"/>
            <w:hideMark/>
          </w:tcPr>
          <w:p w:rsidR="00097928" w:rsidRPr="005D21D3" w:rsidRDefault="00097928"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r>
      <w:tr w:rsidR="00097928" w:rsidRPr="005D21D3" w:rsidTr="00097928">
        <w:trPr>
          <w:trHeight w:val="264"/>
        </w:trPr>
        <w:tc>
          <w:tcPr>
            <w:tcW w:w="3402" w:type="dxa"/>
            <w:tcBorders>
              <w:top w:val="nil"/>
              <w:left w:val="single" w:sz="4" w:space="0" w:color="auto"/>
              <w:bottom w:val="single" w:sz="4" w:space="0" w:color="auto"/>
              <w:right w:val="single" w:sz="4" w:space="0" w:color="auto"/>
            </w:tcBorders>
            <w:shd w:val="clear" w:color="auto" w:fill="auto"/>
            <w:hideMark/>
          </w:tcPr>
          <w:p w:rsidR="00097928" w:rsidRPr="005D21D3" w:rsidRDefault="00097928"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Operational costs</w:t>
            </w:r>
          </w:p>
        </w:tc>
        <w:tc>
          <w:tcPr>
            <w:tcW w:w="1531" w:type="dxa"/>
            <w:tcBorders>
              <w:top w:val="nil"/>
              <w:left w:val="nil"/>
              <w:bottom w:val="single" w:sz="4" w:space="0" w:color="auto"/>
              <w:right w:val="single" w:sz="4" w:space="0" w:color="auto"/>
            </w:tcBorders>
            <w:shd w:val="clear" w:color="000000" w:fill="D9D9D9"/>
            <w:hideMark/>
          </w:tcPr>
          <w:p w:rsidR="00097928" w:rsidRPr="005D21D3" w:rsidRDefault="00097928"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531" w:type="dxa"/>
            <w:tcBorders>
              <w:top w:val="nil"/>
              <w:left w:val="nil"/>
              <w:bottom w:val="single" w:sz="4" w:space="0" w:color="auto"/>
              <w:right w:val="single" w:sz="4" w:space="0" w:color="auto"/>
            </w:tcBorders>
            <w:shd w:val="clear" w:color="auto" w:fill="auto"/>
            <w:hideMark/>
          </w:tcPr>
          <w:p w:rsidR="00097928" w:rsidRPr="005D21D3" w:rsidRDefault="00097928"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r>
      <w:tr w:rsidR="00097928" w:rsidRPr="005D21D3" w:rsidTr="00097928">
        <w:trPr>
          <w:trHeight w:val="264"/>
        </w:trPr>
        <w:tc>
          <w:tcPr>
            <w:tcW w:w="3402" w:type="dxa"/>
            <w:tcBorders>
              <w:top w:val="nil"/>
              <w:left w:val="single" w:sz="4" w:space="0" w:color="auto"/>
              <w:bottom w:val="single" w:sz="4" w:space="0" w:color="auto"/>
              <w:right w:val="single" w:sz="4" w:space="0" w:color="auto"/>
            </w:tcBorders>
            <w:shd w:val="clear" w:color="auto" w:fill="auto"/>
            <w:hideMark/>
          </w:tcPr>
          <w:p w:rsidR="00097928" w:rsidRPr="005D21D3" w:rsidRDefault="00097928"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Maintenance costs</w:t>
            </w:r>
          </w:p>
        </w:tc>
        <w:tc>
          <w:tcPr>
            <w:tcW w:w="1531" w:type="dxa"/>
            <w:tcBorders>
              <w:top w:val="nil"/>
              <w:left w:val="nil"/>
              <w:bottom w:val="single" w:sz="4" w:space="0" w:color="auto"/>
              <w:right w:val="single" w:sz="4" w:space="0" w:color="auto"/>
            </w:tcBorders>
            <w:shd w:val="clear" w:color="000000" w:fill="D9D9D9"/>
            <w:hideMark/>
          </w:tcPr>
          <w:p w:rsidR="00097928" w:rsidRPr="005D21D3" w:rsidRDefault="00097928"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531" w:type="dxa"/>
            <w:tcBorders>
              <w:top w:val="nil"/>
              <w:left w:val="nil"/>
              <w:bottom w:val="single" w:sz="4" w:space="0" w:color="auto"/>
              <w:right w:val="single" w:sz="4" w:space="0" w:color="auto"/>
            </w:tcBorders>
            <w:shd w:val="clear" w:color="auto" w:fill="auto"/>
            <w:hideMark/>
          </w:tcPr>
          <w:p w:rsidR="00097928" w:rsidRPr="005D21D3" w:rsidRDefault="00097928"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r>
      <w:tr w:rsidR="00097928" w:rsidRPr="005D21D3" w:rsidTr="00B36820">
        <w:trPr>
          <w:trHeight w:val="264"/>
        </w:trPr>
        <w:tc>
          <w:tcPr>
            <w:tcW w:w="3402" w:type="dxa"/>
            <w:tcBorders>
              <w:top w:val="nil"/>
              <w:left w:val="single" w:sz="4" w:space="0" w:color="auto"/>
              <w:bottom w:val="single" w:sz="4" w:space="0" w:color="auto"/>
              <w:right w:val="single" w:sz="4" w:space="0" w:color="auto"/>
            </w:tcBorders>
            <w:shd w:val="clear" w:color="auto" w:fill="auto"/>
            <w:hideMark/>
          </w:tcPr>
          <w:p w:rsidR="00097928" w:rsidRPr="005D21D3" w:rsidRDefault="00097928" w:rsidP="00097928">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Total cost</w:t>
            </w:r>
          </w:p>
        </w:tc>
        <w:tc>
          <w:tcPr>
            <w:tcW w:w="1531" w:type="dxa"/>
            <w:tcBorders>
              <w:top w:val="nil"/>
              <w:left w:val="nil"/>
              <w:bottom w:val="single" w:sz="4" w:space="0" w:color="auto"/>
              <w:right w:val="single" w:sz="4" w:space="0" w:color="auto"/>
            </w:tcBorders>
            <w:shd w:val="clear" w:color="auto" w:fill="auto"/>
            <w:noWrap/>
            <w:hideMark/>
          </w:tcPr>
          <w:p w:rsidR="00097928" w:rsidRPr="005D21D3" w:rsidRDefault="00097928" w:rsidP="00097928">
            <w:pPr>
              <w:spacing w:before="0" w:after="0" w:line="240" w:lineRule="auto"/>
              <w:jc w:val="right"/>
              <w:rPr>
                <w:rFonts w:eastAsia="Times New Roman" w:cs="Arial"/>
                <w:b/>
                <w:bCs/>
                <w:color w:val="000000"/>
                <w:sz w:val="18"/>
                <w:szCs w:val="20"/>
                <w:lang w:val="en-US"/>
              </w:rPr>
            </w:pPr>
            <w:r w:rsidRPr="005D21D3">
              <w:rPr>
                <w:rFonts w:eastAsia="Times New Roman" w:cs="Arial"/>
                <w:b/>
                <w:bCs/>
                <w:color w:val="000000"/>
                <w:sz w:val="18"/>
                <w:szCs w:val="20"/>
                <w:lang w:val="en-US"/>
              </w:rPr>
              <w:t xml:space="preserve"> €</w:t>
            </w:r>
            <w:r w:rsidR="0075552A">
              <w:rPr>
                <w:rFonts w:eastAsia="Times New Roman" w:cs="Arial"/>
                <w:b/>
                <w:bCs/>
                <w:color w:val="000000"/>
                <w:sz w:val="18"/>
                <w:szCs w:val="20"/>
                <w:lang w:val="en-US"/>
              </w:rPr>
              <w:t xml:space="preserve">  </w:t>
            </w:r>
            <w:r w:rsidRPr="005D21D3">
              <w:rPr>
                <w:rFonts w:eastAsia="Times New Roman" w:cs="Arial"/>
                <w:b/>
                <w:bCs/>
                <w:color w:val="000000"/>
                <w:sz w:val="18"/>
                <w:szCs w:val="20"/>
                <w:lang w:val="en-US"/>
              </w:rPr>
              <w:t xml:space="preserve">- </w:t>
            </w:r>
          </w:p>
        </w:tc>
        <w:tc>
          <w:tcPr>
            <w:tcW w:w="1531" w:type="dxa"/>
            <w:tcBorders>
              <w:top w:val="nil"/>
              <w:left w:val="nil"/>
              <w:bottom w:val="single" w:sz="4" w:space="0" w:color="auto"/>
              <w:right w:val="single" w:sz="4" w:space="0" w:color="auto"/>
            </w:tcBorders>
            <w:shd w:val="clear" w:color="auto" w:fill="auto"/>
            <w:noWrap/>
            <w:hideMark/>
          </w:tcPr>
          <w:p w:rsidR="00097928" w:rsidRPr="005D21D3" w:rsidRDefault="00097928" w:rsidP="00097928">
            <w:pPr>
              <w:spacing w:before="0" w:after="0" w:line="240" w:lineRule="auto"/>
              <w:jc w:val="right"/>
              <w:rPr>
                <w:rFonts w:eastAsia="Times New Roman" w:cs="Arial"/>
                <w:b/>
                <w:bCs/>
                <w:color w:val="000000"/>
                <w:sz w:val="18"/>
                <w:szCs w:val="20"/>
                <w:lang w:val="en-US"/>
              </w:rPr>
            </w:pPr>
            <w:r w:rsidRPr="005D21D3">
              <w:rPr>
                <w:rFonts w:eastAsia="Times New Roman" w:cs="Arial"/>
                <w:b/>
                <w:bCs/>
                <w:color w:val="000000"/>
                <w:sz w:val="18"/>
                <w:szCs w:val="20"/>
                <w:lang w:val="en-US"/>
              </w:rPr>
              <w:t xml:space="preserve"> €</w:t>
            </w:r>
            <w:r w:rsidR="0075552A">
              <w:rPr>
                <w:rFonts w:eastAsia="Times New Roman" w:cs="Arial"/>
                <w:b/>
                <w:bCs/>
                <w:color w:val="000000"/>
                <w:sz w:val="18"/>
                <w:szCs w:val="20"/>
                <w:lang w:val="en-US"/>
              </w:rPr>
              <w:t xml:space="preserve">  </w:t>
            </w:r>
            <w:r w:rsidRPr="005D21D3">
              <w:rPr>
                <w:rFonts w:eastAsia="Times New Roman" w:cs="Arial"/>
                <w:b/>
                <w:bCs/>
                <w:color w:val="000000"/>
                <w:sz w:val="18"/>
                <w:szCs w:val="20"/>
                <w:lang w:val="en-US"/>
              </w:rPr>
              <w:t xml:space="preserve">- </w:t>
            </w:r>
          </w:p>
        </w:tc>
      </w:tr>
    </w:tbl>
    <w:p w:rsidR="00B36820" w:rsidRDefault="00B36820">
      <w:pPr>
        <w:spacing w:before="0" w:after="200" w:line="276" w:lineRule="auto"/>
        <w:rPr>
          <w:bCs/>
          <w:color w:val="0079A2"/>
          <w:szCs w:val="28"/>
          <w:lang w:val="en-GB"/>
        </w:rPr>
      </w:pPr>
    </w:p>
    <w:p w:rsidR="00097928" w:rsidRPr="00181E39" w:rsidRDefault="00097928" w:rsidP="00B36820">
      <w:pPr>
        <w:pStyle w:val="Kop5"/>
        <w:numPr>
          <w:ilvl w:val="0"/>
          <w:numId w:val="0"/>
        </w:numPr>
        <w:ind w:left="1701"/>
        <w:rPr>
          <w:lang w:val="en-GB"/>
        </w:rPr>
      </w:pPr>
      <w:r w:rsidRPr="00181E39">
        <w:rPr>
          <w:lang w:val="en-GB"/>
        </w:rPr>
        <w:t>Legislative measures</w:t>
      </w:r>
    </w:p>
    <w:p w:rsidR="00097928" w:rsidRDefault="00097928" w:rsidP="00097928">
      <w:pPr>
        <w:pStyle w:val="OpsommingSymbool"/>
        <w:rPr>
          <w:lang w:val="en-GB"/>
        </w:rPr>
      </w:pPr>
      <w:r w:rsidRPr="006620B9">
        <w:rPr>
          <w:lang w:val="en-GB"/>
        </w:rPr>
        <w:t>Negot</w:t>
      </w:r>
      <w:r>
        <w:rPr>
          <w:lang w:val="en-GB"/>
        </w:rPr>
        <w:t>i</w:t>
      </w:r>
      <w:r w:rsidRPr="006620B9">
        <w:rPr>
          <w:lang w:val="en-GB"/>
        </w:rPr>
        <w:t>ation costs</w:t>
      </w:r>
    </w:p>
    <w:tbl>
      <w:tblPr>
        <w:tblW w:w="7540" w:type="dxa"/>
        <w:tblInd w:w="2124" w:type="dxa"/>
        <w:tblLook w:val="04A0" w:firstRow="1" w:lastRow="0" w:firstColumn="1" w:lastColumn="0" w:noHBand="0" w:noVBand="1"/>
      </w:tblPr>
      <w:tblGrid>
        <w:gridCol w:w="3231"/>
        <w:gridCol w:w="1361"/>
        <w:gridCol w:w="1474"/>
        <w:gridCol w:w="1474"/>
      </w:tblGrid>
      <w:tr w:rsidR="00097928" w:rsidRPr="001E0C58" w:rsidTr="00097928">
        <w:trPr>
          <w:trHeight w:val="708"/>
        </w:trPr>
        <w:tc>
          <w:tcPr>
            <w:tcW w:w="3231" w:type="dxa"/>
            <w:tcBorders>
              <w:top w:val="single" w:sz="4" w:space="0" w:color="auto"/>
              <w:left w:val="single" w:sz="4" w:space="0" w:color="auto"/>
              <w:bottom w:val="single" w:sz="4" w:space="0" w:color="auto"/>
              <w:right w:val="single" w:sz="4" w:space="0" w:color="auto"/>
            </w:tcBorders>
            <w:shd w:val="clear" w:color="000000" w:fill="D8D8D8"/>
            <w:hideMark/>
          </w:tcPr>
          <w:p w:rsidR="00097928" w:rsidRPr="005D21D3" w:rsidRDefault="00097928" w:rsidP="00097928">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Actions required</w:t>
            </w:r>
          </w:p>
        </w:tc>
        <w:tc>
          <w:tcPr>
            <w:tcW w:w="1361" w:type="dxa"/>
            <w:tcBorders>
              <w:top w:val="single" w:sz="4" w:space="0" w:color="auto"/>
              <w:left w:val="nil"/>
              <w:bottom w:val="single" w:sz="4" w:space="0" w:color="auto"/>
              <w:right w:val="single" w:sz="4" w:space="0" w:color="auto"/>
            </w:tcBorders>
            <w:shd w:val="clear" w:color="000000" w:fill="D8D8D8"/>
            <w:hideMark/>
          </w:tcPr>
          <w:p w:rsidR="00097928" w:rsidRPr="005D21D3" w:rsidRDefault="00097928" w:rsidP="00097928">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Estimated nr of days</w:t>
            </w:r>
          </w:p>
        </w:tc>
        <w:tc>
          <w:tcPr>
            <w:tcW w:w="1474" w:type="dxa"/>
            <w:tcBorders>
              <w:top w:val="single" w:sz="4" w:space="0" w:color="auto"/>
              <w:left w:val="nil"/>
              <w:bottom w:val="single" w:sz="4" w:space="0" w:color="auto"/>
              <w:right w:val="single" w:sz="4" w:space="0" w:color="auto"/>
            </w:tcBorders>
            <w:shd w:val="clear" w:color="000000" w:fill="D8D8D8"/>
            <w:hideMark/>
          </w:tcPr>
          <w:p w:rsidR="00097928" w:rsidRPr="005D21D3" w:rsidRDefault="00097928" w:rsidP="00097928">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Estimated rate per day (€)</w:t>
            </w:r>
          </w:p>
        </w:tc>
        <w:tc>
          <w:tcPr>
            <w:tcW w:w="1474" w:type="dxa"/>
            <w:tcBorders>
              <w:top w:val="single" w:sz="4" w:space="0" w:color="auto"/>
              <w:left w:val="nil"/>
              <w:bottom w:val="single" w:sz="4" w:space="0" w:color="auto"/>
              <w:right w:val="single" w:sz="4" w:space="0" w:color="auto"/>
            </w:tcBorders>
            <w:shd w:val="clear" w:color="000000" w:fill="D8D8D8"/>
            <w:hideMark/>
          </w:tcPr>
          <w:p w:rsidR="00097928" w:rsidRPr="005D21D3" w:rsidRDefault="00097928" w:rsidP="00097928">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Estimated one-off cost per action, €</w:t>
            </w:r>
          </w:p>
        </w:tc>
      </w:tr>
      <w:tr w:rsidR="00097928" w:rsidRPr="005D21D3" w:rsidTr="00097928">
        <w:trPr>
          <w:trHeight w:val="276"/>
        </w:trPr>
        <w:tc>
          <w:tcPr>
            <w:tcW w:w="3231" w:type="dxa"/>
            <w:tcBorders>
              <w:top w:val="nil"/>
              <w:left w:val="single" w:sz="4" w:space="0" w:color="auto"/>
              <w:bottom w:val="single" w:sz="4" w:space="0" w:color="auto"/>
              <w:right w:val="single" w:sz="4" w:space="0" w:color="auto"/>
            </w:tcBorders>
            <w:shd w:val="clear" w:color="auto" w:fill="auto"/>
            <w:hideMark/>
          </w:tcPr>
          <w:p w:rsidR="00097928" w:rsidRPr="005D21D3" w:rsidRDefault="00097928"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Planning &amp; preparation</w:t>
            </w:r>
          </w:p>
        </w:tc>
        <w:tc>
          <w:tcPr>
            <w:tcW w:w="1361" w:type="dxa"/>
            <w:tcBorders>
              <w:top w:val="nil"/>
              <w:left w:val="nil"/>
              <w:bottom w:val="single" w:sz="4" w:space="0" w:color="auto"/>
              <w:right w:val="single" w:sz="4" w:space="0" w:color="auto"/>
            </w:tcBorders>
            <w:shd w:val="clear" w:color="auto" w:fill="auto"/>
            <w:hideMark/>
          </w:tcPr>
          <w:p w:rsidR="00097928" w:rsidRPr="005D21D3" w:rsidRDefault="00097928"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hideMark/>
          </w:tcPr>
          <w:p w:rsidR="00097928" w:rsidRPr="005D21D3" w:rsidRDefault="00097928"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tcPr>
          <w:p w:rsidR="00097928" w:rsidRPr="005D21D3" w:rsidRDefault="00097928" w:rsidP="00097928">
            <w:pPr>
              <w:spacing w:before="0" w:after="0" w:line="240" w:lineRule="auto"/>
              <w:jc w:val="right"/>
              <w:rPr>
                <w:rFonts w:eastAsia="Times New Roman" w:cs="Arial"/>
                <w:color w:val="000000"/>
                <w:sz w:val="18"/>
                <w:szCs w:val="20"/>
                <w:lang w:val="en-US"/>
              </w:rPr>
            </w:pPr>
          </w:p>
        </w:tc>
      </w:tr>
      <w:tr w:rsidR="0075552A" w:rsidRPr="005D21D3" w:rsidTr="00097928">
        <w:trPr>
          <w:trHeight w:val="276"/>
        </w:trPr>
        <w:tc>
          <w:tcPr>
            <w:tcW w:w="3231" w:type="dxa"/>
            <w:tcBorders>
              <w:top w:val="nil"/>
              <w:left w:val="single" w:sz="4" w:space="0" w:color="auto"/>
              <w:bottom w:val="single" w:sz="4" w:space="0" w:color="auto"/>
              <w:right w:val="single" w:sz="4" w:space="0" w:color="auto"/>
            </w:tcBorders>
            <w:shd w:val="clear" w:color="auto" w:fill="auto"/>
          </w:tcPr>
          <w:p w:rsidR="0075552A" w:rsidRPr="005D21D3" w:rsidRDefault="0075552A" w:rsidP="0075552A">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Drafting agreement &amp; Ratification</w:t>
            </w:r>
          </w:p>
        </w:tc>
        <w:tc>
          <w:tcPr>
            <w:tcW w:w="1361" w:type="dxa"/>
            <w:tcBorders>
              <w:top w:val="nil"/>
              <w:left w:val="nil"/>
              <w:bottom w:val="single" w:sz="4" w:space="0" w:color="auto"/>
              <w:right w:val="single" w:sz="4" w:space="0" w:color="auto"/>
            </w:tcBorders>
            <w:shd w:val="clear" w:color="auto" w:fill="auto"/>
          </w:tcPr>
          <w:p w:rsidR="0075552A" w:rsidRPr="005D21D3" w:rsidRDefault="0075552A" w:rsidP="0075552A">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tcPr>
          <w:p w:rsidR="0075552A" w:rsidRPr="005D21D3" w:rsidRDefault="0075552A" w:rsidP="0075552A">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tcPr>
          <w:p w:rsidR="0075552A" w:rsidRPr="005D21D3" w:rsidRDefault="0075552A" w:rsidP="0075552A">
            <w:pPr>
              <w:spacing w:before="0" w:after="0" w:line="240" w:lineRule="auto"/>
              <w:jc w:val="right"/>
              <w:rPr>
                <w:rFonts w:eastAsia="Times New Roman" w:cs="Arial"/>
                <w:color w:val="000000"/>
                <w:sz w:val="18"/>
                <w:szCs w:val="20"/>
                <w:lang w:val="en-US"/>
              </w:rPr>
            </w:pPr>
          </w:p>
        </w:tc>
      </w:tr>
      <w:tr w:rsidR="0075552A" w:rsidRPr="005D21D3" w:rsidTr="00097928">
        <w:trPr>
          <w:trHeight w:val="276"/>
        </w:trPr>
        <w:tc>
          <w:tcPr>
            <w:tcW w:w="3231" w:type="dxa"/>
            <w:tcBorders>
              <w:top w:val="nil"/>
              <w:left w:val="single" w:sz="4" w:space="0" w:color="auto"/>
              <w:bottom w:val="single" w:sz="4" w:space="0" w:color="auto"/>
              <w:right w:val="single" w:sz="4" w:space="0" w:color="auto"/>
            </w:tcBorders>
            <w:shd w:val="clear" w:color="auto" w:fill="auto"/>
            <w:hideMark/>
          </w:tcPr>
          <w:p w:rsidR="0075552A" w:rsidRPr="005D21D3" w:rsidRDefault="0075552A"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Meetings with neighboring MS</w:t>
            </w:r>
          </w:p>
        </w:tc>
        <w:tc>
          <w:tcPr>
            <w:tcW w:w="1361" w:type="dxa"/>
            <w:tcBorders>
              <w:top w:val="nil"/>
              <w:left w:val="nil"/>
              <w:bottom w:val="single" w:sz="4" w:space="0" w:color="auto"/>
              <w:right w:val="single" w:sz="4" w:space="0" w:color="auto"/>
            </w:tcBorders>
            <w:shd w:val="clear" w:color="auto" w:fill="auto"/>
            <w:hideMark/>
          </w:tcPr>
          <w:p w:rsidR="0075552A" w:rsidRPr="005D21D3" w:rsidRDefault="0075552A"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hideMark/>
          </w:tcPr>
          <w:p w:rsidR="0075552A" w:rsidRPr="005D21D3" w:rsidRDefault="0075552A"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tcPr>
          <w:p w:rsidR="0075552A" w:rsidRPr="005D21D3" w:rsidRDefault="0075552A" w:rsidP="00097928">
            <w:pPr>
              <w:spacing w:before="0" w:after="0" w:line="240" w:lineRule="auto"/>
              <w:jc w:val="right"/>
              <w:rPr>
                <w:rFonts w:eastAsia="Times New Roman" w:cs="Arial"/>
                <w:color w:val="000000"/>
                <w:sz w:val="18"/>
                <w:szCs w:val="20"/>
                <w:lang w:val="en-US"/>
              </w:rPr>
            </w:pPr>
          </w:p>
        </w:tc>
      </w:tr>
      <w:tr w:rsidR="0075552A" w:rsidRPr="005D21D3" w:rsidTr="00097928">
        <w:trPr>
          <w:trHeight w:val="276"/>
        </w:trPr>
        <w:tc>
          <w:tcPr>
            <w:tcW w:w="3231" w:type="dxa"/>
            <w:tcBorders>
              <w:top w:val="nil"/>
              <w:left w:val="single" w:sz="4" w:space="0" w:color="auto"/>
              <w:bottom w:val="single" w:sz="4" w:space="0" w:color="auto"/>
              <w:right w:val="single" w:sz="4" w:space="0" w:color="auto"/>
            </w:tcBorders>
            <w:shd w:val="clear" w:color="auto" w:fill="auto"/>
            <w:hideMark/>
          </w:tcPr>
          <w:p w:rsidR="0075552A" w:rsidRPr="005D21D3" w:rsidRDefault="0075552A"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Travel &amp; other costs</w:t>
            </w:r>
          </w:p>
        </w:tc>
        <w:tc>
          <w:tcPr>
            <w:tcW w:w="1361" w:type="dxa"/>
            <w:tcBorders>
              <w:top w:val="nil"/>
              <w:left w:val="nil"/>
              <w:bottom w:val="single" w:sz="4" w:space="0" w:color="auto"/>
              <w:right w:val="single" w:sz="4" w:space="0" w:color="auto"/>
            </w:tcBorders>
            <w:shd w:val="clear" w:color="auto" w:fill="auto"/>
            <w:hideMark/>
          </w:tcPr>
          <w:p w:rsidR="0075552A" w:rsidRPr="005D21D3" w:rsidRDefault="0075552A"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hideMark/>
          </w:tcPr>
          <w:p w:rsidR="0075552A" w:rsidRPr="005D21D3" w:rsidRDefault="0075552A"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tcPr>
          <w:p w:rsidR="0075552A" w:rsidRPr="005D21D3" w:rsidRDefault="0075552A" w:rsidP="00097928">
            <w:pPr>
              <w:spacing w:before="0" w:after="0" w:line="240" w:lineRule="auto"/>
              <w:jc w:val="right"/>
              <w:rPr>
                <w:rFonts w:eastAsia="Times New Roman" w:cs="Arial"/>
                <w:color w:val="000000"/>
                <w:sz w:val="18"/>
                <w:szCs w:val="20"/>
                <w:lang w:val="en-US"/>
              </w:rPr>
            </w:pPr>
          </w:p>
        </w:tc>
      </w:tr>
      <w:tr w:rsidR="0075552A" w:rsidRPr="005D21D3" w:rsidTr="00097928">
        <w:trPr>
          <w:trHeight w:val="276"/>
        </w:trPr>
        <w:tc>
          <w:tcPr>
            <w:tcW w:w="3231" w:type="dxa"/>
            <w:tcBorders>
              <w:top w:val="nil"/>
              <w:left w:val="single" w:sz="4" w:space="0" w:color="auto"/>
              <w:bottom w:val="single" w:sz="4" w:space="0" w:color="auto"/>
              <w:right w:val="single" w:sz="4" w:space="0" w:color="auto"/>
            </w:tcBorders>
            <w:shd w:val="clear" w:color="auto" w:fill="auto"/>
            <w:hideMark/>
          </w:tcPr>
          <w:p w:rsidR="0075552A" w:rsidRPr="005D21D3" w:rsidRDefault="0075552A" w:rsidP="00097928">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Total implementation cost</w:t>
            </w:r>
          </w:p>
        </w:tc>
        <w:tc>
          <w:tcPr>
            <w:tcW w:w="1361" w:type="dxa"/>
            <w:tcBorders>
              <w:top w:val="nil"/>
              <w:left w:val="nil"/>
              <w:bottom w:val="single" w:sz="4" w:space="0" w:color="auto"/>
              <w:right w:val="single" w:sz="4" w:space="0" w:color="auto"/>
            </w:tcBorders>
            <w:shd w:val="clear" w:color="auto" w:fill="auto"/>
            <w:hideMark/>
          </w:tcPr>
          <w:p w:rsidR="0075552A" w:rsidRPr="005D21D3" w:rsidRDefault="0075552A" w:rsidP="00097928">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hideMark/>
          </w:tcPr>
          <w:p w:rsidR="0075552A" w:rsidRPr="005D21D3" w:rsidRDefault="0075552A" w:rsidP="00097928">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noWrap/>
          </w:tcPr>
          <w:p w:rsidR="0075552A" w:rsidRPr="005D21D3" w:rsidRDefault="0075552A" w:rsidP="00097928">
            <w:pPr>
              <w:spacing w:before="0" w:after="0" w:line="240" w:lineRule="auto"/>
              <w:jc w:val="right"/>
              <w:rPr>
                <w:rFonts w:eastAsia="Times New Roman" w:cs="Arial"/>
                <w:b/>
                <w:bCs/>
                <w:color w:val="000000"/>
                <w:sz w:val="18"/>
                <w:szCs w:val="20"/>
                <w:lang w:val="en-US"/>
              </w:rPr>
            </w:pPr>
            <w:r w:rsidRPr="005D21D3">
              <w:rPr>
                <w:rFonts w:eastAsia="Times New Roman" w:cs="Arial"/>
                <w:b/>
                <w:bCs/>
                <w:color w:val="000000"/>
                <w:sz w:val="18"/>
                <w:szCs w:val="20"/>
                <w:lang w:val="en-US"/>
              </w:rPr>
              <w:t>€</w:t>
            </w:r>
            <w:r>
              <w:rPr>
                <w:rFonts w:eastAsia="Times New Roman" w:cs="Arial"/>
                <w:b/>
                <w:bCs/>
                <w:color w:val="000000"/>
                <w:sz w:val="18"/>
                <w:szCs w:val="20"/>
                <w:lang w:val="en-US"/>
              </w:rPr>
              <w:t xml:space="preserve">  </w:t>
            </w:r>
          </w:p>
        </w:tc>
      </w:tr>
    </w:tbl>
    <w:p w:rsidR="00097928" w:rsidRDefault="00097928" w:rsidP="00097928">
      <w:pPr>
        <w:pStyle w:val="OpsommingSymbool"/>
        <w:rPr>
          <w:lang w:val="en-GB"/>
        </w:rPr>
      </w:pPr>
      <w:r>
        <w:rPr>
          <w:lang w:val="en-GB"/>
        </w:rPr>
        <w:t>Research</w:t>
      </w:r>
      <w:r w:rsidRPr="006620B9">
        <w:rPr>
          <w:lang w:val="en-GB"/>
        </w:rPr>
        <w:t xml:space="preserve"> costs</w:t>
      </w:r>
    </w:p>
    <w:tbl>
      <w:tblPr>
        <w:tblW w:w="7540" w:type="dxa"/>
        <w:tblInd w:w="2124" w:type="dxa"/>
        <w:tblLook w:val="04A0" w:firstRow="1" w:lastRow="0" w:firstColumn="1" w:lastColumn="0" w:noHBand="0" w:noVBand="1"/>
      </w:tblPr>
      <w:tblGrid>
        <w:gridCol w:w="3231"/>
        <w:gridCol w:w="1361"/>
        <w:gridCol w:w="1474"/>
        <w:gridCol w:w="1474"/>
      </w:tblGrid>
      <w:tr w:rsidR="00097928" w:rsidRPr="001E0C58" w:rsidTr="00097928">
        <w:trPr>
          <w:trHeight w:val="528"/>
        </w:trPr>
        <w:tc>
          <w:tcPr>
            <w:tcW w:w="3231" w:type="dxa"/>
            <w:tcBorders>
              <w:top w:val="single" w:sz="4" w:space="0" w:color="auto"/>
              <w:left w:val="single" w:sz="4" w:space="0" w:color="auto"/>
              <w:bottom w:val="single" w:sz="4" w:space="0" w:color="auto"/>
              <w:right w:val="single" w:sz="4" w:space="0" w:color="auto"/>
            </w:tcBorders>
            <w:shd w:val="clear" w:color="000000" w:fill="D8D8D8"/>
            <w:hideMark/>
          </w:tcPr>
          <w:p w:rsidR="00097928" w:rsidRPr="005D21D3" w:rsidRDefault="00097928" w:rsidP="00097928">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 xml:space="preserve">Actions required </w:t>
            </w:r>
          </w:p>
        </w:tc>
        <w:tc>
          <w:tcPr>
            <w:tcW w:w="1361" w:type="dxa"/>
            <w:tcBorders>
              <w:top w:val="single" w:sz="4" w:space="0" w:color="auto"/>
              <w:left w:val="nil"/>
              <w:bottom w:val="single" w:sz="4" w:space="0" w:color="auto"/>
              <w:right w:val="single" w:sz="4" w:space="0" w:color="auto"/>
            </w:tcBorders>
            <w:shd w:val="clear" w:color="000000" w:fill="D8D8D8"/>
            <w:hideMark/>
          </w:tcPr>
          <w:p w:rsidR="00097928" w:rsidRPr="005D21D3" w:rsidRDefault="00097928" w:rsidP="00097928">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Estimated nr of days</w:t>
            </w:r>
          </w:p>
        </w:tc>
        <w:tc>
          <w:tcPr>
            <w:tcW w:w="1474" w:type="dxa"/>
            <w:tcBorders>
              <w:top w:val="single" w:sz="4" w:space="0" w:color="auto"/>
              <w:left w:val="nil"/>
              <w:bottom w:val="single" w:sz="4" w:space="0" w:color="auto"/>
              <w:right w:val="single" w:sz="4" w:space="0" w:color="auto"/>
            </w:tcBorders>
            <w:shd w:val="clear" w:color="000000" w:fill="D8D8D8"/>
            <w:hideMark/>
          </w:tcPr>
          <w:p w:rsidR="00097928" w:rsidRPr="005D21D3" w:rsidRDefault="00097928" w:rsidP="00097928">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Estimated rate per day (€)</w:t>
            </w:r>
          </w:p>
        </w:tc>
        <w:tc>
          <w:tcPr>
            <w:tcW w:w="1474" w:type="dxa"/>
            <w:tcBorders>
              <w:top w:val="single" w:sz="4" w:space="0" w:color="auto"/>
              <w:left w:val="nil"/>
              <w:bottom w:val="single" w:sz="4" w:space="0" w:color="auto"/>
              <w:right w:val="single" w:sz="4" w:space="0" w:color="auto"/>
            </w:tcBorders>
            <w:shd w:val="clear" w:color="000000" w:fill="D8D8D8"/>
            <w:hideMark/>
          </w:tcPr>
          <w:p w:rsidR="00097928" w:rsidRPr="005D21D3" w:rsidRDefault="00097928" w:rsidP="00097928">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Estimated one-off cost per action, €</w:t>
            </w:r>
          </w:p>
        </w:tc>
      </w:tr>
      <w:tr w:rsidR="00097928" w:rsidRPr="005D21D3" w:rsidTr="00097928">
        <w:trPr>
          <w:trHeight w:val="264"/>
        </w:trPr>
        <w:tc>
          <w:tcPr>
            <w:tcW w:w="3231" w:type="dxa"/>
            <w:tcBorders>
              <w:top w:val="nil"/>
              <w:left w:val="single" w:sz="4" w:space="0" w:color="auto"/>
              <w:bottom w:val="single" w:sz="4" w:space="0" w:color="auto"/>
              <w:right w:val="single" w:sz="4" w:space="0" w:color="auto"/>
            </w:tcBorders>
            <w:shd w:val="clear" w:color="auto" w:fill="auto"/>
            <w:hideMark/>
          </w:tcPr>
          <w:p w:rsidR="00097928" w:rsidRPr="005D21D3" w:rsidRDefault="0075552A" w:rsidP="0075552A">
            <w:pPr>
              <w:spacing w:before="0" w:after="0" w:line="240" w:lineRule="auto"/>
              <w:rPr>
                <w:rFonts w:eastAsia="Times New Roman" w:cs="Arial"/>
                <w:color w:val="000000"/>
                <w:sz w:val="18"/>
                <w:szCs w:val="20"/>
                <w:lang w:val="en-US"/>
              </w:rPr>
            </w:pPr>
            <w:r>
              <w:rPr>
                <w:rFonts w:eastAsia="Times New Roman" w:cs="Arial"/>
                <w:color w:val="000000"/>
                <w:sz w:val="18"/>
                <w:szCs w:val="20"/>
                <w:lang w:val="en-US"/>
              </w:rPr>
              <w:t xml:space="preserve">Research costs </w:t>
            </w:r>
          </w:p>
        </w:tc>
        <w:tc>
          <w:tcPr>
            <w:tcW w:w="1361" w:type="dxa"/>
            <w:tcBorders>
              <w:top w:val="nil"/>
              <w:left w:val="nil"/>
              <w:bottom w:val="single" w:sz="4" w:space="0" w:color="auto"/>
              <w:right w:val="single" w:sz="4" w:space="0" w:color="auto"/>
            </w:tcBorders>
            <w:shd w:val="clear" w:color="auto" w:fill="auto"/>
            <w:hideMark/>
          </w:tcPr>
          <w:p w:rsidR="00097928" w:rsidRPr="005D21D3" w:rsidRDefault="00097928"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hideMark/>
          </w:tcPr>
          <w:p w:rsidR="00097928" w:rsidRPr="005D21D3" w:rsidRDefault="00097928"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tcPr>
          <w:p w:rsidR="00097928" w:rsidRPr="005D21D3" w:rsidRDefault="00097928" w:rsidP="00097928">
            <w:pPr>
              <w:spacing w:before="0" w:after="0" w:line="240" w:lineRule="auto"/>
              <w:jc w:val="right"/>
              <w:rPr>
                <w:rFonts w:eastAsia="Times New Roman" w:cs="Arial"/>
                <w:color w:val="000000"/>
                <w:sz w:val="18"/>
                <w:szCs w:val="20"/>
                <w:lang w:val="en-US"/>
              </w:rPr>
            </w:pPr>
          </w:p>
        </w:tc>
      </w:tr>
      <w:tr w:rsidR="00267C1E" w:rsidRPr="005D21D3" w:rsidTr="00097928">
        <w:trPr>
          <w:trHeight w:val="264"/>
        </w:trPr>
        <w:tc>
          <w:tcPr>
            <w:tcW w:w="3231" w:type="dxa"/>
            <w:tcBorders>
              <w:top w:val="nil"/>
              <w:left w:val="single" w:sz="4" w:space="0" w:color="auto"/>
              <w:bottom w:val="single" w:sz="4" w:space="0" w:color="auto"/>
              <w:right w:val="single" w:sz="4" w:space="0" w:color="auto"/>
            </w:tcBorders>
            <w:shd w:val="clear" w:color="auto" w:fill="auto"/>
            <w:hideMark/>
          </w:tcPr>
          <w:p w:rsidR="00267C1E" w:rsidRPr="005D21D3" w:rsidRDefault="00267C1E" w:rsidP="00097928">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Total cost</w:t>
            </w:r>
          </w:p>
        </w:tc>
        <w:tc>
          <w:tcPr>
            <w:tcW w:w="1361" w:type="dxa"/>
            <w:tcBorders>
              <w:top w:val="nil"/>
              <w:left w:val="nil"/>
              <w:bottom w:val="single" w:sz="4" w:space="0" w:color="auto"/>
              <w:right w:val="single" w:sz="4" w:space="0" w:color="auto"/>
            </w:tcBorders>
            <w:shd w:val="clear" w:color="auto" w:fill="auto"/>
            <w:hideMark/>
          </w:tcPr>
          <w:p w:rsidR="00267C1E" w:rsidRPr="005D21D3" w:rsidRDefault="00267C1E" w:rsidP="00097928">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hideMark/>
          </w:tcPr>
          <w:p w:rsidR="00267C1E" w:rsidRPr="005D21D3" w:rsidRDefault="00267C1E" w:rsidP="00097928">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noWrap/>
          </w:tcPr>
          <w:p w:rsidR="00267C1E" w:rsidRPr="005D21D3" w:rsidRDefault="00267C1E" w:rsidP="00097928">
            <w:pPr>
              <w:spacing w:before="0" w:after="0" w:line="240" w:lineRule="auto"/>
              <w:jc w:val="right"/>
              <w:rPr>
                <w:rFonts w:eastAsia="Times New Roman" w:cs="Arial"/>
                <w:b/>
                <w:bCs/>
                <w:color w:val="000000"/>
                <w:sz w:val="18"/>
                <w:szCs w:val="20"/>
                <w:lang w:val="en-US"/>
              </w:rPr>
            </w:pPr>
            <w:r w:rsidRPr="005D21D3">
              <w:rPr>
                <w:rFonts w:eastAsia="Times New Roman" w:cs="Arial"/>
                <w:b/>
                <w:bCs/>
                <w:color w:val="000000"/>
                <w:sz w:val="18"/>
                <w:szCs w:val="20"/>
                <w:lang w:val="en-US"/>
              </w:rPr>
              <w:t>€</w:t>
            </w:r>
            <w:r w:rsidR="0075552A">
              <w:rPr>
                <w:rFonts w:eastAsia="Times New Roman" w:cs="Arial"/>
                <w:b/>
                <w:bCs/>
                <w:color w:val="000000"/>
                <w:sz w:val="18"/>
                <w:szCs w:val="20"/>
                <w:lang w:val="en-US"/>
              </w:rPr>
              <w:t xml:space="preserve">  </w:t>
            </w:r>
          </w:p>
        </w:tc>
      </w:tr>
    </w:tbl>
    <w:p w:rsidR="009947B0" w:rsidRDefault="009947B0" w:rsidP="00B36820">
      <w:pPr>
        <w:pStyle w:val="OpsommingSymbool"/>
        <w:numPr>
          <w:ilvl w:val="0"/>
          <w:numId w:val="16"/>
        </w:numPr>
        <w:rPr>
          <w:lang w:val="en-GB"/>
        </w:rPr>
      </w:pPr>
      <w:r>
        <w:rPr>
          <w:lang w:val="en-GB"/>
        </w:rPr>
        <w:t xml:space="preserve">Alternative approach: cost of similar research programmes </w:t>
      </w:r>
    </w:p>
    <w:p w:rsidR="00C32F93" w:rsidRDefault="006620B9" w:rsidP="006620B9">
      <w:pPr>
        <w:pStyle w:val="OpsommingSymbool"/>
        <w:rPr>
          <w:lang w:val="en-GB"/>
        </w:rPr>
      </w:pPr>
      <w:r w:rsidRPr="006620B9">
        <w:rPr>
          <w:lang w:val="en-GB"/>
        </w:rPr>
        <w:t>Implementation costs for a law, regulation, …</w:t>
      </w:r>
    </w:p>
    <w:tbl>
      <w:tblPr>
        <w:tblW w:w="7685" w:type="dxa"/>
        <w:tblInd w:w="2124" w:type="dxa"/>
        <w:tblLook w:val="04A0" w:firstRow="1" w:lastRow="0" w:firstColumn="1" w:lastColumn="0" w:noHBand="0" w:noVBand="1"/>
      </w:tblPr>
      <w:tblGrid>
        <w:gridCol w:w="3231"/>
        <w:gridCol w:w="1480"/>
        <w:gridCol w:w="1500"/>
        <w:gridCol w:w="1474"/>
      </w:tblGrid>
      <w:tr w:rsidR="006620B9" w:rsidRPr="001E0C58" w:rsidTr="00B36820">
        <w:trPr>
          <w:trHeight w:val="624"/>
        </w:trPr>
        <w:tc>
          <w:tcPr>
            <w:tcW w:w="3231" w:type="dxa"/>
            <w:tcBorders>
              <w:top w:val="single" w:sz="4" w:space="0" w:color="auto"/>
              <w:left w:val="single" w:sz="4" w:space="0" w:color="auto"/>
              <w:bottom w:val="single" w:sz="4" w:space="0" w:color="auto"/>
              <w:right w:val="single" w:sz="4" w:space="0" w:color="auto"/>
            </w:tcBorders>
            <w:shd w:val="clear" w:color="000000" w:fill="D8D8D8"/>
            <w:hideMark/>
          </w:tcPr>
          <w:p w:rsidR="006620B9" w:rsidRPr="005D21D3" w:rsidRDefault="006620B9" w:rsidP="006620B9">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 xml:space="preserve">Actions required </w:t>
            </w:r>
          </w:p>
        </w:tc>
        <w:tc>
          <w:tcPr>
            <w:tcW w:w="1480" w:type="dxa"/>
            <w:tcBorders>
              <w:top w:val="single" w:sz="4" w:space="0" w:color="auto"/>
              <w:left w:val="nil"/>
              <w:bottom w:val="single" w:sz="4" w:space="0" w:color="auto"/>
              <w:right w:val="single" w:sz="4" w:space="0" w:color="auto"/>
            </w:tcBorders>
            <w:shd w:val="clear" w:color="000000" w:fill="D8D8D8"/>
            <w:hideMark/>
          </w:tcPr>
          <w:p w:rsidR="006620B9" w:rsidRPr="005D21D3" w:rsidRDefault="006620B9" w:rsidP="00CD1DFD">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 xml:space="preserve">Estimated nr of </w:t>
            </w:r>
            <w:r w:rsidR="00CD1DFD" w:rsidRPr="005D21D3">
              <w:rPr>
                <w:rFonts w:eastAsia="Times New Roman" w:cs="Arial"/>
                <w:b/>
                <w:bCs/>
                <w:color w:val="000000"/>
                <w:sz w:val="18"/>
                <w:szCs w:val="20"/>
                <w:lang w:val="en-US"/>
              </w:rPr>
              <w:t>days</w:t>
            </w:r>
          </w:p>
        </w:tc>
        <w:tc>
          <w:tcPr>
            <w:tcW w:w="1500" w:type="dxa"/>
            <w:tcBorders>
              <w:top w:val="single" w:sz="4" w:space="0" w:color="auto"/>
              <w:left w:val="nil"/>
              <w:bottom w:val="single" w:sz="4" w:space="0" w:color="auto"/>
              <w:right w:val="single" w:sz="4" w:space="0" w:color="auto"/>
            </w:tcBorders>
            <w:shd w:val="clear" w:color="000000" w:fill="D8D8D8"/>
            <w:hideMark/>
          </w:tcPr>
          <w:p w:rsidR="006620B9" w:rsidRPr="005D21D3" w:rsidRDefault="006620B9" w:rsidP="00CD1DFD">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 xml:space="preserve">Estimated rate per </w:t>
            </w:r>
            <w:r w:rsidR="00CD1DFD" w:rsidRPr="005D21D3">
              <w:rPr>
                <w:rFonts w:eastAsia="Times New Roman" w:cs="Arial"/>
                <w:b/>
                <w:bCs/>
                <w:color w:val="000000"/>
                <w:sz w:val="18"/>
                <w:szCs w:val="20"/>
                <w:lang w:val="en-US"/>
              </w:rPr>
              <w:t xml:space="preserve">day </w:t>
            </w:r>
            <w:r w:rsidRPr="005D21D3">
              <w:rPr>
                <w:rFonts w:eastAsia="Times New Roman" w:cs="Arial"/>
                <w:b/>
                <w:bCs/>
                <w:color w:val="000000"/>
                <w:sz w:val="18"/>
                <w:szCs w:val="20"/>
                <w:lang w:val="en-US"/>
              </w:rPr>
              <w:t>(€)</w:t>
            </w:r>
          </w:p>
        </w:tc>
        <w:tc>
          <w:tcPr>
            <w:tcW w:w="1474" w:type="dxa"/>
            <w:tcBorders>
              <w:top w:val="single" w:sz="4" w:space="0" w:color="auto"/>
              <w:left w:val="nil"/>
              <w:bottom w:val="single" w:sz="4" w:space="0" w:color="auto"/>
              <w:right w:val="single" w:sz="4" w:space="0" w:color="auto"/>
            </w:tcBorders>
            <w:shd w:val="clear" w:color="000000" w:fill="D8D8D8"/>
            <w:hideMark/>
          </w:tcPr>
          <w:p w:rsidR="006620B9" w:rsidRPr="005D21D3" w:rsidRDefault="006620B9" w:rsidP="006620B9">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Estimated one-off cost per action, €</w:t>
            </w:r>
          </w:p>
        </w:tc>
      </w:tr>
      <w:tr w:rsidR="006620B9" w:rsidRPr="005D21D3" w:rsidTr="00B36820">
        <w:trPr>
          <w:trHeight w:val="276"/>
        </w:trPr>
        <w:tc>
          <w:tcPr>
            <w:tcW w:w="3231" w:type="dxa"/>
            <w:tcBorders>
              <w:top w:val="nil"/>
              <w:left w:val="single" w:sz="4" w:space="0" w:color="auto"/>
              <w:bottom w:val="single" w:sz="4" w:space="0" w:color="auto"/>
              <w:right w:val="single" w:sz="4" w:space="0" w:color="auto"/>
            </w:tcBorders>
            <w:shd w:val="clear" w:color="auto" w:fill="auto"/>
            <w:hideMark/>
          </w:tcPr>
          <w:p w:rsidR="006620B9" w:rsidRPr="005D21D3" w:rsidRDefault="00CD1DFD" w:rsidP="00CD1DFD">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Preparation (</w:t>
            </w:r>
            <w:proofErr w:type="spellStart"/>
            <w:r w:rsidR="006620B9" w:rsidRPr="005D21D3">
              <w:rPr>
                <w:rFonts w:eastAsia="Times New Roman" w:cs="Arial"/>
                <w:color w:val="000000"/>
                <w:sz w:val="18"/>
                <w:szCs w:val="20"/>
                <w:lang w:val="en-US"/>
              </w:rPr>
              <w:t>Planning,</w:t>
            </w:r>
            <w:r w:rsidRPr="005D21D3">
              <w:rPr>
                <w:rFonts w:eastAsia="Times New Roman" w:cs="Arial"/>
                <w:color w:val="000000"/>
                <w:sz w:val="18"/>
                <w:szCs w:val="20"/>
                <w:lang w:val="en-US"/>
              </w:rPr>
              <w:t>writing</w:t>
            </w:r>
            <w:proofErr w:type="spellEnd"/>
            <w:r w:rsidRPr="005D21D3">
              <w:rPr>
                <w:rFonts w:eastAsia="Times New Roman" w:cs="Arial"/>
                <w:color w:val="000000"/>
                <w:sz w:val="18"/>
                <w:szCs w:val="20"/>
                <w:lang w:val="en-US"/>
              </w:rPr>
              <w:t>)</w:t>
            </w:r>
            <w:r w:rsidR="006620B9" w:rsidRPr="005D21D3">
              <w:rPr>
                <w:rFonts w:eastAsia="Times New Roman" w:cs="Arial"/>
                <w:color w:val="000000"/>
                <w:sz w:val="18"/>
                <w:szCs w:val="20"/>
                <w:lang w:val="en-US"/>
              </w:rPr>
              <w:t xml:space="preserve"> </w:t>
            </w:r>
          </w:p>
        </w:tc>
        <w:tc>
          <w:tcPr>
            <w:tcW w:w="1480" w:type="dxa"/>
            <w:tcBorders>
              <w:top w:val="nil"/>
              <w:left w:val="nil"/>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500" w:type="dxa"/>
            <w:tcBorders>
              <w:top w:val="nil"/>
              <w:left w:val="nil"/>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tcPr>
          <w:p w:rsidR="006620B9" w:rsidRPr="005D21D3" w:rsidRDefault="006620B9" w:rsidP="006620B9">
            <w:pPr>
              <w:spacing w:before="0" w:after="0" w:line="240" w:lineRule="auto"/>
              <w:jc w:val="right"/>
              <w:rPr>
                <w:rFonts w:eastAsia="Times New Roman" w:cs="Arial"/>
                <w:color w:val="000000"/>
                <w:sz w:val="18"/>
                <w:szCs w:val="20"/>
                <w:lang w:val="en-US"/>
              </w:rPr>
            </w:pPr>
          </w:p>
        </w:tc>
      </w:tr>
      <w:tr w:rsidR="006620B9" w:rsidRPr="005D21D3" w:rsidTr="00B36820">
        <w:trPr>
          <w:trHeight w:val="276"/>
        </w:trPr>
        <w:tc>
          <w:tcPr>
            <w:tcW w:w="3231" w:type="dxa"/>
            <w:tcBorders>
              <w:top w:val="nil"/>
              <w:left w:val="single" w:sz="4" w:space="0" w:color="auto"/>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xml:space="preserve">Consultation, </w:t>
            </w:r>
            <w:r w:rsidR="00CD1DFD" w:rsidRPr="005D21D3">
              <w:rPr>
                <w:rFonts w:eastAsia="Times New Roman" w:cs="Arial"/>
                <w:color w:val="000000"/>
                <w:sz w:val="18"/>
                <w:szCs w:val="20"/>
                <w:lang w:val="en-US"/>
              </w:rPr>
              <w:t>Dealing with objections,</w:t>
            </w:r>
          </w:p>
        </w:tc>
        <w:tc>
          <w:tcPr>
            <w:tcW w:w="1480" w:type="dxa"/>
            <w:tcBorders>
              <w:top w:val="nil"/>
              <w:left w:val="nil"/>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500" w:type="dxa"/>
            <w:tcBorders>
              <w:top w:val="nil"/>
              <w:left w:val="nil"/>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tcPr>
          <w:p w:rsidR="006620B9" w:rsidRPr="005D21D3" w:rsidRDefault="006620B9" w:rsidP="006620B9">
            <w:pPr>
              <w:spacing w:before="0" w:after="0" w:line="240" w:lineRule="auto"/>
              <w:jc w:val="right"/>
              <w:rPr>
                <w:rFonts w:eastAsia="Times New Roman" w:cs="Arial"/>
                <w:color w:val="000000"/>
                <w:sz w:val="18"/>
                <w:szCs w:val="20"/>
                <w:lang w:val="en-US"/>
              </w:rPr>
            </w:pPr>
          </w:p>
        </w:tc>
      </w:tr>
      <w:tr w:rsidR="006620B9" w:rsidRPr="001E0C58" w:rsidTr="00B36820">
        <w:trPr>
          <w:trHeight w:val="276"/>
        </w:trPr>
        <w:tc>
          <w:tcPr>
            <w:tcW w:w="3231" w:type="dxa"/>
            <w:tcBorders>
              <w:top w:val="nil"/>
              <w:left w:val="single" w:sz="4" w:space="0" w:color="auto"/>
              <w:bottom w:val="single" w:sz="4" w:space="0" w:color="auto"/>
              <w:right w:val="single" w:sz="4" w:space="0" w:color="auto"/>
            </w:tcBorders>
            <w:shd w:val="clear" w:color="auto" w:fill="auto"/>
            <w:hideMark/>
          </w:tcPr>
          <w:p w:rsidR="006620B9" w:rsidRPr="005D21D3" w:rsidRDefault="00CD1DFD" w:rsidP="00CD1DFD">
            <w:pPr>
              <w:spacing w:before="0" w:after="0" w:line="240" w:lineRule="auto"/>
              <w:rPr>
                <w:rFonts w:eastAsia="Times New Roman" w:cs="Arial"/>
                <w:color w:val="000000"/>
                <w:sz w:val="18"/>
                <w:szCs w:val="20"/>
                <w:lang w:val="en-US"/>
              </w:rPr>
            </w:pPr>
            <w:proofErr w:type="spellStart"/>
            <w:r w:rsidRPr="005D21D3">
              <w:rPr>
                <w:rFonts w:eastAsia="Times New Roman" w:cs="Arial"/>
                <w:color w:val="000000"/>
                <w:sz w:val="18"/>
                <w:szCs w:val="20"/>
                <w:lang w:val="en-US"/>
              </w:rPr>
              <w:t>Finalisation</w:t>
            </w:r>
            <w:proofErr w:type="spellEnd"/>
            <w:r w:rsidRPr="005D21D3">
              <w:rPr>
                <w:rFonts w:eastAsia="Times New Roman" w:cs="Arial"/>
                <w:color w:val="000000"/>
                <w:sz w:val="18"/>
                <w:szCs w:val="20"/>
                <w:lang w:val="en-US"/>
              </w:rPr>
              <w:t xml:space="preserve"> (</w:t>
            </w:r>
            <w:r w:rsidR="006620B9" w:rsidRPr="005D21D3">
              <w:rPr>
                <w:rFonts w:eastAsia="Times New Roman" w:cs="Arial"/>
                <w:color w:val="000000"/>
                <w:sz w:val="18"/>
                <w:szCs w:val="20"/>
                <w:lang w:val="en-US"/>
              </w:rPr>
              <w:t xml:space="preserve">Approval and sign-off, </w:t>
            </w:r>
            <w:r w:rsidRPr="005D21D3">
              <w:rPr>
                <w:rFonts w:eastAsia="Times New Roman" w:cs="Arial"/>
                <w:color w:val="000000"/>
                <w:sz w:val="18"/>
                <w:szCs w:val="20"/>
                <w:lang w:val="en-US"/>
              </w:rPr>
              <w:t>advertising</w:t>
            </w:r>
            <w:r w:rsidR="005D21D3" w:rsidRPr="005D21D3">
              <w:rPr>
                <w:rFonts w:eastAsia="Times New Roman" w:cs="Arial"/>
                <w:color w:val="000000"/>
                <w:sz w:val="18"/>
                <w:szCs w:val="20"/>
                <w:lang w:val="en-US"/>
              </w:rPr>
              <w:t>)</w:t>
            </w:r>
          </w:p>
        </w:tc>
        <w:tc>
          <w:tcPr>
            <w:tcW w:w="1480" w:type="dxa"/>
            <w:tcBorders>
              <w:top w:val="nil"/>
              <w:left w:val="nil"/>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500" w:type="dxa"/>
            <w:tcBorders>
              <w:top w:val="nil"/>
              <w:left w:val="nil"/>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tcPr>
          <w:p w:rsidR="006620B9" w:rsidRPr="005D21D3" w:rsidRDefault="006620B9" w:rsidP="006620B9">
            <w:pPr>
              <w:spacing w:before="0" w:after="0" w:line="240" w:lineRule="auto"/>
              <w:jc w:val="right"/>
              <w:rPr>
                <w:rFonts w:eastAsia="Times New Roman" w:cs="Arial"/>
                <w:color w:val="000000"/>
                <w:sz w:val="18"/>
                <w:szCs w:val="20"/>
                <w:lang w:val="en-US"/>
              </w:rPr>
            </w:pPr>
          </w:p>
        </w:tc>
      </w:tr>
      <w:tr w:rsidR="006620B9" w:rsidRPr="005D21D3" w:rsidTr="00B36820">
        <w:trPr>
          <w:trHeight w:val="276"/>
        </w:trPr>
        <w:tc>
          <w:tcPr>
            <w:tcW w:w="3231" w:type="dxa"/>
            <w:tcBorders>
              <w:top w:val="nil"/>
              <w:left w:val="single" w:sz="4" w:space="0" w:color="auto"/>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Total implementation cost</w:t>
            </w:r>
          </w:p>
        </w:tc>
        <w:tc>
          <w:tcPr>
            <w:tcW w:w="1480" w:type="dxa"/>
            <w:tcBorders>
              <w:top w:val="nil"/>
              <w:left w:val="nil"/>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 </w:t>
            </w:r>
          </w:p>
        </w:tc>
        <w:tc>
          <w:tcPr>
            <w:tcW w:w="1500" w:type="dxa"/>
            <w:tcBorders>
              <w:top w:val="nil"/>
              <w:left w:val="nil"/>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noWrap/>
          </w:tcPr>
          <w:p w:rsidR="006620B9" w:rsidRPr="005D21D3" w:rsidRDefault="006620B9" w:rsidP="006620B9">
            <w:pPr>
              <w:spacing w:before="0" w:after="0" w:line="240" w:lineRule="auto"/>
              <w:jc w:val="right"/>
              <w:rPr>
                <w:rFonts w:eastAsia="Times New Roman" w:cs="Arial"/>
                <w:b/>
                <w:bCs/>
                <w:color w:val="000000"/>
                <w:sz w:val="18"/>
                <w:szCs w:val="20"/>
                <w:lang w:val="en-US"/>
              </w:rPr>
            </w:pPr>
          </w:p>
        </w:tc>
      </w:tr>
    </w:tbl>
    <w:p w:rsidR="007A7283" w:rsidRDefault="007A7283" w:rsidP="007A7283">
      <w:pPr>
        <w:pStyle w:val="OpsommingSymbool"/>
        <w:numPr>
          <w:ilvl w:val="0"/>
          <w:numId w:val="0"/>
        </w:numPr>
        <w:ind w:left="1985"/>
        <w:rPr>
          <w:lang w:val="en-GB"/>
        </w:rPr>
      </w:pPr>
    </w:p>
    <w:p w:rsidR="007A7283" w:rsidRDefault="007A7283" w:rsidP="007A7283">
      <w:pPr>
        <w:rPr>
          <w:lang w:val="en-GB"/>
        </w:rPr>
      </w:pPr>
      <w:r>
        <w:rPr>
          <w:lang w:val="en-GB"/>
        </w:rPr>
        <w:br w:type="page"/>
      </w:r>
    </w:p>
    <w:p w:rsidR="00097928" w:rsidRDefault="00097928" w:rsidP="00097928">
      <w:pPr>
        <w:pStyle w:val="OpsommingSymbool"/>
        <w:rPr>
          <w:lang w:val="en-GB"/>
        </w:rPr>
      </w:pPr>
      <w:r>
        <w:rPr>
          <w:lang w:val="en-GB"/>
        </w:rPr>
        <w:lastRenderedPageBreak/>
        <w:t xml:space="preserve">Management </w:t>
      </w:r>
      <w:r w:rsidRPr="006620B9">
        <w:rPr>
          <w:lang w:val="en-GB"/>
        </w:rPr>
        <w:t>costs</w:t>
      </w:r>
    </w:p>
    <w:tbl>
      <w:tblPr>
        <w:tblW w:w="7742" w:type="dxa"/>
        <w:tblInd w:w="2124" w:type="dxa"/>
        <w:tblLook w:val="04A0" w:firstRow="1" w:lastRow="0" w:firstColumn="1" w:lastColumn="0" w:noHBand="0" w:noVBand="1"/>
      </w:tblPr>
      <w:tblGrid>
        <w:gridCol w:w="3231"/>
        <w:gridCol w:w="1480"/>
        <w:gridCol w:w="1500"/>
        <w:gridCol w:w="1531"/>
      </w:tblGrid>
      <w:tr w:rsidR="00097928" w:rsidRPr="005D21D3" w:rsidTr="00B36820">
        <w:trPr>
          <w:trHeight w:val="528"/>
        </w:trPr>
        <w:tc>
          <w:tcPr>
            <w:tcW w:w="3231" w:type="dxa"/>
            <w:tcBorders>
              <w:top w:val="single" w:sz="4" w:space="0" w:color="auto"/>
              <w:left w:val="single" w:sz="4" w:space="0" w:color="auto"/>
              <w:bottom w:val="single" w:sz="4" w:space="0" w:color="auto"/>
              <w:right w:val="single" w:sz="4" w:space="0" w:color="auto"/>
            </w:tcBorders>
            <w:shd w:val="clear" w:color="000000" w:fill="D8D8D8"/>
            <w:hideMark/>
          </w:tcPr>
          <w:p w:rsidR="00097928" w:rsidRPr="005D21D3" w:rsidRDefault="00097928" w:rsidP="00097928">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Actions required</w:t>
            </w:r>
          </w:p>
        </w:tc>
        <w:tc>
          <w:tcPr>
            <w:tcW w:w="1480" w:type="dxa"/>
            <w:tcBorders>
              <w:top w:val="single" w:sz="4" w:space="0" w:color="auto"/>
              <w:left w:val="nil"/>
              <w:bottom w:val="single" w:sz="4" w:space="0" w:color="auto"/>
              <w:right w:val="single" w:sz="4" w:space="0" w:color="auto"/>
            </w:tcBorders>
            <w:shd w:val="clear" w:color="000000" w:fill="D8D8D8"/>
            <w:hideMark/>
          </w:tcPr>
          <w:p w:rsidR="00097928" w:rsidRPr="005D21D3" w:rsidRDefault="00097928" w:rsidP="00097928">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Estimated nr of days/</w:t>
            </w:r>
            <w:proofErr w:type="spellStart"/>
            <w:r w:rsidRPr="005D21D3">
              <w:rPr>
                <w:rFonts w:eastAsia="Times New Roman" w:cs="Arial"/>
                <w:b/>
                <w:bCs/>
                <w:color w:val="000000"/>
                <w:sz w:val="18"/>
                <w:szCs w:val="20"/>
                <w:lang w:val="en-US"/>
              </w:rPr>
              <w:t>yr</w:t>
            </w:r>
            <w:proofErr w:type="spellEnd"/>
          </w:p>
        </w:tc>
        <w:tc>
          <w:tcPr>
            <w:tcW w:w="1500" w:type="dxa"/>
            <w:tcBorders>
              <w:top w:val="single" w:sz="4" w:space="0" w:color="auto"/>
              <w:left w:val="nil"/>
              <w:bottom w:val="single" w:sz="4" w:space="0" w:color="auto"/>
              <w:right w:val="single" w:sz="4" w:space="0" w:color="auto"/>
            </w:tcBorders>
            <w:shd w:val="clear" w:color="000000" w:fill="D8D8D8"/>
            <w:hideMark/>
          </w:tcPr>
          <w:p w:rsidR="00097928" w:rsidRPr="005D21D3" w:rsidRDefault="00097928" w:rsidP="00097928">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Estimated rate per day (€)</w:t>
            </w:r>
          </w:p>
        </w:tc>
        <w:tc>
          <w:tcPr>
            <w:tcW w:w="1531" w:type="dxa"/>
            <w:tcBorders>
              <w:top w:val="single" w:sz="4" w:space="0" w:color="auto"/>
              <w:left w:val="nil"/>
              <w:bottom w:val="single" w:sz="4" w:space="0" w:color="auto"/>
              <w:right w:val="single" w:sz="4" w:space="0" w:color="auto"/>
            </w:tcBorders>
            <w:shd w:val="clear" w:color="000000" w:fill="D8D8D8"/>
            <w:hideMark/>
          </w:tcPr>
          <w:p w:rsidR="00097928" w:rsidRPr="005D21D3" w:rsidRDefault="00097928" w:rsidP="00097928">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Estimated cost per year €</w:t>
            </w:r>
          </w:p>
        </w:tc>
      </w:tr>
      <w:tr w:rsidR="00097928" w:rsidRPr="001E0C58" w:rsidTr="00B36820">
        <w:trPr>
          <w:trHeight w:val="264"/>
        </w:trPr>
        <w:tc>
          <w:tcPr>
            <w:tcW w:w="3231" w:type="dxa"/>
            <w:tcBorders>
              <w:top w:val="nil"/>
              <w:left w:val="single" w:sz="4" w:space="0" w:color="auto"/>
              <w:bottom w:val="single" w:sz="4" w:space="0" w:color="auto"/>
              <w:right w:val="single" w:sz="4" w:space="0" w:color="auto"/>
            </w:tcBorders>
            <w:shd w:val="clear" w:color="auto" w:fill="auto"/>
            <w:hideMark/>
          </w:tcPr>
          <w:p w:rsidR="00097928" w:rsidRPr="005D21D3" w:rsidRDefault="00097928"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Staff time (preparation, follow up)</w:t>
            </w:r>
          </w:p>
        </w:tc>
        <w:tc>
          <w:tcPr>
            <w:tcW w:w="1480" w:type="dxa"/>
            <w:tcBorders>
              <w:top w:val="nil"/>
              <w:left w:val="nil"/>
              <w:bottom w:val="single" w:sz="4" w:space="0" w:color="auto"/>
              <w:right w:val="single" w:sz="4" w:space="0" w:color="auto"/>
            </w:tcBorders>
            <w:shd w:val="clear" w:color="auto" w:fill="auto"/>
            <w:hideMark/>
          </w:tcPr>
          <w:p w:rsidR="00097928" w:rsidRPr="005D21D3" w:rsidRDefault="00097928"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500" w:type="dxa"/>
            <w:tcBorders>
              <w:top w:val="nil"/>
              <w:left w:val="nil"/>
              <w:bottom w:val="single" w:sz="4" w:space="0" w:color="auto"/>
              <w:right w:val="single" w:sz="4" w:space="0" w:color="auto"/>
            </w:tcBorders>
            <w:shd w:val="clear" w:color="auto" w:fill="auto"/>
            <w:hideMark/>
          </w:tcPr>
          <w:p w:rsidR="00097928" w:rsidRPr="005D21D3" w:rsidRDefault="00097928"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531" w:type="dxa"/>
            <w:tcBorders>
              <w:top w:val="nil"/>
              <w:left w:val="nil"/>
              <w:bottom w:val="single" w:sz="4" w:space="0" w:color="auto"/>
              <w:right w:val="single" w:sz="4" w:space="0" w:color="auto"/>
            </w:tcBorders>
            <w:shd w:val="clear" w:color="auto" w:fill="auto"/>
          </w:tcPr>
          <w:p w:rsidR="00097928" w:rsidRPr="005D21D3" w:rsidRDefault="00097928" w:rsidP="00097928">
            <w:pPr>
              <w:spacing w:before="0" w:after="0" w:line="240" w:lineRule="auto"/>
              <w:jc w:val="right"/>
              <w:rPr>
                <w:rFonts w:eastAsia="Times New Roman" w:cs="Arial"/>
                <w:color w:val="000000"/>
                <w:sz w:val="18"/>
                <w:szCs w:val="20"/>
                <w:lang w:val="en-US"/>
              </w:rPr>
            </w:pPr>
          </w:p>
        </w:tc>
      </w:tr>
      <w:tr w:rsidR="0075552A" w:rsidRPr="005D21D3" w:rsidTr="00B36820">
        <w:trPr>
          <w:trHeight w:val="264"/>
        </w:trPr>
        <w:tc>
          <w:tcPr>
            <w:tcW w:w="3231" w:type="dxa"/>
            <w:tcBorders>
              <w:top w:val="nil"/>
              <w:left w:val="single" w:sz="4" w:space="0" w:color="auto"/>
              <w:bottom w:val="single" w:sz="4" w:space="0" w:color="auto"/>
              <w:right w:val="single" w:sz="4" w:space="0" w:color="auto"/>
            </w:tcBorders>
            <w:shd w:val="clear" w:color="auto" w:fill="auto"/>
            <w:hideMark/>
          </w:tcPr>
          <w:p w:rsidR="0075552A" w:rsidRPr="005D21D3" w:rsidRDefault="0075552A" w:rsidP="0075552A">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Meetings with neighboring MS</w:t>
            </w:r>
          </w:p>
        </w:tc>
        <w:tc>
          <w:tcPr>
            <w:tcW w:w="1480" w:type="dxa"/>
            <w:tcBorders>
              <w:top w:val="nil"/>
              <w:left w:val="nil"/>
              <w:bottom w:val="single" w:sz="4" w:space="0" w:color="auto"/>
              <w:right w:val="single" w:sz="4" w:space="0" w:color="auto"/>
            </w:tcBorders>
            <w:shd w:val="clear" w:color="auto" w:fill="auto"/>
            <w:hideMark/>
          </w:tcPr>
          <w:p w:rsidR="0075552A" w:rsidRPr="005D21D3" w:rsidRDefault="0075552A"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500" w:type="dxa"/>
            <w:tcBorders>
              <w:top w:val="nil"/>
              <w:left w:val="nil"/>
              <w:bottom w:val="single" w:sz="4" w:space="0" w:color="auto"/>
              <w:right w:val="single" w:sz="4" w:space="0" w:color="auto"/>
            </w:tcBorders>
            <w:shd w:val="clear" w:color="auto" w:fill="auto"/>
            <w:hideMark/>
          </w:tcPr>
          <w:p w:rsidR="0075552A" w:rsidRPr="005D21D3" w:rsidRDefault="0075552A"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531" w:type="dxa"/>
            <w:tcBorders>
              <w:top w:val="nil"/>
              <w:left w:val="nil"/>
              <w:bottom w:val="single" w:sz="4" w:space="0" w:color="auto"/>
              <w:right w:val="single" w:sz="4" w:space="0" w:color="auto"/>
            </w:tcBorders>
            <w:shd w:val="clear" w:color="auto" w:fill="auto"/>
          </w:tcPr>
          <w:p w:rsidR="0075552A" w:rsidRPr="005D21D3" w:rsidRDefault="0075552A" w:rsidP="00097928">
            <w:pPr>
              <w:spacing w:before="0" w:after="0" w:line="240" w:lineRule="auto"/>
              <w:jc w:val="right"/>
              <w:rPr>
                <w:rFonts w:eastAsia="Times New Roman" w:cs="Arial"/>
                <w:color w:val="000000"/>
                <w:sz w:val="18"/>
                <w:szCs w:val="20"/>
                <w:lang w:val="en-US"/>
              </w:rPr>
            </w:pPr>
          </w:p>
        </w:tc>
      </w:tr>
      <w:tr w:rsidR="0075552A" w:rsidRPr="005D21D3" w:rsidTr="00B36820">
        <w:trPr>
          <w:trHeight w:val="264"/>
        </w:trPr>
        <w:tc>
          <w:tcPr>
            <w:tcW w:w="3231" w:type="dxa"/>
            <w:tcBorders>
              <w:top w:val="nil"/>
              <w:left w:val="single" w:sz="4" w:space="0" w:color="auto"/>
              <w:bottom w:val="single" w:sz="4" w:space="0" w:color="auto"/>
              <w:right w:val="single" w:sz="4" w:space="0" w:color="auto"/>
            </w:tcBorders>
            <w:shd w:val="clear" w:color="auto" w:fill="auto"/>
            <w:hideMark/>
          </w:tcPr>
          <w:p w:rsidR="0075552A" w:rsidRPr="005D21D3" w:rsidRDefault="0075552A" w:rsidP="0075552A">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Travel &amp; other costs</w:t>
            </w:r>
          </w:p>
        </w:tc>
        <w:tc>
          <w:tcPr>
            <w:tcW w:w="1480" w:type="dxa"/>
            <w:tcBorders>
              <w:top w:val="nil"/>
              <w:left w:val="nil"/>
              <w:bottom w:val="single" w:sz="4" w:space="0" w:color="auto"/>
              <w:right w:val="single" w:sz="4" w:space="0" w:color="auto"/>
            </w:tcBorders>
            <w:shd w:val="clear" w:color="auto" w:fill="auto"/>
            <w:hideMark/>
          </w:tcPr>
          <w:p w:rsidR="0075552A" w:rsidRPr="005D21D3" w:rsidRDefault="0075552A"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500" w:type="dxa"/>
            <w:tcBorders>
              <w:top w:val="nil"/>
              <w:left w:val="nil"/>
              <w:bottom w:val="single" w:sz="4" w:space="0" w:color="auto"/>
              <w:right w:val="single" w:sz="4" w:space="0" w:color="auto"/>
            </w:tcBorders>
            <w:shd w:val="clear" w:color="auto" w:fill="auto"/>
            <w:hideMark/>
          </w:tcPr>
          <w:p w:rsidR="0075552A" w:rsidRPr="005D21D3" w:rsidRDefault="0075552A"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531" w:type="dxa"/>
            <w:tcBorders>
              <w:top w:val="nil"/>
              <w:left w:val="nil"/>
              <w:bottom w:val="single" w:sz="4" w:space="0" w:color="auto"/>
              <w:right w:val="single" w:sz="4" w:space="0" w:color="auto"/>
            </w:tcBorders>
            <w:shd w:val="clear" w:color="auto" w:fill="auto"/>
          </w:tcPr>
          <w:p w:rsidR="0075552A" w:rsidRPr="005D21D3" w:rsidRDefault="0075552A" w:rsidP="00097928">
            <w:pPr>
              <w:spacing w:before="0" w:after="0" w:line="240" w:lineRule="auto"/>
              <w:jc w:val="right"/>
              <w:rPr>
                <w:rFonts w:eastAsia="Times New Roman" w:cs="Arial"/>
                <w:color w:val="000000"/>
                <w:sz w:val="18"/>
                <w:szCs w:val="20"/>
                <w:lang w:val="en-US"/>
              </w:rPr>
            </w:pPr>
          </w:p>
        </w:tc>
      </w:tr>
      <w:tr w:rsidR="00097928" w:rsidRPr="005D21D3" w:rsidTr="00B36820">
        <w:trPr>
          <w:trHeight w:val="264"/>
        </w:trPr>
        <w:tc>
          <w:tcPr>
            <w:tcW w:w="3231" w:type="dxa"/>
            <w:tcBorders>
              <w:top w:val="nil"/>
              <w:left w:val="single" w:sz="4" w:space="0" w:color="auto"/>
              <w:bottom w:val="single" w:sz="4" w:space="0" w:color="auto"/>
              <w:right w:val="single" w:sz="4" w:space="0" w:color="auto"/>
            </w:tcBorders>
            <w:shd w:val="clear" w:color="auto" w:fill="auto"/>
            <w:hideMark/>
          </w:tcPr>
          <w:p w:rsidR="00097928" w:rsidRPr="005D21D3" w:rsidRDefault="00097928" w:rsidP="00097928">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 xml:space="preserve">Total estimate: </w:t>
            </w:r>
          </w:p>
        </w:tc>
        <w:tc>
          <w:tcPr>
            <w:tcW w:w="1480" w:type="dxa"/>
            <w:tcBorders>
              <w:top w:val="nil"/>
              <w:left w:val="nil"/>
              <w:bottom w:val="single" w:sz="4" w:space="0" w:color="auto"/>
              <w:right w:val="single" w:sz="4" w:space="0" w:color="auto"/>
            </w:tcBorders>
            <w:shd w:val="clear" w:color="auto" w:fill="auto"/>
            <w:hideMark/>
          </w:tcPr>
          <w:p w:rsidR="00097928" w:rsidRPr="005D21D3" w:rsidRDefault="00097928" w:rsidP="00097928">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 </w:t>
            </w:r>
          </w:p>
        </w:tc>
        <w:tc>
          <w:tcPr>
            <w:tcW w:w="1500" w:type="dxa"/>
            <w:tcBorders>
              <w:top w:val="nil"/>
              <w:left w:val="nil"/>
              <w:bottom w:val="single" w:sz="4" w:space="0" w:color="auto"/>
              <w:right w:val="single" w:sz="4" w:space="0" w:color="auto"/>
            </w:tcBorders>
            <w:shd w:val="clear" w:color="auto" w:fill="auto"/>
            <w:hideMark/>
          </w:tcPr>
          <w:p w:rsidR="00097928" w:rsidRPr="005D21D3" w:rsidRDefault="00097928" w:rsidP="00097928">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 </w:t>
            </w:r>
          </w:p>
        </w:tc>
        <w:tc>
          <w:tcPr>
            <w:tcW w:w="1531" w:type="dxa"/>
            <w:tcBorders>
              <w:top w:val="nil"/>
              <w:left w:val="nil"/>
              <w:bottom w:val="single" w:sz="4" w:space="0" w:color="auto"/>
              <w:right w:val="single" w:sz="4" w:space="0" w:color="auto"/>
            </w:tcBorders>
            <w:shd w:val="clear" w:color="auto" w:fill="auto"/>
            <w:noWrap/>
            <w:hideMark/>
          </w:tcPr>
          <w:p w:rsidR="00097928" w:rsidRPr="005D21D3" w:rsidRDefault="00097928" w:rsidP="00097928">
            <w:pPr>
              <w:spacing w:before="0" w:after="0" w:line="240" w:lineRule="auto"/>
              <w:jc w:val="right"/>
              <w:rPr>
                <w:rFonts w:eastAsia="Times New Roman" w:cs="Arial"/>
                <w:b/>
                <w:bCs/>
                <w:color w:val="000000"/>
                <w:sz w:val="18"/>
                <w:szCs w:val="20"/>
                <w:lang w:val="en-US"/>
              </w:rPr>
            </w:pPr>
            <w:r w:rsidRPr="005D21D3">
              <w:rPr>
                <w:rFonts w:eastAsia="Times New Roman" w:cs="Arial"/>
                <w:b/>
                <w:bCs/>
                <w:color w:val="000000"/>
                <w:sz w:val="18"/>
                <w:szCs w:val="20"/>
                <w:lang w:val="en-US"/>
              </w:rPr>
              <w:t>€</w:t>
            </w:r>
            <w:r w:rsidR="0075552A">
              <w:rPr>
                <w:rFonts w:eastAsia="Times New Roman" w:cs="Arial"/>
                <w:b/>
                <w:bCs/>
                <w:color w:val="000000"/>
                <w:sz w:val="18"/>
                <w:szCs w:val="20"/>
                <w:lang w:val="en-US"/>
              </w:rPr>
              <w:t xml:space="preserve">   </w:t>
            </w:r>
            <w:r w:rsidRPr="005D21D3">
              <w:rPr>
                <w:rFonts w:eastAsia="Times New Roman" w:cs="Arial"/>
                <w:b/>
                <w:bCs/>
                <w:color w:val="000000"/>
                <w:sz w:val="18"/>
                <w:szCs w:val="20"/>
                <w:lang w:val="en-US"/>
              </w:rPr>
              <w:t xml:space="preserve">- </w:t>
            </w:r>
          </w:p>
        </w:tc>
      </w:tr>
    </w:tbl>
    <w:p w:rsidR="00097928" w:rsidRDefault="00097928" w:rsidP="00097928">
      <w:pPr>
        <w:pStyle w:val="OpsommingSymbool"/>
        <w:rPr>
          <w:lang w:val="en-GB"/>
        </w:rPr>
      </w:pPr>
      <w:r w:rsidRPr="006620B9">
        <w:rPr>
          <w:lang w:val="en-GB"/>
        </w:rPr>
        <w:t>Enforcement costs</w:t>
      </w:r>
    </w:p>
    <w:tbl>
      <w:tblPr>
        <w:tblW w:w="7742" w:type="dxa"/>
        <w:tblInd w:w="2124" w:type="dxa"/>
        <w:tblLook w:val="04A0" w:firstRow="1" w:lastRow="0" w:firstColumn="1" w:lastColumn="0" w:noHBand="0" w:noVBand="1"/>
      </w:tblPr>
      <w:tblGrid>
        <w:gridCol w:w="3231"/>
        <w:gridCol w:w="1480"/>
        <w:gridCol w:w="1500"/>
        <w:gridCol w:w="1531"/>
      </w:tblGrid>
      <w:tr w:rsidR="00097928" w:rsidRPr="005D21D3" w:rsidTr="00B36820">
        <w:trPr>
          <w:trHeight w:val="624"/>
        </w:trPr>
        <w:tc>
          <w:tcPr>
            <w:tcW w:w="3231" w:type="dxa"/>
            <w:tcBorders>
              <w:top w:val="single" w:sz="4" w:space="0" w:color="auto"/>
              <w:left w:val="single" w:sz="4" w:space="0" w:color="auto"/>
              <w:bottom w:val="single" w:sz="4" w:space="0" w:color="auto"/>
              <w:right w:val="single" w:sz="4" w:space="0" w:color="auto"/>
            </w:tcBorders>
            <w:shd w:val="clear" w:color="000000" w:fill="D8D8D8"/>
            <w:hideMark/>
          </w:tcPr>
          <w:p w:rsidR="00097928" w:rsidRPr="005D21D3" w:rsidRDefault="00097928" w:rsidP="00097928">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Actions required</w:t>
            </w:r>
          </w:p>
        </w:tc>
        <w:tc>
          <w:tcPr>
            <w:tcW w:w="1480" w:type="dxa"/>
            <w:tcBorders>
              <w:top w:val="single" w:sz="4" w:space="0" w:color="auto"/>
              <w:left w:val="nil"/>
              <w:bottom w:val="single" w:sz="4" w:space="0" w:color="auto"/>
              <w:right w:val="single" w:sz="4" w:space="0" w:color="auto"/>
            </w:tcBorders>
            <w:shd w:val="clear" w:color="000000" w:fill="D8D8D8"/>
            <w:hideMark/>
          </w:tcPr>
          <w:p w:rsidR="00097928" w:rsidRPr="005D21D3" w:rsidRDefault="00097928" w:rsidP="00097928">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Estimated nr of controls/</w:t>
            </w:r>
            <w:proofErr w:type="spellStart"/>
            <w:r w:rsidRPr="005D21D3">
              <w:rPr>
                <w:rFonts w:eastAsia="Times New Roman" w:cs="Arial"/>
                <w:b/>
                <w:bCs/>
                <w:color w:val="000000"/>
                <w:sz w:val="18"/>
                <w:szCs w:val="20"/>
                <w:lang w:val="en-US"/>
              </w:rPr>
              <w:t>yr</w:t>
            </w:r>
            <w:proofErr w:type="spellEnd"/>
          </w:p>
        </w:tc>
        <w:tc>
          <w:tcPr>
            <w:tcW w:w="1500" w:type="dxa"/>
            <w:tcBorders>
              <w:top w:val="single" w:sz="4" w:space="0" w:color="auto"/>
              <w:left w:val="nil"/>
              <w:bottom w:val="single" w:sz="4" w:space="0" w:color="auto"/>
              <w:right w:val="single" w:sz="4" w:space="0" w:color="auto"/>
            </w:tcBorders>
            <w:shd w:val="clear" w:color="000000" w:fill="D8D8D8"/>
            <w:hideMark/>
          </w:tcPr>
          <w:p w:rsidR="00097928" w:rsidRPr="005D21D3" w:rsidRDefault="00097928" w:rsidP="00097928">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Estimated cost per control (€)</w:t>
            </w:r>
          </w:p>
        </w:tc>
        <w:tc>
          <w:tcPr>
            <w:tcW w:w="1531" w:type="dxa"/>
            <w:tcBorders>
              <w:top w:val="single" w:sz="4" w:space="0" w:color="auto"/>
              <w:left w:val="nil"/>
              <w:bottom w:val="single" w:sz="4" w:space="0" w:color="auto"/>
              <w:right w:val="single" w:sz="4" w:space="0" w:color="auto"/>
            </w:tcBorders>
            <w:shd w:val="clear" w:color="000000" w:fill="D8D8D8"/>
            <w:hideMark/>
          </w:tcPr>
          <w:p w:rsidR="00097928" w:rsidRPr="005D21D3" w:rsidRDefault="00097928" w:rsidP="00097928">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Estimated cost per year (€)</w:t>
            </w:r>
          </w:p>
        </w:tc>
      </w:tr>
      <w:tr w:rsidR="00097928" w:rsidRPr="005D21D3" w:rsidTr="00B36820">
        <w:trPr>
          <w:trHeight w:val="264"/>
        </w:trPr>
        <w:tc>
          <w:tcPr>
            <w:tcW w:w="3231" w:type="dxa"/>
            <w:tcBorders>
              <w:top w:val="nil"/>
              <w:left w:val="single" w:sz="4" w:space="0" w:color="auto"/>
              <w:bottom w:val="single" w:sz="4" w:space="0" w:color="auto"/>
              <w:right w:val="single" w:sz="4" w:space="0" w:color="auto"/>
            </w:tcBorders>
            <w:shd w:val="clear" w:color="auto" w:fill="auto"/>
            <w:hideMark/>
          </w:tcPr>
          <w:p w:rsidR="00097928" w:rsidRPr="005D21D3" w:rsidRDefault="00097928"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xml:space="preserve">Surface surveillance </w:t>
            </w:r>
          </w:p>
        </w:tc>
        <w:tc>
          <w:tcPr>
            <w:tcW w:w="1480" w:type="dxa"/>
            <w:tcBorders>
              <w:top w:val="nil"/>
              <w:left w:val="nil"/>
              <w:bottom w:val="single" w:sz="4" w:space="0" w:color="auto"/>
              <w:right w:val="single" w:sz="4" w:space="0" w:color="auto"/>
            </w:tcBorders>
            <w:shd w:val="clear" w:color="auto" w:fill="auto"/>
            <w:hideMark/>
          </w:tcPr>
          <w:p w:rsidR="00097928" w:rsidRPr="005D21D3" w:rsidRDefault="00097928"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500" w:type="dxa"/>
            <w:tcBorders>
              <w:top w:val="nil"/>
              <w:left w:val="nil"/>
              <w:bottom w:val="single" w:sz="4" w:space="0" w:color="auto"/>
              <w:right w:val="single" w:sz="4" w:space="0" w:color="auto"/>
            </w:tcBorders>
            <w:shd w:val="clear" w:color="auto" w:fill="auto"/>
            <w:hideMark/>
          </w:tcPr>
          <w:p w:rsidR="00097928" w:rsidRPr="005D21D3" w:rsidRDefault="00097928"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531" w:type="dxa"/>
            <w:tcBorders>
              <w:top w:val="nil"/>
              <w:left w:val="nil"/>
              <w:bottom w:val="single" w:sz="4" w:space="0" w:color="auto"/>
              <w:right w:val="single" w:sz="4" w:space="0" w:color="auto"/>
            </w:tcBorders>
            <w:shd w:val="clear" w:color="auto" w:fill="auto"/>
          </w:tcPr>
          <w:p w:rsidR="00097928" w:rsidRPr="005D21D3" w:rsidRDefault="00097928" w:rsidP="00097928">
            <w:pPr>
              <w:spacing w:before="0" w:after="0" w:line="240" w:lineRule="auto"/>
              <w:jc w:val="right"/>
              <w:rPr>
                <w:rFonts w:eastAsia="Times New Roman" w:cs="Arial"/>
                <w:color w:val="000000"/>
                <w:sz w:val="18"/>
                <w:szCs w:val="20"/>
                <w:lang w:val="en-US"/>
              </w:rPr>
            </w:pPr>
          </w:p>
        </w:tc>
      </w:tr>
      <w:tr w:rsidR="00097928" w:rsidRPr="001E0C58" w:rsidTr="00B36820">
        <w:trPr>
          <w:trHeight w:val="252"/>
        </w:trPr>
        <w:tc>
          <w:tcPr>
            <w:tcW w:w="3231" w:type="dxa"/>
            <w:tcBorders>
              <w:top w:val="nil"/>
              <w:left w:val="single" w:sz="4" w:space="0" w:color="auto"/>
              <w:bottom w:val="single" w:sz="4" w:space="0" w:color="auto"/>
              <w:right w:val="single" w:sz="4" w:space="0" w:color="auto"/>
            </w:tcBorders>
            <w:shd w:val="clear" w:color="auto" w:fill="auto"/>
            <w:hideMark/>
          </w:tcPr>
          <w:p w:rsidR="00097928" w:rsidRPr="005D21D3" w:rsidRDefault="00097928"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Joint enforcement patrols with local officer</w:t>
            </w:r>
          </w:p>
        </w:tc>
        <w:tc>
          <w:tcPr>
            <w:tcW w:w="1480" w:type="dxa"/>
            <w:tcBorders>
              <w:top w:val="nil"/>
              <w:left w:val="nil"/>
              <w:bottom w:val="single" w:sz="4" w:space="0" w:color="auto"/>
              <w:right w:val="single" w:sz="4" w:space="0" w:color="auto"/>
            </w:tcBorders>
            <w:shd w:val="clear" w:color="auto" w:fill="auto"/>
            <w:hideMark/>
          </w:tcPr>
          <w:p w:rsidR="00097928" w:rsidRPr="005D21D3" w:rsidRDefault="00097928"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500" w:type="dxa"/>
            <w:tcBorders>
              <w:top w:val="nil"/>
              <w:left w:val="nil"/>
              <w:bottom w:val="single" w:sz="4" w:space="0" w:color="auto"/>
              <w:right w:val="single" w:sz="4" w:space="0" w:color="auto"/>
            </w:tcBorders>
            <w:shd w:val="clear" w:color="auto" w:fill="auto"/>
            <w:hideMark/>
          </w:tcPr>
          <w:p w:rsidR="00097928" w:rsidRPr="005D21D3" w:rsidRDefault="00097928"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531" w:type="dxa"/>
            <w:tcBorders>
              <w:top w:val="nil"/>
              <w:left w:val="nil"/>
              <w:bottom w:val="single" w:sz="4" w:space="0" w:color="auto"/>
              <w:right w:val="single" w:sz="4" w:space="0" w:color="auto"/>
            </w:tcBorders>
            <w:shd w:val="clear" w:color="auto" w:fill="auto"/>
          </w:tcPr>
          <w:p w:rsidR="00097928" w:rsidRPr="005D21D3" w:rsidRDefault="00097928" w:rsidP="00097928">
            <w:pPr>
              <w:spacing w:before="0" w:after="0" w:line="240" w:lineRule="auto"/>
              <w:jc w:val="right"/>
              <w:rPr>
                <w:rFonts w:eastAsia="Times New Roman" w:cs="Arial"/>
                <w:color w:val="000000"/>
                <w:sz w:val="18"/>
                <w:szCs w:val="20"/>
                <w:lang w:val="en-US"/>
              </w:rPr>
            </w:pPr>
          </w:p>
        </w:tc>
      </w:tr>
      <w:tr w:rsidR="00097928" w:rsidRPr="005D21D3" w:rsidTr="00B36820">
        <w:trPr>
          <w:trHeight w:val="264"/>
        </w:trPr>
        <w:tc>
          <w:tcPr>
            <w:tcW w:w="3231" w:type="dxa"/>
            <w:tcBorders>
              <w:top w:val="nil"/>
              <w:left w:val="single" w:sz="4" w:space="0" w:color="auto"/>
              <w:bottom w:val="single" w:sz="4" w:space="0" w:color="auto"/>
              <w:right w:val="single" w:sz="4" w:space="0" w:color="auto"/>
            </w:tcBorders>
            <w:shd w:val="clear" w:color="auto" w:fill="auto"/>
            <w:hideMark/>
          </w:tcPr>
          <w:p w:rsidR="00097928" w:rsidRPr="005D21D3" w:rsidRDefault="00097928"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xml:space="preserve">Aerial surveillance </w:t>
            </w:r>
          </w:p>
        </w:tc>
        <w:tc>
          <w:tcPr>
            <w:tcW w:w="1480" w:type="dxa"/>
            <w:tcBorders>
              <w:top w:val="nil"/>
              <w:left w:val="nil"/>
              <w:bottom w:val="single" w:sz="4" w:space="0" w:color="auto"/>
              <w:right w:val="single" w:sz="4" w:space="0" w:color="auto"/>
            </w:tcBorders>
            <w:shd w:val="clear" w:color="auto" w:fill="auto"/>
            <w:hideMark/>
          </w:tcPr>
          <w:p w:rsidR="00097928" w:rsidRPr="005D21D3" w:rsidRDefault="00097928"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500" w:type="dxa"/>
            <w:tcBorders>
              <w:top w:val="nil"/>
              <w:left w:val="nil"/>
              <w:bottom w:val="single" w:sz="4" w:space="0" w:color="auto"/>
              <w:right w:val="single" w:sz="4" w:space="0" w:color="auto"/>
            </w:tcBorders>
            <w:shd w:val="clear" w:color="auto" w:fill="auto"/>
            <w:hideMark/>
          </w:tcPr>
          <w:p w:rsidR="00097928" w:rsidRPr="005D21D3" w:rsidRDefault="00097928"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531" w:type="dxa"/>
            <w:tcBorders>
              <w:top w:val="nil"/>
              <w:left w:val="nil"/>
              <w:bottom w:val="single" w:sz="4" w:space="0" w:color="auto"/>
              <w:right w:val="single" w:sz="4" w:space="0" w:color="auto"/>
            </w:tcBorders>
            <w:shd w:val="clear" w:color="auto" w:fill="auto"/>
          </w:tcPr>
          <w:p w:rsidR="00097928" w:rsidRPr="005D21D3" w:rsidRDefault="00097928" w:rsidP="00097928">
            <w:pPr>
              <w:spacing w:before="0" w:after="0" w:line="240" w:lineRule="auto"/>
              <w:jc w:val="right"/>
              <w:rPr>
                <w:rFonts w:eastAsia="Times New Roman" w:cs="Arial"/>
                <w:color w:val="000000"/>
                <w:sz w:val="18"/>
                <w:szCs w:val="20"/>
                <w:lang w:val="en-US"/>
              </w:rPr>
            </w:pPr>
          </w:p>
        </w:tc>
      </w:tr>
      <w:tr w:rsidR="00097928" w:rsidRPr="005D21D3" w:rsidTr="00B36820">
        <w:trPr>
          <w:trHeight w:val="264"/>
        </w:trPr>
        <w:tc>
          <w:tcPr>
            <w:tcW w:w="3231" w:type="dxa"/>
            <w:tcBorders>
              <w:top w:val="nil"/>
              <w:left w:val="single" w:sz="4" w:space="0" w:color="auto"/>
              <w:bottom w:val="single" w:sz="4" w:space="0" w:color="auto"/>
              <w:right w:val="single" w:sz="4" w:space="0" w:color="auto"/>
            </w:tcBorders>
            <w:shd w:val="clear" w:color="auto" w:fill="auto"/>
            <w:hideMark/>
          </w:tcPr>
          <w:p w:rsidR="00097928" w:rsidRPr="005D21D3" w:rsidRDefault="00097928"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xml:space="preserve">Investigations/prosecutions </w:t>
            </w:r>
          </w:p>
        </w:tc>
        <w:tc>
          <w:tcPr>
            <w:tcW w:w="1480" w:type="dxa"/>
            <w:tcBorders>
              <w:top w:val="nil"/>
              <w:left w:val="nil"/>
              <w:bottom w:val="single" w:sz="4" w:space="0" w:color="auto"/>
              <w:right w:val="single" w:sz="4" w:space="0" w:color="auto"/>
            </w:tcBorders>
            <w:shd w:val="clear" w:color="auto" w:fill="auto"/>
            <w:hideMark/>
          </w:tcPr>
          <w:p w:rsidR="00097928" w:rsidRPr="005D21D3" w:rsidRDefault="00097928"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500" w:type="dxa"/>
            <w:tcBorders>
              <w:top w:val="nil"/>
              <w:left w:val="nil"/>
              <w:bottom w:val="single" w:sz="4" w:space="0" w:color="auto"/>
              <w:right w:val="single" w:sz="4" w:space="0" w:color="auto"/>
            </w:tcBorders>
            <w:shd w:val="clear" w:color="auto" w:fill="auto"/>
            <w:hideMark/>
          </w:tcPr>
          <w:p w:rsidR="00097928" w:rsidRPr="005D21D3" w:rsidRDefault="00097928"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531" w:type="dxa"/>
            <w:tcBorders>
              <w:top w:val="nil"/>
              <w:left w:val="nil"/>
              <w:bottom w:val="single" w:sz="4" w:space="0" w:color="auto"/>
              <w:right w:val="single" w:sz="4" w:space="0" w:color="auto"/>
            </w:tcBorders>
            <w:shd w:val="clear" w:color="auto" w:fill="auto"/>
          </w:tcPr>
          <w:p w:rsidR="00097928" w:rsidRPr="005D21D3" w:rsidRDefault="00097928" w:rsidP="00097928">
            <w:pPr>
              <w:spacing w:before="0" w:after="0" w:line="240" w:lineRule="auto"/>
              <w:jc w:val="right"/>
              <w:rPr>
                <w:rFonts w:eastAsia="Times New Roman" w:cs="Arial"/>
                <w:color w:val="000000"/>
                <w:sz w:val="18"/>
                <w:szCs w:val="20"/>
                <w:lang w:val="en-US"/>
              </w:rPr>
            </w:pPr>
          </w:p>
        </w:tc>
      </w:tr>
      <w:tr w:rsidR="00097928" w:rsidRPr="005D21D3" w:rsidTr="00B36820">
        <w:trPr>
          <w:trHeight w:val="264"/>
        </w:trPr>
        <w:tc>
          <w:tcPr>
            <w:tcW w:w="3231" w:type="dxa"/>
            <w:tcBorders>
              <w:top w:val="nil"/>
              <w:left w:val="single" w:sz="4" w:space="0" w:color="auto"/>
              <w:bottom w:val="single" w:sz="4" w:space="0" w:color="auto"/>
              <w:right w:val="single" w:sz="4" w:space="0" w:color="auto"/>
            </w:tcBorders>
            <w:shd w:val="clear" w:color="auto" w:fill="auto"/>
            <w:hideMark/>
          </w:tcPr>
          <w:p w:rsidR="00097928" w:rsidRPr="005D21D3" w:rsidRDefault="00097928" w:rsidP="00097928">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Total surveillance cost</w:t>
            </w:r>
          </w:p>
        </w:tc>
        <w:tc>
          <w:tcPr>
            <w:tcW w:w="1480" w:type="dxa"/>
            <w:tcBorders>
              <w:top w:val="nil"/>
              <w:left w:val="nil"/>
              <w:bottom w:val="single" w:sz="4" w:space="0" w:color="auto"/>
              <w:right w:val="single" w:sz="4" w:space="0" w:color="auto"/>
            </w:tcBorders>
            <w:shd w:val="clear" w:color="auto" w:fill="auto"/>
            <w:hideMark/>
          </w:tcPr>
          <w:p w:rsidR="00097928" w:rsidRPr="005D21D3" w:rsidRDefault="00097928" w:rsidP="00097928">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 </w:t>
            </w:r>
          </w:p>
        </w:tc>
        <w:tc>
          <w:tcPr>
            <w:tcW w:w="1500" w:type="dxa"/>
            <w:tcBorders>
              <w:top w:val="nil"/>
              <w:left w:val="nil"/>
              <w:bottom w:val="single" w:sz="4" w:space="0" w:color="auto"/>
              <w:right w:val="single" w:sz="4" w:space="0" w:color="auto"/>
            </w:tcBorders>
            <w:shd w:val="clear" w:color="auto" w:fill="auto"/>
            <w:hideMark/>
          </w:tcPr>
          <w:p w:rsidR="00097928" w:rsidRPr="005D21D3" w:rsidRDefault="00097928" w:rsidP="00097928">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 </w:t>
            </w:r>
          </w:p>
        </w:tc>
        <w:tc>
          <w:tcPr>
            <w:tcW w:w="1531" w:type="dxa"/>
            <w:tcBorders>
              <w:top w:val="nil"/>
              <w:left w:val="nil"/>
              <w:bottom w:val="single" w:sz="4" w:space="0" w:color="auto"/>
              <w:right w:val="single" w:sz="4" w:space="0" w:color="auto"/>
            </w:tcBorders>
            <w:shd w:val="clear" w:color="auto" w:fill="auto"/>
            <w:noWrap/>
          </w:tcPr>
          <w:p w:rsidR="00097928" w:rsidRPr="005D21D3" w:rsidRDefault="00097928" w:rsidP="00097928">
            <w:pPr>
              <w:spacing w:before="0" w:after="0" w:line="240" w:lineRule="auto"/>
              <w:jc w:val="right"/>
              <w:rPr>
                <w:rFonts w:eastAsia="Times New Roman" w:cs="Arial"/>
                <w:b/>
                <w:bCs/>
                <w:color w:val="000000"/>
                <w:sz w:val="18"/>
                <w:szCs w:val="20"/>
                <w:lang w:val="en-US"/>
              </w:rPr>
            </w:pPr>
          </w:p>
        </w:tc>
      </w:tr>
    </w:tbl>
    <w:p w:rsidR="00627590" w:rsidRDefault="00627590" w:rsidP="00627590">
      <w:pPr>
        <w:pStyle w:val="OpsommingSymbool"/>
        <w:rPr>
          <w:lang w:val="en-GB"/>
        </w:rPr>
      </w:pPr>
      <w:proofErr w:type="spellStart"/>
      <w:r>
        <w:rPr>
          <w:lang w:val="en-GB"/>
        </w:rPr>
        <w:t>Sectoral</w:t>
      </w:r>
      <w:proofErr w:type="spellEnd"/>
      <w:r w:rsidRPr="006620B9">
        <w:rPr>
          <w:lang w:val="en-GB"/>
        </w:rPr>
        <w:t xml:space="preserve"> costs</w:t>
      </w:r>
    </w:p>
    <w:tbl>
      <w:tblPr>
        <w:tblW w:w="6464" w:type="dxa"/>
        <w:tblInd w:w="2124" w:type="dxa"/>
        <w:tblLook w:val="04A0" w:firstRow="1" w:lastRow="0" w:firstColumn="1" w:lastColumn="0" w:noHBand="0" w:noVBand="1"/>
      </w:tblPr>
      <w:tblGrid>
        <w:gridCol w:w="3402"/>
        <w:gridCol w:w="1531"/>
        <w:gridCol w:w="1531"/>
      </w:tblGrid>
      <w:tr w:rsidR="00627590" w:rsidRPr="005D21D3" w:rsidTr="00B36820">
        <w:trPr>
          <w:trHeight w:val="454"/>
        </w:trPr>
        <w:tc>
          <w:tcPr>
            <w:tcW w:w="3402" w:type="dxa"/>
            <w:tcBorders>
              <w:top w:val="single" w:sz="4" w:space="0" w:color="auto"/>
              <w:left w:val="single" w:sz="4" w:space="0" w:color="auto"/>
              <w:bottom w:val="single" w:sz="4" w:space="0" w:color="auto"/>
              <w:right w:val="single" w:sz="4" w:space="0" w:color="auto"/>
            </w:tcBorders>
            <w:shd w:val="clear" w:color="000000" w:fill="D8D8D8"/>
            <w:hideMark/>
          </w:tcPr>
          <w:p w:rsidR="00627590" w:rsidRPr="005D21D3" w:rsidRDefault="00627590" w:rsidP="00627590">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 xml:space="preserve">Actions required </w:t>
            </w:r>
          </w:p>
        </w:tc>
        <w:tc>
          <w:tcPr>
            <w:tcW w:w="1531" w:type="dxa"/>
            <w:tcBorders>
              <w:top w:val="single" w:sz="4" w:space="0" w:color="auto"/>
              <w:left w:val="nil"/>
              <w:bottom w:val="single" w:sz="4" w:space="0" w:color="auto"/>
              <w:right w:val="single" w:sz="4" w:space="0" w:color="auto"/>
            </w:tcBorders>
            <w:shd w:val="clear" w:color="000000" w:fill="D8D8D8"/>
            <w:hideMark/>
          </w:tcPr>
          <w:p w:rsidR="00627590" w:rsidRPr="005D21D3" w:rsidRDefault="00627590" w:rsidP="00627590">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Estimated one-off cost, €</w:t>
            </w:r>
          </w:p>
        </w:tc>
        <w:tc>
          <w:tcPr>
            <w:tcW w:w="1531" w:type="dxa"/>
            <w:tcBorders>
              <w:top w:val="single" w:sz="4" w:space="0" w:color="auto"/>
              <w:left w:val="nil"/>
              <w:bottom w:val="single" w:sz="4" w:space="0" w:color="auto"/>
              <w:right w:val="single" w:sz="4" w:space="0" w:color="auto"/>
            </w:tcBorders>
            <w:shd w:val="clear" w:color="000000" w:fill="D8D8D8"/>
            <w:hideMark/>
          </w:tcPr>
          <w:p w:rsidR="00627590" w:rsidRPr="005D21D3" w:rsidRDefault="00627590" w:rsidP="00627590">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Estimated cost per year (€)</w:t>
            </w:r>
          </w:p>
        </w:tc>
      </w:tr>
      <w:tr w:rsidR="00627590" w:rsidRPr="005D21D3" w:rsidTr="00627590">
        <w:trPr>
          <w:trHeight w:val="264"/>
        </w:trPr>
        <w:tc>
          <w:tcPr>
            <w:tcW w:w="3402" w:type="dxa"/>
            <w:tcBorders>
              <w:top w:val="nil"/>
              <w:left w:val="single" w:sz="4" w:space="0" w:color="auto"/>
              <w:bottom w:val="single" w:sz="4" w:space="0" w:color="auto"/>
              <w:right w:val="single" w:sz="4" w:space="0" w:color="auto"/>
            </w:tcBorders>
            <w:shd w:val="clear" w:color="auto" w:fill="auto"/>
            <w:hideMark/>
          </w:tcPr>
          <w:p w:rsidR="00627590" w:rsidRPr="005D21D3" w:rsidRDefault="00627590" w:rsidP="00627590">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Investment costs</w:t>
            </w:r>
          </w:p>
        </w:tc>
        <w:tc>
          <w:tcPr>
            <w:tcW w:w="1531" w:type="dxa"/>
            <w:tcBorders>
              <w:top w:val="nil"/>
              <w:left w:val="nil"/>
              <w:bottom w:val="single" w:sz="4" w:space="0" w:color="auto"/>
              <w:right w:val="single" w:sz="4" w:space="0" w:color="auto"/>
            </w:tcBorders>
            <w:shd w:val="clear" w:color="auto" w:fill="auto"/>
            <w:hideMark/>
          </w:tcPr>
          <w:p w:rsidR="00627590" w:rsidRPr="005D21D3" w:rsidRDefault="00627590" w:rsidP="00627590">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531" w:type="dxa"/>
            <w:tcBorders>
              <w:top w:val="nil"/>
              <w:left w:val="nil"/>
              <w:bottom w:val="single" w:sz="4" w:space="0" w:color="auto"/>
              <w:right w:val="single" w:sz="4" w:space="0" w:color="auto"/>
            </w:tcBorders>
            <w:shd w:val="clear" w:color="000000" w:fill="D9D9D9"/>
            <w:hideMark/>
          </w:tcPr>
          <w:p w:rsidR="00627590" w:rsidRPr="005D21D3" w:rsidRDefault="00627590" w:rsidP="00627590">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r>
      <w:tr w:rsidR="00627590" w:rsidRPr="005D21D3" w:rsidTr="00627590">
        <w:trPr>
          <w:trHeight w:val="264"/>
        </w:trPr>
        <w:tc>
          <w:tcPr>
            <w:tcW w:w="3402" w:type="dxa"/>
            <w:tcBorders>
              <w:top w:val="nil"/>
              <w:left w:val="single" w:sz="4" w:space="0" w:color="auto"/>
              <w:bottom w:val="single" w:sz="4" w:space="0" w:color="auto"/>
              <w:right w:val="single" w:sz="4" w:space="0" w:color="auto"/>
            </w:tcBorders>
            <w:shd w:val="clear" w:color="auto" w:fill="auto"/>
            <w:hideMark/>
          </w:tcPr>
          <w:p w:rsidR="00627590" w:rsidRPr="005D21D3" w:rsidRDefault="00627590" w:rsidP="00627590">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Operational costs</w:t>
            </w:r>
          </w:p>
        </w:tc>
        <w:tc>
          <w:tcPr>
            <w:tcW w:w="1531" w:type="dxa"/>
            <w:tcBorders>
              <w:top w:val="nil"/>
              <w:left w:val="nil"/>
              <w:bottom w:val="single" w:sz="4" w:space="0" w:color="auto"/>
              <w:right w:val="single" w:sz="4" w:space="0" w:color="auto"/>
            </w:tcBorders>
            <w:shd w:val="clear" w:color="000000" w:fill="D9D9D9"/>
            <w:hideMark/>
          </w:tcPr>
          <w:p w:rsidR="00627590" w:rsidRPr="005D21D3" w:rsidRDefault="00627590" w:rsidP="00627590">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531" w:type="dxa"/>
            <w:tcBorders>
              <w:top w:val="nil"/>
              <w:left w:val="nil"/>
              <w:bottom w:val="single" w:sz="4" w:space="0" w:color="auto"/>
              <w:right w:val="single" w:sz="4" w:space="0" w:color="auto"/>
            </w:tcBorders>
            <w:shd w:val="clear" w:color="auto" w:fill="auto"/>
            <w:hideMark/>
          </w:tcPr>
          <w:p w:rsidR="00627590" w:rsidRPr="005D21D3" w:rsidRDefault="00627590" w:rsidP="00627590">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r>
      <w:tr w:rsidR="00627590" w:rsidRPr="005D21D3" w:rsidTr="00627590">
        <w:trPr>
          <w:trHeight w:val="264"/>
        </w:trPr>
        <w:tc>
          <w:tcPr>
            <w:tcW w:w="3402" w:type="dxa"/>
            <w:tcBorders>
              <w:top w:val="nil"/>
              <w:left w:val="single" w:sz="4" w:space="0" w:color="auto"/>
              <w:bottom w:val="single" w:sz="4" w:space="0" w:color="auto"/>
              <w:right w:val="single" w:sz="4" w:space="0" w:color="auto"/>
            </w:tcBorders>
            <w:shd w:val="clear" w:color="auto" w:fill="auto"/>
            <w:hideMark/>
          </w:tcPr>
          <w:p w:rsidR="00627590" w:rsidRPr="005D21D3" w:rsidRDefault="00627590" w:rsidP="00627590">
            <w:pPr>
              <w:spacing w:before="0" w:after="0" w:line="240" w:lineRule="auto"/>
              <w:rPr>
                <w:rFonts w:eastAsia="Times New Roman" w:cs="Arial"/>
                <w:color w:val="000000"/>
                <w:sz w:val="18"/>
                <w:szCs w:val="20"/>
                <w:lang w:val="en-US"/>
              </w:rPr>
            </w:pPr>
            <w:r>
              <w:rPr>
                <w:rFonts w:eastAsia="Times New Roman" w:cs="Arial"/>
                <w:color w:val="000000"/>
                <w:sz w:val="18"/>
                <w:szCs w:val="20"/>
                <w:lang w:val="en-US"/>
              </w:rPr>
              <w:t>Loss of added value</w:t>
            </w:r>
          </w:p>
        </w:tc>
        <w:tc>
          <w:tcPr>
            <w:tcW w:w="1531" w:type="dxa"/>
            <w:tcBorders>
              <w:top w:val="nil"/>
              <w:left w:val="nil"/>
              <w:bottom w:val="single" w:sz="4" w:space="0" w:color="auto"/>
              <w:right w:val="single" w:sz="4" w:space="0" w:color="auto"/>
            </w:tcBorders>
            <w:shd w:val="clear" w:color="000000" w:fill="D9D9D9"/>
            <w:hideMark/>
          </w:tcPr>
          <w:p w:rsidR="00627590" w:rsidRPr="005D21D3" w:rsidRDefault="00627590" w:rsidP="00627590">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531" w:type="dxa"/>
            <w:tcBorders>
              <w:top w:val="nil"/>
              <w:left w:val="nil"/>
              <w:bottom w:val="single" w:sz="4" w:space="0" w:color="auto"/>
              <w:right w:val="single" w:sz="4" w:space="0" w:color="auto"/>
            </w:tcBorders>
            <w:shd w:val="clear" w:color="auto" w:fill="auto"/>
            <w:hideMark/>
          </w:tcPr>
          <w:p w:rsidR="00627590" w:rsidRPr="005D21D3" w:rsidRDefault="00627590" w:rsidP="00627590">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r>
      <w:tr w:rsidR="00627590" w:rsidRPr="005D21D3" w:rsidTr="00627590">
        <w:trPr>
          <w:trHeight w:val="264"/>
        </w:trPr>
        <w:tc>
          <w:tcPr>
            <w:tcW w:w="3402" w:type="dxa"/>
            <w:tcBorders>
              <w:top w:val="nil"/>
              <w:left w:val="single" w:sz="4" w:space="0" w:color="auto"/>
              <w:bottom w:val="single" w:sz="4" w:space="0" w:color="auto"/>
              <w:right w:val="single" w:sz="4" w:space="0" w:color="auto"/>
            </w:tcBorders>
            <w:shd w:val="clear" w:color="auto" w:fill="auto"/>
          </w:tcPr>
          <w:p w:rsidR="00627590" w:rsidRPr="005D21D3" w:rsidRDefault="00627590" w:rsidP="00627590">
            <w:pPr>
              <w:spacing w:before="0" w:after="0" w:line="240" w:lineRule="auto"/>
              <w:rPr>
                <w:rFonts w:eastAsia="Times New Roman" w:cs="Arial"/>
                <w:b/>
                <w:bCs/>
                <w:color w:val="000000"/>
                <w:sz w:val="18"/>
                <w:szCs w:val="20"/>
                <w:lang w:val="en-US"/>
              </w:rPr>
            </w:pPr>
            <w:r>
              <w:rPr>
                <w:rFonts w:eastAsia="Times New Roman" w:cs="Arial"/>
                <w:color w:val="000000"/>
                <w:sz w:val="18"/>
                <w:szCs w:val="20"/>
                <w:lang w:val="en-US"/>
              </w:rPr>
              <w:t>Loss of employment</w:t>
            </w:r>
          </w:p>
        </w:tc>
        <w:tc>
          <w:tcPr>
            <w:tcW w:w="1531" w:type="dxa"/>
            <w:tcBorders>
              <w:top w:val="nil"/>
              <w:left w:val="nil"/>
              <w:bottom w:val="single" w:sz="4" w:space="0" w:color="auto"/>
              <w:right w:val="single" w:sz="4" w:space="0" w:color="auto"/>
            </w:tcBorders>
            <w:shd w:val="clear" w:color="auto" w:fill="auto"/>
            <w:noWrap/>
          </w:tcPr>
          <w:p w:rsidR="00627590" w:rsidRPr="005D21D3" w:rsidRDefault="00627590" w:rsidP="00627590">
            <w:pPr>
              <w:spacing w:before="0" w:after="0" w:line="240" w:lineRule="auto"/>
              <w:jc w:val="right"/>
              <w:rPr>
                <w:rFonts w:eastAsia="Times New Roman" w:cs="Arial"/>
                <w:b/>
                <w:bCs/>
                <w:color w:val="000000"/>
                <w:sz w:val="18"/>
                <w:szCs w:val="20"/>
                <w:lang w:val="en-US"/>
              </w:rPr>
            </w:pPr>
            <w:r w:rsidRPr="005D21D3">
              <w:rPr>
                <w:rFonts w:eastAsia="Times New Roman" w:cs="Arial"/>
                <w:color w:val="000000"/>
                <w:sz w:val="18"/>
                <w:szCs w:val="20"/>
                <w:lang w:val="en-US"/>
              </w:rPr>
              <w:t> </w:t>
            </w:r>
          </w:p>
        </w:tc>
        <w:tc>
          <w:tcPr>
            <w:tcW w:w="1531" w:type="dxa"/>
            <w:tcBorders>
              <w:top w:val="nil"/>
              <w:left w:val="nil"/>
              <w:bottom w:val="single" w:sz="4" w:space="0" w:color="auto"/>
              <w:right w:val="single" w:sz="4" w:space="0" w:color="auto"/>
            </w:tcBorders>
            <w:shd w:val="clear" w:color="auto" w:fill="auto"/>
            <w:noWrap/>
          </w:tcPr>
          <w:p w:rsidR="00627590" w:rsidRPr="005D21D3" w:rsidRDefault="00627590" w:rsidP="00627590">
            <w:pPr>
              <w:spacing w:before="0" w:after="0" w:line="240" w:lineRule="auto"/>
              <w:jc w:val="right"/>
              <w:rPr>
                <w:rFonts w:eastAsia="Times New Roman" w:cs="Arial"/>
                <w:b/>
                <w:bCs/>
                <w:color w:val="000000"/>
                <w:sz w:val="18"/>
                <w:szCs w:val="20"/>
                <w:lang w:val="en-US"/>
              </w:rPr>
            </w:pPr>
            <w:r w:rsidRPr="005D21D3">
              <w:rPr>
                <w:rFonts w:eastAsia="Times New Roman" w:cs="Arial"/>
                <w:color w:val="000000"/>
                <w:sz w:val="18"/>
                <w:szCs w:val="20"/>
                <w:lang w:val="en-US"/>
              </w:rPr>
              <w:t> </w:t>
            </w:r>
          </w:p>
        </w:tc>
      </w:tr>
      <w:tr w:rsidR="00627590" w:rsidRPr="005D21D3" w:rsidTr="00627590">
        <w:trPr>
          <w:trHeight w:val="264"/>
        </w:trPr>
        <w:tc>
          <w:tcPr>
            <w:tcW w:w="3402" w:type="dxa"/>
            <w:tcBorders>
              <w:top w:val="nil"/>
              <w:left w:val="single" w:sz="4" w:space="0" w:color="auto"/>
              <w:bottom w:val="single" w:sz="4" w:space="0" w:color="auto"/>
              <w:right w:val="single" w:sz="4" w:space="0" w:color="auto"/>
            </w:tcBorders>
            <w:shd w:val="clear" w:color="auto" w:fill="auto"/>
            <w:hideMark/>
          </w:tcPr>
          <w:p w:rsidR="00627590" w:rsidRPr="005D21D3" w:rsidRDefault="00627590" w:rsidP="00627590">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Total cost</w:t>
            </w:r>
          </w:p>
        </w:tc>
        <w:tc>
          <w:tcPr>
            <w:tcW w:w="1531" w:type="dxa"/>
            <w:tcBorders>
              <w:top w:val="nil"/>
              <w:left w:val="nil"/>
              <w:bottom w:val="single" w:sz="4" w:space="0" w:color="auto"/>
              <w:right w:val="single" w:sz="4" w:space="0" w:color="auto"/>
            </w:tcBorders>
            <w:shd w:val="clear" w:color="auto" w:fill="auto"/>
            <w:noWrap/>
            <w:hideMark/>
          </w:tcPr>
          <w:p w:rsidR="00627590" w:rsidRPr="005D21D3" w:rsidRDefault="00627590" w:rsidP="00627590">
            <w:pPr>
              <w:spacing w:before="0" w:after="0" w:line="240" w:lineRule="auto"/>
              <w:jc w:val="right"/>
              <w:rPr>
                <w:rFonts w:eastAsia="Times New Roman" w:cs="Arial"/>
                <w:b/>
                <w:bCs/>
                <w:color w:val="000000"/>
                <w:sz w:val="18"/>
                <w:szCs w:val="20"/>
                <w:lang w:val="en-US"/>
              </w:rPr>
            </w:pPr>
            <w:r w:rsidRPr="005D21D3">
              <w:rPr>
                <w:rFonts w:eastAsia="Times New Roman" w:cs="Arial"/>
                <w:b/>
                <w:bCs/>
                <w:color w:val="000000"/>
                <w:sz w:val="18"/>
                <w:szCs w:val="20"/>
                <w:lang w:val="en-US"/>
              </w:rPr>
              <w:t xml:space="preserve"> €</w:t>
            </w:r>
            <w:r w:rsidR="0075552A">
              <w:rPr>
                <w:rFonts w:eastAsia="Times New Roman" w:cs="Arial"/>
                <w:b/>
                <w:bCs/>
                <w:color w:val="000000"/>
                <w:sz w:val="18"/>
                <w:szCs w:val="20"/>
                <w:lang w:val="en-US"/>
              </w:rPr>
              <w:t xml:space="preserve">  </w:t>
            </w:r>
            <w:r w:rsidRPr="005D21D3">
              <w:rPr>
                <w:rFonts w:eastAsia="Times New Roman" w:cs="Arial"/>
                <w:b/>
                <w:bCs/>
                <w:color w:val="000000"/>
                <w:sz w:val="18"/>
                <w:szCs w:val="20"/>
                <w:lang w:val="en-US"/>
              </w:rPr>
              <w:t xml:space="preserve">- </w:t>
            </w:r>
          </w:p>
        </w:tc>
        <w:tc>
          <w:tcPr>
            <w:tcW w:w="1531" w:type="dxa"/>
            <w:tcBorders>
              <w:top w:val="nil"/>
              <w:left w:val="nil"/>
              <w:bottom w:val="single" w:sz="4" w:space="0" w:color="auto"/>
              <w:right w:val="single" w:sz="4" w:space="0" w:color="auto"/>
            </w:tcBorders>
            <w:shd w:val="clear" w:color="auto" w:fill="auto"/>
            <w:noWrap/>
            <w:hideMark/>
          </w:tcPr>
          <w:p w:rsidR="00627590" w:rsidRPr="005D21D3" w:rsidRDefault="00627590" w:rsidP="00627590">
            <w:pPr>
              <w:spacing w:before="0" w:after="0" w:line="240" w:lineRule="auto"/>
              <w:jc w:val="right"/>
              <w:rPr>
                <w:rFonts w:eastAsia="Times New Roman" w:cs="Arial"/>
                <w:b/>
                <w:bCs/>
                <w:color w:val="000000"/>
                <w:sz w:val="18"/>
                <w:szCs w:val="20"/>
                <w:lang w:val="en-US"/>
              </w:rPr>
            </w:pPr>
            <w:r w:rsidRPr="005D21D3">
              <w:rPr>
                <w:rFonts w:eastAsia="Times New Roman" w:cs="Arial"/>
                <w:b/>
                <w:bCs/>
                <w:color w:val="000000"/>
                <w:sz w:val="18"/>
                <w:szCs w:val="20"/>
                <w:lang w:val="en-US"/>
              </w:rPr>
              <w:t xml:space="preserve"> €</w:t>
            </w:r>
            <w:r w:rsidR="0075552A">
              <w:rPr>
                <w:rFonts w:eastAsia="Times New Roman" w:cs="Arial"/>
                <w:b/>
                <w:bCs/>
                <w:color w:val="000000"/>
                <w:sz w:val="18"/>
                <w:szCs w:val="20"/>
                <w:lang w:val="en-US"/>
              </w:rPr>
              <w:t xml:space="preserve">  </w:t>
            </w:r>
            <w:r w:rsidRPr="005D21D3">
              <w:rPr>
                <w:rFonts w:eastAsia="Times New Roman" w:cs="Arial"/>
                <w:b/>
                <w:bCs/>
                <w:color w:val="000000"/>
                <w:sz w:val="18"/>
                <w:szCs w:val="20"/>
                <w:lang w:val="en-US"/>
              </w:rPr>
              <w:t xml:space="preserve">- </w:t>
            </w:r>
          </w:p>
        </w:tc>
      </w:tr>
    </w:tbl>
    <w:p w:rsidR="00B36820" w:rsidRPr="00B36820" w:rsidRDefault="00B36820" w:rsidP="00B36820"/>
    <w:p w:rsidR="00097928" w:rsidRPr="00181E39" w:rsidRDefault="00097928" w:rsidP="00B36820">
      <w:pPr>
        <w:pStyle w:val="Kop5"/>
        <w:numPr>
          <w:ilvl w:val="0"/>
          <w:numId w:val="0"/>
        </w:numPr>
        <w:ind w:left="1701"/>
        <w:rPr>
          <w:lang w:val="en-GB"/>
        </w:rPr>
      </w:pPr>
      <w:r w:rsidRPr="00181E39">
        <w:rPr>
          <w:lang w:val="en-GB"/>
        </w:rPr>
        <w:t>Policy instruments</w:t>
      </w:r>
    </w:p>
    <w:p w:rsidR="00C32F93" w:rsidRDefault="006620B9" w:rsidP="006620B9">
      <w:pPr>
        <w:pStyle w:val="OpsommingSymbool"/>
        <w:rPr>
          <w:lang w:val="en-GB"/>
        </w:rPr>
      </w:pPr>
      <w:r w:rsidRPr="006620B9">
        <w:rPr>
          <w:lang w:val="en-GB"/>
        </w:rPr>
        <w:t>Negot</w:t>
      </w:r>
      <w:r w:rsidR="00F14054">
        <w:rPr>
          <w:lang w:val="en-GB"/>
        </w:rPr>
        <w:t>i</w:t>
      </w:r>
      <w:r w:rsidRPr="006620B9">
        <w:rPr>
          <w:lang w:val="en-GB"/>
        </w:rPr>
        <w:t>ation costs</w:t>
      </w:r>
    </w:p>
    <w:tbl>
      <w:tblPr>
        <w:tblW w:w="7540" w:type="dxa"/>
        <w:tblInd w:w="2124" w:type="dxa"/>
        <w:tblLook w:val="04A0" w:firstRow="1" w:lastRow="0" w:firstColumn="1" w:lastColumn="0" w:noHBand="0" w:noVBand="1"/>
      </w:tblPr>
      <w:tblGrid>
        <w:gridCol w:w="3231"/>
        <w:gridCol w:w="1361"/>
        <w:gridCol w:w="1474"/>
        <w:gridCol w:w="1474"/>
      </w:tblGrid>
      <w:tr w:rsidR="00097928" w:rsidRPr="001E0C58" w:rsidTr="00B36820">
        <w:trPr>
          <w:trHeight w:val="708"/>
        </w:trPr>
        <w:tc>
          <w:tcPr>
            <w:tcW w:w="3231" w:type="dxa"/>
            <w:tcBorders>
              <w:top w:val="single" w:sz="4" w:space="0" w:color="auto"/>
              <w:left w:val="single" w:sz="4" w:space="0" w:color="auto"/>
              <w:bottom w:val="single" w:sz="4" w:space="0" w:color="auto"/>
              <w:right w:val="single" w:sz="4" w:space="0" w:color="auto"/>
            </w:tcBorders>
            <w:shd w:val="clear" w:color="000000" w:fill="D8D8D8"/>
            <w:hideMark/>
          </w:tcPr>
          <w:p w:rsidR="006620B9" w:rsidRPr="005D21D3" w:rsidRDefault="006620B9" w:rsidP="006620B9">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Actions required</w:t>
            </w:r>
          </w:p>
        </w:tc>
        <w:tc>
          <w:tcPr>
            <w:tcW w:w="1361" w:type="dxa"/>
            <w:tcBorders>
              <w:top w:val="single" w:sz="4" w:space="0" w:color="auto"/>
              <w:left w:val="nil"/>
              <w:bottom w:val="single" w:sz="4" w:space="0" w:color="auto"/>
              <w:right w:val="single" w:sz="4" w:space="0" w:color="auto"/>
            </w:tcBorders>
            <w:shd w:val="clear" w:color="000000" w:fill="D8D8D8"/>
            <w:hideMark/>
          </w:tcPr>
          <w:p w:rsidR="006620B9" w:rsidRPr="005D21D3" w:rsidRDefault="006620B9" w:rsidP="006620B9">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Estimated nr of days</w:t>
            </w:r>
          </w:p>
        </w:tc>
        <w:tc>
          <w:tcPr>
            <w:tcW w:w="1474" w:type="dxa"/>
            <w:tcBorders>
              <w:top w:val="single" w:sz="4" w:space="0" w:color="auto"/>
              <w:left w:val="nil"/>
              <w:bottom w:val="single" w:sz="4" w:space="0" w:color="auto"/>
              <w:right w:val="single" w:sz="4" w:space="0" w:color="auto"/>
            </w:tcBorders>
            <w:shd w:val="clear" w:color="000000" w:fill="D8D8D8"/>
            <w:hideMark/>
          </w:tcPr>
          <w:p w:rsidR="006620B9" w:rsidRPr="005D21D3" w:rsidRDefault="006620B9" w:rsidP="006620B9">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Estimated rate per day (€)</w:t>
            </w:r>
          </w:p>
        </w:tc>
        <w:tc>
          <w:tcPr>
            <w:tcW w:w="1474" w:type="dxa"/>
            <w:tcBorders>
              <w:top w:val="single" w:sz="4" w:space="0" w:color="auto"/>
              <w:left w:val="nil"/>
              <w:bottom w:val="single" w:sz="4" w:space="0" w:color="auto"/>
              <w:right w:val="single" w:sz="4" w:space="0" w:color="auto"/>
            </w:tcBorders>
            <w:shd w:val="clear" w:color="000000" w:fill="D8D8D8"/>
            <w:hideMark/>
          </w:tcPr>
          <w:p w:rsidR="006620B9" w:rsidRPr="005D21D3" w:rsidRDefault="006620B9" w:rsidP="006620B9">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Estimated one-off cost per action, €</w:t>
            </w:r>
          </w:p>
        </w:tc>
      </w:tr>
      <w:tr w:rsidR="00097928" w:rsidRPr="005D21D3" w:rsidTr="00B36820">
        <w:trPr>
          <w:trHeight w:val="276"/>
        </w:trPr>
        <w:tc>
          <w:tcPr>
            <w:tcW w:w="3231" w:type="dxa"/>
            <w:tcBorders>
              <w:top w:val="nil"/>
              <w:left w:val="single" w:sz="4" w:space="0" w:color="auto"/>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Planning &amp; preparation</w:t>
            </w:r>
          </w:p>
        </w:tc>
        <w:tc>
          <w:tcPr>
            <w:tcW w:w="1361" w:type="dxa"/>
            <w:tcBorders>
              <w:top w:val="nil"/>
              <w:left w:val="nil"/>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tcPr>
          <w:p w:rsidR="006620B9" w:rsidRPr="005D21D3" w:rsidRDefault="006620B9" w:rsidP="006620B9">
            <w:pPr>
              <w:spacing w:before="0" w:after="0" w:line="240" w:lineRule="auto"/>
              <w:jc w:val="right"/>
              <w:rPr>
                <w:rFonts w:eastAsia="Times New Roman" w:cs="Arial"/>
                <w:color w:val="000000"/>
                <w:sz w:val="18"/>
                <w:szCs w:val="20"/>
                <w:lang w:val="en-US"/>
              </w:rPr>
            </w:pPr>
          </w:p>
        </w:tc>
      </w:tr>
      <w:tr w:rsidR="00097928" w:rsidRPr="005D21D3" w:rsidTr="0075552A">
        <w:trPr>
          <w:trHeight w:val="276"/>
        </w:trPr>
        <w:tc>
          <w:tcPr>
            <w:tcW w:w="3231" w:type="dxa"/>
            <w:tcBorders>
              <w:top w:val="nil"/>
              <w:left w:val="single" w:sz="4" w:space="0" w:color="auto"/>
              <w:bottom w:val="single" w:sz="4" w:space="0" w:color="auto"/>
              <w:right w:val="single" w:sz="4" w:space="0" w:color="auto"/>
            </w:tcBorders>
            <w:shd w:val="clear" w:color="auto" w:fill="auto"/>
            <w:hideMark/>
          </w:tcPr>
          <w:p w:rsidR="006620B9" w:rsidRPr="005D21D3" w:rsidRDefault="0075552A"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Drafting agreement &amp; Ratification</w:t>
            </w:r>
          </w:p>
        </w:tc>
        <w:tc>
          <w:tcPr>
            <w:tcW w:w="1361" w:type="dxa"/>
            <w:tcBorders>
              <w:top w:val="nil"/>
              <w:left w:val="nil"/>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tcPr>
          <w:p w:rsidR="006620B9" w:rsidRPr="005D21D3" w:rsidRDefault="006620B9" w:rsidP="006620B9">
            <w:pPr>
              <w:spacing w:before="0" w:after="0" w:line="240" w:lineRule="auto"/>
              <w:jc w:val="right"/>
              <w:rPr>
                <w:rFonts w:eastAsia="Times New Roman" w:cs="Arial"/>
                <w:color w:val="000000"/>
                <w:sz w:val="18"/>
                <w:szCs w:val="20"/>
                <w:lang w:val="en-US"/>
              </w:rPr>
            </w:pPr>
          </w:p>
        </w:tc>
      </w:tr>
      <w:tr w:rsidR="0075552A" w:rsidRPr="005D21D3" w:rsidTr="00B36820">
        <w:trPr>
          <w:trHeight w:val="276"/>
        </w:trPr>
        <w:tc>
          <w:tcPr>
            <w:tcW w:w="3231" w:type="dxa"/>
            <w:tcBorders>
              <w:top w:val="nil"/>
              <w:left w:val="single" w:sz="4" w:space="0" w:color="auto"/>
              <w:bottom w:val="single" w:sz="4" w:space="0" w:color="auto"/>
              <w:right w:val="single" w:sz="4" w:space="0" w:color="auto"/>
            </w:tcBorders>
            <w:shd w:val="clear" w:color="auto" w:fill="auto"/>
            <w:hideMark/>
          </w:tcPr>
          <w:p w:rsidR="0075552A" w:rsidRPr="005D21D3" w:rsidRDefault="0075552A"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Meetings with neighboring MS</w:t>
            </w:r>
          </w:p>
        </w:tc>
        <w:tc>
          <w:tcPr>
            <w:tcW w:w="1361" w:type="dxa"/>
            <w:tcBorders>
              <w:top w:val="nil"/>
              <w:left w:val="nil"/>
              <w:bottom w:val="single" w:sz="4" w:space="0" w:color="auto"/>
              <w:right w:val="single" w:sz="4" w:space="0" w:color="auto"/>
            </w:tcBorders>
            <w:shd w:val="clear" w:color="auto" w:fill="auto"/>
            <w:hideMark/>
          </w:tcPr>
          <w:p w:rsidR="0075552A" w:rsidRPr="005D21D3" w:rsidRDefault="0075552A"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hideMark/>
          </w:tcPr>
          <w:p w:rsidR="0075552A" w:rsidRPr="005D21D3" w:rsidRDefault="0075552A"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tcPr>
          <w:p w:rsidR="0075552A" w:rsidRPr="005D21D3" w:rsidRDefault="0075552A" w:rsidP="006620B9">
            <w:pPr>
              <w:spacing w:before="0" w:after="0" w:line="240" w:lineRule="auto"/>
              <w:jc w:val="right"/>
              <w:rPr>
                <w:rFonts w:eastAsia="Times New Roman" w:cs="Arial"/>
                <w:color w:val="000000"/>
                <w:sz w:val="18"/>
                <w:szCs w:val="20"/>
                <w:lang w:val="en-US"/>
              </w:rPr>
            </w:pPr>
          </w:p>
        </w:tc>
      </w:tr>
      <w:tr w:rsidR="0075552A" w:rsidRPr="005D21D3" w:rsidTr="00B36820">
        <w:trPr>
          <w:trHeight w:val="276"/>
        </w:trPr>
        <w:tc>
          <w:tcPr>
            <w:tcW w:w="3231" w:type="dxa"/>
            <w:tcBorders>
              <w:top w:val="nil"/>
              <w:left w:val="single" w:sz="4" w:space="0" w:color="auto"/>
              <w:bottom w:val="single" w:sz="4" w:space="0" w:color="auto"/>
              <w:right w:val="single" w:sz="4" w:space="0" w:color="auto"/>
            </w:tcBorders>
            <w:shd w:val="clear" w:color="auto" w:fill="auto"/>
            <w:hideMark/>
          </w:tcPr>
          <w:p w:rsidR="0075552A" w:rsidRPr="005D21D3" w:rsidRDefault="0075552A"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Travel &amp; other costs</w:t>
            </w:r>
          </w:p>
        </w:tc>
        <w:tc>
          <w:tcPr>
            <w:tcW w:w="1361" w:type="dxa"/>
            <w:tcBorders>
              <w:top w:val="nil"/>
              <w:left w:val="nil"/>
              <w:bottom w:val="single" w:sz="4" w:space="0" w:color="auto"/>
              <w:right w:val="single" w:sz="4" w:space="0" w:color="auto"/>
            </w:tcBorders>
            <w:shd w:val="clear" w:color="auto" w:fill="auto"/>
            <w:hideMark/>
          </w:tcPr>
          <w:p w:rsidR="0075552A" w:rsidRPr="005D21D3" w:rsidRDefault="0075552A"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hideMark/>
          </w:tcPr>
          <w:p w:rsidR="0075552A" w:rsidRPr="005D21D3" w:rsidRDefault="0075552A"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tcPr>
          <w:p w:rsidR="0075552A" w:rsidRPr="005D21D3" w:rsidRDefault="0075552A" w:rsidP="006620B9">
            <w:pPr>
              <w:spacing w:before="0" w:after="0" w:line="240" w:lineRule="auto"/>
              <w:jc w:val="right"/>
              <w:rPr>
                <w:rFonts w:eastAsia="Times New Roman" w:cs="Arial"/>
                <w:color w:val="000000"/>
                <w:sz w:val="18"/>
                <w:szCs w:val="20"/>
                <w:lang w:val="en-US"/>
              </w:rPr>
            </w:pPr>
          </w:p>
        </w:tc>
      </w:tr>
      <w:tr w:rsidR="0075552A" w:rsidRPr="005D21D3" w:rsidTr="00B36820">
        <w:trPr>
          <w:trHeight w:val="276"/>
        </w:trPr>
        <w:tc>
          <w:tcPr>
            <w:tcW w:w="3231" w:type="dxa"/>
            <w:tcBorders>
              <w:top w:val="nil"/>
              <w:left w:val="single" w:sz="4" w:space="0" w:color="auto"/>
              <w:bottom w:val="single" w:sz="4" w:space="0" w:color="auto"/>
              <w:right w:val="single" w:sz="4" w:space="0" w:color="auto"/>
            </w:tcBorders>
            <w:shd w:val="clear" w:color="auto" w:fill="auto"/>
            <w:hideMark/>
          </w:tcPr>
          <w:p w:rsidR="0075552A" w:rsidRPr="005D21D3" w:rsidRDefault="0075552A" w:rsidP="006620B9">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Total implementation cost</w:t>
            </w:r>
          </w:p>
        </w:tc>
        <w:tc>
          <w:tcPr>
            <w:tcW w:w="1361" w:type="dxa"/>
            <w:tcBorders>
              <w:top w:val="nil"/>
              <w:left w:val="nil"/>
              <w:bottom w:val="single" w:sz="4" w:space="0" w:color="auto"/>
              <w:right w:val="single" w:sz="4" w:space="0" w:color="auto"/>
            </w:tcBorders>
            <w:shd w:val="clear" w:color="auto" w:fill="auto"/>
            <w:hideMark/>
          </w:tcPr>
          <w:p w:rsidR="0075552A" w:rsidRPr="005D21D3" w:rsidRDefault="0075552A" w:rsidP="006620B9">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hideMark/>
          </w:tcPr>
          <w:p w:rsidR="0075552A" w:rsidRPr="005D21D3" w:rsidRDefault="0075552A" w:rsidP="006620B9">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noWrap/>
          </w:tcPr>
          <w:p w:rsidR="0075552A" w:rsidRPr="005D21D3" w:rsidRDefault="0075552A" w:rsidP="006620B9">
            <w:pPr>
              <w:spacing w:before="0" w:after="0" w:line="240" w:lineRule="auto"/>
              <w:jc w:val="right"/>
              <w:rPr>
                <w:rFonts w:eastAsia="Times New Roman" w:cs="Arial"/>
                <w:b/>
                <w:bCs/>
                <w:color w:val="000000"/>
                <w:sz w:val="18"/>
                <w:szCs w:val="20"/>
                <w:lang w:val="en-US"/>
              </w:rPr>
            </w:pPr>
            <w:r w:rsidRPr="005D21D3">
              <w:rPr>
                <w:rFonts w:eastAsia="Times New Roman" w:cs="Arial"/>
                <w:b/>
                <w:bCs/>
                <w:color w:val="000000"/>
                <w:sz w:val="18"/>
                <w:szCs w:val="20"/>
                <w:lang w:val="en-US"/>
              </w:rPr>
              <w:t>€</w:t>
            </w:r>
            <w:r>
              <w:rPr>
                <w:rFonts w:eastAsia="Times New Roman" w:cs="Arial"/>
                <w:b/>
                <w:bCs/>
                <w:color w:val="000000"/>
                <w:sz w:val="18"/>
                <w:szCs w:val="20"/>
                <w:lang w:val="en-US"/>
              </w:rPr>
              <w:t xml:space="preserve">  </w:t>
            </w:r>
          </w:p>
        </w:tc>
      </w:tr>
    </w:tbl>
    <w:p w:rsidR="00097928" w:rsidRDefault="00097928" w:rsidP="00097928">
      <w:pPr>
        <w:pStyle w:val="OpsommingSymbool"/>
        <w:rPr>
          <w:lang w:val="en-GB"/>
        </w:rPr>
      </w:pPr>
      <w:r>
        <w:rPr>
          <w:lang w:val="en-GB"/>
        </w:rPr>
        <w:t>Research</w:t>
      </w:r>
      <w:r w:rsidRPr="006620B9">
        <w:rPr>
          <w:lang w:val="en-GB"/>
        </w:rPr>
        <w:t xml:space="preserve"> costs</w:t>
      </w:r>
    </w:p>
    <w:tbl>
      <w:tblPr>
        <w:tblW w:w="7540" w:type="dxa"/>
        <w:tblInd w:w="2124" w:type="dxa"/>
        <w:tblLook w:val="04A0" w:firstRow="1" w:lastRow="0" w:firstColumn="1" w:lastColumn="0" w:noHBand="0" w:noVBand="1"/>
      </w:tblPr>
      <w:tblGrid>
        <w:gridCol w:w="3231"/>
        <w:gridCol w:w="1361"/>
        <w:gridCol w:w="1474"/>
        <w:gridCol w:w="1474"/>
      </w:tblGrid>
      <w:tr w:rsidR="00097928" w:rsidRPr="001E0C58" w:rsidTr="00097928">
        <w:trPr>
          <w:trHeight w:val="528"/>
        </w:trPr>
        <w:tc>
          <w:tcPr>
            <w:tcW w:w="3231" w:type="dxa"/>
            <w:tcBorders>
              <w:top w:val="single" w:sz="4" w:space="0" w:color="auto"/>
              <w:left w:val="single" w:sz="4" w:space="0" w:color="auto"/>
              <w:bottom w:val="single" w:sz="4" w:space="0" w:color="auto"/>
              <w:right w:val="single" w:sz="4" w:space="0" w:color="auto"/>
            </w:tcBorders>
            <w:shd w:val="clear" w:color="000000" w:fill="D8D8D8"/>
            <w:hideMark/>
          </w:tcPr>
          <w:p w:rsidR="00097928" w:rsidRPr="005D21D3" w:rsidRDefault="00097928" w:rsidP="00097928">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 xml:space="preserve">Actions required </w:t>
            </w:r>
          </w:p>
        </w:tc>
        <w:tc>
          <w:tcPr>
            <w:tcW w:w="1361" w:type="dxa"/>
            <w:tcBorders>
              <w:top w:val="single" w:sz="4" w:space="0" w:color="auto"/>
              <w:left w:val="nil"/>
              <w:bottom w:val="single" w:sz="4" w:space="0" w:color="auto"/>
              <w:right w:val="single" w:sz="4" w:space="0" w:color="auto"/>
            </w:tcBorders>
            <w:shd w:val="clear" w:color="000000" w:fill="D8D8D8"/>
            <w:hideMark/>
          </w:tcPr>
          <w:p w:rsidR="00097928" w:rsidRPr="005D21D3" w:rsidRDefault="00097928" w:rsidP="00097928">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Estimated nr of days</w:t>
            </w:r>
          </w:p>
        </w:tc>
        <w:tc>
          <w:tcPr>
            <w:tcW w:w="1474" w:type="dxa"/>
            <w:tcBorders>
              <w:top w:val="single" w:sz="4" w:space="0" w:color="auto"/>
              <w:left w:val="nil"/>
              <w:bottom w:val="single" w:sz="4" w:space="0" w:color="auto"/>
              <w:right w:val="single" w:sz="4" w:space="0" w:color="auto"/>
            </w:tcBorders>
            <w:shd w:val="clear" w:color="000000" w:fill="D8D8D8"/>
            <w:hideMark/>
          </w:tcPr>
          <w:p w:rsidR="00097928" w:rsidRPr="005D21D3" w:rsidRDefault="00097928" w:rsidP="00097928">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Estimated rate per day (€)</w:t>
            </w:r>
          </w:p>
        </w:tc>
        <w:tc>
          <w:tcPr>
            <w:tcW w:w="1474" w:type="dxa"/>
            <w:tcBorders>
              <w:top w:val="single" w:sz="4" w:space="0" w:color="auto"/>
              <w:left w:val="nil"/>
              <w:bottom w:val="single" w:sz="4" w:space="0" w:color="auto"/>
              <w:right w:val="single" w:sz="4" w:space="0" w:color="auto"/>
            </w:tcBorders>
            <w:shd w:val="clear" w:color="000000" w:fill="D8D8D8"/>
            <w:hideMark/>
          </w:tcPr>
          <w:p w:rsidR="00097928" w:rsidRPr="005D21D3" w:rsidRDefault="00097928" w:rsidP="00097928">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Estimated one-off cost per action, €</w:t>
            </w:r>
          </w:p>
        </w:tc>
      </w:tr>
      <w:tr w:rsidR="00097928" w:rsidRPr="005D21D3" w:rsidTr="00097928">
        <w:trPr>
          <w:trHeight w:val="264"/>
        </w:trPr>
        <w:tc>
          <w:tcPr>
            <w:tcW w:w="3231" w:type="dxa"/>
            <w:tcBorders>
              <w:top w:val="nil"/>
              <w:left w:val="single" w:sz="4" w:space="0" w:color="auto"/>
              <w:bottom w:val="single" w:sz="4" w:space="0" w:color="auto"/>
              <w:right w:val="single" w:sz="4" w:space="0" w:color="auto"/>
            </w:tcBorders>
            <w:shd w:val="clear" w:color="auto" w:fill="auto"/>
            <w:hideMark/>
          </w:tcPr>
          <w:p w:rsidR="00097928" w:rsidRPr="005D21D3" w:rsidRDefault="00097928"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xml:space="preserve">Research time </w:t>
            </w:r>
          </w:p>
        </w:tc>
        <w:tc>
          <w:tcPr>
            <w:tcW w:w="1361" w:type="dxa"/>
            <w:tcBorders>
              <w:top w:val="nil"/>
              <w:left w:val="nil"/>
              <w:bottom w:val="single" w:sz="4" w:space="0" w:color="auto"/>
              <w:right w:val="single" w:sz="4" w:space="0" w:color="auto"/>
            </w:tcBorders>
            <w:shd w:val="clear" w:color="auto" w:fill="auto"/>
            <w:hideMark/>
          </w:tcPr>
          <w:p w:rsidR="00097928" w:rsidRPr="005D21D3" w:rsidRDefault="00097928"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hideMark/>
          </w:tcPr>
          <w:p w:rsidR="00097928" w:rsidRPr="005D21D3" w:rsidRDefault="00097928"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tcPr>
          <w:p w:rsidR="00097928" w:rsidRPr="005D21D3" w:rsidRDefault="00097928" w:rsidP="00097928">
            <w:pPr>
              <w:spacing w:before="0" w:after="0" w:line="240" w:lineRule="auto"/>
              <w:jc w:val="right"/>
              <w:rPr>
                <w:rFonts w:eastAsia="Times New Roman" w:cs="Arial"/>
                <w:color w:val="000000"/>
                <w:sz w:val="18"/>
                <w:szCs w:val="20"/>
                <w:lang w:val="en-US"/>
              </w:rPr>
            </w:pPr>
          </w:p>
        </w:tc>
      </w:tr>
      <w:tr w:rsidR="00267C1E" w:rsidRPr="005D21D3" w:rsidTr="00097928">
        <w:trPr>
          <w:trHeight w:val="264"/>
        </w:trPr>
        <w:tc>
          <w:tcPr>
            <w:tcW w:w="3231" w:type="dxa"/>
            <w:tcBorders>
              <w:top w:val="nil"/>
              <w:left w:val="single" w:sz="4" w:space="0" w:color="auto"/>
              <w:bottom w:val="single" w:sz="4" w:space="0" w:color="auto"/>
              <w:right w:val="single" w:sz="4" w:space="0" w:color="auto"/>
            </w:tcBorders>
            <w:shd w:val="clear" w:color="auto" w:fill="auto"/>
            <w:hideMark/>
          </w:tcPr>
          <w:p w:rsidR="00267C1E" w:rsidRPr="005D21D3" w:rsidRDefault="00267C1E" w:rsidP="00097928">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Total cost</w:t>
            </w:r>
          </w:p>
        </w:tc>
        <w:tc>
          <w:tcPr>
            <w:tcW w:w="1361" w:type="dxa"/>
            <w:tcBorders>
              <w:top w:val="nil"/>
              <w:left w:val="nil"/>
              <w:bottom w:val="single" w:sz="4" w:space="0" w:color="auto"/>
              <w:right w:val="single" w:sz="4" w:space="0" w:color="auto"/>
            </w:tcBorders>
            <w:shd w:val="clear" w:color="auto" w:fill="auto"/>
            <w:hideMark/>
          </w:tcPr>
          <w:p w:rsidR="00267C1E" w:rsidRPr="005D21D3" w:rsidRDefault="00267C1E" w:rsidP="00097928">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hideMark/>
          </w:tcPr>
          <w:p w:rsidR="00267C1E" w:rsidRPr="005D21D3" w:rsidRDefault="00267C1E" w:rsidP="00097928">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noWrap/>
          </w:tcPr>
          <w:p w:rsidR="00267C1E" w:rsidRPr="005D21D3" w:rsidRDefault="00267C1E" w:rsidP="00097928">
            <w:pPr>
              <w:spacing w:before="0" w:after="0" w:line="240" w:lineRule="auto"/>
              <w:jc w:val="right"/>
              <w:rPr>
                <w:rFonts w:eastAsia="Times New Roman" w:cs="Arial"/>
                <w:b/>
                <w:bCs/>
                <w:color w:val="000000"/>
                <w:sz w:val="18"/>
                <w:szCs w:val="20"/>
                <w:lang w:val="en-US"/>
              </w:rPr>
            </w:pPr>
            <w:r w:rsidRPr="005D21D3">
              <w:rPr>
                <w:rFonts w:eastAsia="Times New Roman" w:cs="Arial"/>
                <w:b/>
                <w:bCs/>
                <w:color w:val="000000"/>
                <w:sz w:val="18"/>
                <w:szCs w:val="20"/>
                <w:lang w:val="en-US"/>
              </w:rPr>
              <w:t>€</w:t>
            </w:r>
            <w:r w:rsidR="0075552A">
              <w:rPr>
                <w:rFonts w:eastAsia="Times New Roman" w:cs="Arial"/>
                <w:b/>
                <w:bCs/>
                <w:color w:val="000000"/>
                <w:sz w:val="18"/>
                <w:szCs w:val="20"/>
                <w:lang w:val="en-US"/>
              </w:rPr>
              <w:t xml:space="preserve">  </w:t>
            </w:r>
          </w:p>
        </w:tc>
      </w:tr>
    </w:tbl>
    <w:p w:rsidR="00627D9B" w:rsidRDefault="00627D9B" w:rsidP="00B36820">
      <w:pPr>
        <w:pStyle w:val="OpsommingSymbool"/>
        <w:numPr>
          <w:ilvl w:val="0"/>
          <w:numId w:val="16"/>
        </w:numPr>
        <w:rPr>
          <w:lang w:val="en-GB"/>
        </w:rPr>
      </w:pPr>
      <w:r>
        <w:rPr>
          <w:lang w:val="en-GB"/>
        </w:rPr>
        <w:t>Alternative approach: cost of si</w:t>
      </w:r>
      <w:r w:rsidR="00A779AE">
        <w:rPr>
          <w:lang w:val="en-GB"/>
        </w:rPr>
        <w:t xml:space="preserve">milar research projects </w:t>
      </w:r>
    </w:p>
    <w:p w:rsidR="007A7283" w:rsidRDefault="007A7283">
      <w:pPr>
        <w:spacing w:before="0" w:after="200" w:line="276" w:lineRule="auto"/>
        <w:rPr>
          <w:lang w:val="en-GB"/>
        </w:rPr>
      </w:pPr>
      <w:r>
        <w:rPr>
          <w:lang w:val="en-GB"/>
        </w:rPr>
        <w:br w:type="page"/>
      </w:r>
    </w:p>
    <w:p w:rsidR="00097928" w:rsidRPr="006620B9" w:rsidRDefault="00097928" w:rsidP="00097928">
      <w:pPr>
        <w:pStyle w:val="OpsommingSymbool"/>
        <w:rPr>
          <w:lang w:val="en-GB"/>
        </w:rPr>
      </w:pPr>
      <w:r w:rsidRPr="006620B9">
        <w:rPr>
          <w:lang w:val="en-GB"/>
        </w:rPr>
        <w:lastRenderedPageBreak/>
        <w:t>Costs for assistance with voluntary agreements</w:t>
      </w:r>
    </w:p>
    <w:tbl>
      <w:tblPr>
        <w:tblW w:w="7540" w:type="dxa"/>
        <w:tblInd w:w="2124" w:type="dxa"/>
        <w:tblLook w:val="04A0" w:firstRow="1" w:lastRow="0" w:firstColumn="1" w:lastColumn="0" w:noHBand="0" w:noVBand="1"/>
      </w:tblPr>
      <w:tblGrid>
        <w:gridCol w:w="3231"/>
        <w:gridCol w:w="1361"/>
        <w:gridCol w:w="1474"/>
        <w:gridCol w:w="1474"/>
      </w:tblGrid>
      <w:tr w:rsidR="00097928" w:rsidRPr="001E0C58" w:rsidTr="00B36820">
        <w:trPr>
          <w:trHeight w:val="528"/>
        </w:trPr>
        <w:tc>
          <w:tcPr>
            <w:tcW w:w="3231" w:type="dxa"/>
            <w:tcBorders>
              <w:top w:val="single" w:sz="4" w:space="0" w:color="auto"/>
              <w:left w:val="single" w:sz="4" w:space="0" w:color="auto"/>
              <w:bottom w:val="single" w:sz="4" w:space="0" w:color="auto"/>
              <w:right w:val="single" w:sz="4" w:space="0" w:color="auto"/>
            </w:tcBorders>
            <w:shd w:val="clear" w:color="000000" w:fill="D8D8D8"/>
            <w:hideMark/>
          </w:tcPr>
          <w:p w:rsidR="00097928" w:rsidRPr="005D21D3" w:rsidRDefault="00097928" w:rsidP="00097928">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Actions required</w:t>
            </w:r>
          </w:p>
        </w:tc>
        <w:tc>
          <w:tcPr>
            <w:tcW w:w="1361" w:type="dxa"/>
            <w:tcBorders>
              <w:top w:val="single" w:sz="4" w:space="0" w:color="auto"/>
              <w:left w:val="nil"/>
              <w:bottom w:val="single" w:sz="4" w:space="0" w:color="auto"/>
              <w:right w:val="single" w:sz="4" w:space="0" w:color="auto"/>
            </w:tcBorders>
            <w:shd w:val="clear" w:color="000000" w:fill="D8D8D8"/>
            <w:hideMark/>
          </w:tcPr>
          <w:p w:rsidR="00097928" w:rsidRPr="005D21D3" w:rsidRDefault="00097928" w:rsidP="00097928">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Estimated nr of days</w:t>
            </w:r>
          </w:p>
        </w:tc>
        <w:tc>
          <w:tcPr>
            <w:tcW w:w="1474" w:type="dxa"/>
            <w:tcBorders>
              <w:top w:val="single" w:sz="4" w:space="0" w:color="auto"/>
              <w:left w:val="nil"/>
              <w:bottom w:val="single" w:sz="4" w:space="0" w:color="auto"/>
              <w:right w:val="single" w:sz="4" w:space="0" w:color="auto"/>
            </w:tcBorders>
            <w:shd w:val="clear" w:color="000000" w:fill="D8D8D8"/>
            <w:hideMark/>
          </w:tcPr>
          <w:p w:rsidR="00097928" w:rsidRPr="005D21D3" w:rsidRDefault="00097928" w:rsidP="00097928">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Estimated rate per day (€)</w:t>
            </w:r>
          </w:p>
        </w:tc>
        <w:tc>
          <w:tcPr>
            <w:tcW w:w="1474" w:type="dxa"/>
            <w:tcBorders>
              <w:top w:val="single" w:sz="4" w:space="0" w:color="auto"/>
              <w:left w:val="nil"/>
              <w:bottom w:val="single" w:sz="4" w:space="0" w:color="auto"/>
              <w:right w:val="single" w:sz="4" w:space="0" w:color="auto"/>
            </w:tcBorders>
            <w:shd w:val="clear" w:color="000000" w:fill="D8D8D8"/>
            <w:hideMark/>
          </w:tcPr>
          <w:p w:rsidR="00097928" w:rsidRPr="005D21D3" w:rsidRDefault="00097928" w:rsidP="00097928">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Estimated one-off cost per action, €</w:t>
            </w:r>
          </w:p>
        </w:tc>
      </w:tr>
      <w:tr w:rsidR="00097928" w:rsidRPr="001E0C58" w:rsidTr="00B36820">
        <w:trPr>
          <w:trHeight w:val="264"/>
        </w:trPr>
        <w:tc>
          <w:tcPr>
            <w:tcW w:w="3231" w:type="dxa"/>
            <w:tcBorders>
              <w:top w:val="nil"/>
              <w:left w:val="single" w:sz="4" w:space="0" w:color="auto"/>
              <w:bottom w:val="single" w:sz="4" w:space="0" w:color="auto"/>
              <w:right w:val="single" w:sz="4" w:space="0" w:color="auto"/>
            </w:tcBorders>
            <w:shd w:val="clear" w:color="auto" w:fill="auto"/>
            <w:hideMark/>
          </w:tcPr>
          <w:p w:rsidR="00097928" w:rsidRPr="005D21D3" w:rsidRDefault="00097928"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Staff time (preparation, follow up)</w:t>
            </w:r>
          </w:p>
        </w:tc>
        <w:tc>
          <w:tcPr>
            <w:tcW w:w="1361" w:type="dxa"/>
            <w:tcBorders>
              <w:top w:val="nil"/>
              <w:left w:val="nil"/>
              <w:bottom w:val="single" w:sz="4" w:space="0" w:color="auto"/>
              <w:right w:val="single" w:sz="4" w:space="0" w:color="auto"/>
            </w:tcBorders>
            <w:shd w:val="clear" w:color="auto" w:fill="auto"/>
            <w:hideMark/>
          </w:tcPr>
          <w:p w:rsidR="00097928" w:rsidRPr="005D21D3" w:rsidRDefault="00097928"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hideMark/>
          </w:tcPr>
          <w:p w:rsidR="00097928" w:rsidRPr="005D21D3" w:rsidRDefault="00097928"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tcPr>
          <w:p w:rsidR="00097928" w:rsidRPr="005D21D3" w:rsidRDefault="00097928" w:rsidP="00097928">
            <w:pPr>
              <w:spacing w:before="0" w:after="0" w:line="240" w:lineRule="auto"/>
              <w:jc w:val="right"/>
              <w:rPr>
                <w:rFonts w:eastAsia="Times New Roman" w:cs="Arial"/>
                <w:color w:val="000000"/>
                <w:sz w:val="18"/>
                <w:szCs w:val="20"/>
                <w:lang w:val="en-US"/>
              </w:rPr>
            </w:pPr>
          </w:p>
        </w:tc>
      </w:tr>
      <w:tr w:rsidR="0075552A" w:rsidRPr="005D21D3" w:rsidTr="00B36820">
        <w:trPr>
          <w:trHeight w:val="264"/>
        </w:trPr>
        <w:tc>
          <w:tcPr>
            <w:tcW w:w="3231" w:type="dxa"/>
            <w:tcBorders>
              <w:top w:val="nil"/>
              <w:left w:val="single" w:sz="4" w:space="0" w:color="auto"/>
              <w:bottom w:val="single" w:sz="4" w:space="0" w:color="auto"/>
              <w:right w:val="single" w:sz="4" w:space="0" w:color="auto"/>
            </w:tcBorders>
            <w:shd w:val="clear" w:color="auto" w:fill="auto"/>
            <w:hideMark/>
          </w:tcPr>
          <w:p w:rsidR="0075552A" w:rsidRPr="005D21D3" w:rsidRDefault="0075552A"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Meetings with neighboring MS</w:t>
            </w:r>
          </w:p>
        </w:tc>
        <w:tc>
          <w:tcPr>
            <w:tcW w:w="1361" w:type="dxa"/>
            <w:tcBorders>
              <w:top w:val="nil"/>
              <w:left w:val="nil"/>
              <w:bottom w:val="single" w:sz="4" w:space="0" w:color="auto"/>
              <w:right w:val="single" w:sz="4" w:space="0" w:color="auto"/>
            </w:tcBorders>
            <w:shd w:val="clear" w:color="auto" w:fill="auto"/>
            <w:hideMark/>
          </w:tcPr>
          <w:p w:rsidR="0075552A" w:rsidRPr="005D21D3" w:rsidRDefault="0075552A"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hideMark/>
          </w:tcPr>
          <w:p w:rsidR="0075552A" w:rsidRPr="005D21D3" w:rsidRDefault="0075552A"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tcPr>
          <w:p w:rsidR="0075552A" w:rsidRPr="005D21D3" w:rsidRDefault="0075552A" w:rsidP="00097928">
            <w:pPr>
              <w:spacing w:before="0" w:after="0" w:line="240" w:lineRule="auto"/>
              <w:jc w:val="right"/>
              <w:rPr>
                <w:rFonts w:eastAsia="Times New Roman" w:cs="Arial"/>
                <w:color w:val="000000"/>
                <w:sz w:val="18"/>
                <w:szCs w:val="20"/>
                <w:lang w:val="en-US"/>
              </w:rPr>
            </w:pPr>
          </w:p>
        </w:tc>
      </w:tr>
      <w:tr w:rsidR="0075552A" w:rsidRPr="005D21D3" w:rsidTr="00B36820">
        <w:trPr>
          <w:trHeight w:val="264"/>
        </w:trPr>
        <w:tc>
          <w:tcPr>
            <w:tcW w:w="3231" w:type="dxa"/>
            <w:tcBorders>
              <w:top w:val="nil"/>
              <w:left w:val="single" w:sz="4" w:space="0" w:color="auto"/>
              <w:bottom w:val="single" w:sz="4" w:space="0" w:color="auto"/>
              <w:right w:val="single" w:sz="4" w:space="0" w:color="auto"/>
            </w:tcBorders>
            <w:shd w:val="clear" w:color="auto" w:fill="auto"/>
            <w:hideMark/>
          </w:tcPr>
          <w:p w:rsidR="0075552A" w:rsidRPr="005D21D3" w:rsidRDefault="0075552A"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Travel &amp; other costs</w:t>
            </w:r>
          </w:p>
        </w:tc>
        <w:tc>
          <w:tcPr>
            <w:tcW w:w="1361" w:type="dxa"/>
            <w:tcBorders>
              <w:top w:val="nil"/>
              <w:left w:val="nil"/>
              <w:bottom w:val="single" w:sz="4" w:space="0" w:color="auto"/>
              <w:right w:val="single" w:sz="4" w:space="0" w:color="auto"/>
            </w:tcBorders>
            <w:shd w:val="clear" w:color="auto" w:fill="auto"/>
            <w:hideMark/>
          </w:tcPr>
          <w:p w:rsidR="0075552A" w:rsidRPr="005D21D3" w:rsidRDefault="0075552A"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hideMark/>
          </w:tcPr>
          <w:p w:rsidR="0075552A" w:rsidRPr="005D21D3" w:rsidRDefault="0075552A" w:rsidP="00097928">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tcPr>
          <w:p w:rsidR="0075552A" w:rsidRPr="005D21D3" w:rsidRDefault="0075552A" w:rsidP="00097928">
            <w:pPr>
              <w:spacing w:before="0" w:after="0" w:line="240" w:lineRule="auto"/>
              <w:jc w:val="right"/>
              <w:rPr>
                <w:rFonts w:eastAsia="Times New Roman" w:cs="Arial"/>
                <w:color w:val="000000"/>
                <w:sz w:val="18"/>
                <w:szCs w:val="20"/>
                <w:lang w:val="en-US"/>
              </w:rPr>
            </w:pPr>
          </w:p>
        </w:tc>
      </w:tr>
      <w:tr w:rsidR="00097928" w:rsidRPr="005D21D3" w:rsidTr="00B36820">
        <w:trPr>
          <w:trHeight w:val="264"/>
        </w:trPr>
        <w:tc>
          <w:tcPr>
            <w:tcW w:w="3231" w:type="dxa"/>
            <w:tcBorders>
              <w:top w:val="nil"/>
              <w:left w:val="single" w:sz="4" w:space="0" w:color="auto"/>
              <w:bottom w:val="single" w:sz="4" w:space="0" w:color="auto"/>
              <w:right w:val="single" w:sz="4" w:space="0" w:color="auto"/>
            </w:tcBorders>
            <w:shd w:val="clear" w:color="auto" w:fill="auto"/>
            <w:hideMark/>
          </w:tcPr>
          <w:p w:rsidR="00097928" w:rsidRPr="005D21D3" w:rsidRDefault="00097928" w:rsidP="00097928">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 xml:space="preserve">Total estimate: </w:t>
            </w:r>
          </w:p>
        </w:tc>
        <w:tc>
          <w:tcPr>
            <w:tcW w:w="1361" w:type="dxa"/>
            <w:tcBorders>
              <w:top w:val="nil"/>
              <w:left w:val="nil"/>
              <w:bottom w:val="single" w:sz="4" w:space="0" w:color="auto"/>
              <w:right w:val="single" w:sz="4" w:space="0" w:color="auto"/>
            </w:tcBorders>
            <w:shd w:val="clear" w:color="auto" w:fill="auto"/>
            <w:hideMark/>
          </w:tcPr>
          <w:p w:rsidR="00097928" w:rsidRPr="005D21D3" w:rsidRDefault="00097928" w:rsidP="00097928">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hideMark/>
          </w:tcPr>
          <w:p w:rsidR="00097928" w:rsidRPr="005D21D3" w:rsidRDefault="00097928" w:rsidP="00097928">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noWrap/>
            <w:hideMark/>
          </w:tcPr>
          <w:p w:rsidR="00097928" w:rsidRPr="005D21D3" w:rsidRDefault="00097928" w:rsidP="00097928">
            <w:pPr>
              <w:spacing w:before="0" w:after="0" w:line="240" w:lineRule="auto"/>
              <w:jc w:val="right"/>
              <w:rPr>
                <w:rFonts w:eastAsia="Times New Roman" w:cs="Arial"/>
                <w:b/>
                <w:bCs/>
                <w:color w:val="000000"/>
                <w:sz w:val="18"/>
                <w:szCs w:val="20"/>
                <w:lang w:val="en-US"/>
              </w:rPr>
            </w:pPr>
            <w:r w:rsidRPr="005D21D3">
              <w:rPr>
                <w:rFonts w:eastAsia="Times New Roman" w:cs="Arial"/>
                <w:b/>
                <w:bCs/>
                <w:color w:val="000000"/>
                <w:sz w:val="18"/>
                <w:szCs w:val="20"/>
                <w:lang w:val="en-US"/>
              </w:rPr>
              <w:t>€</w:t>
            </w:r>
            <w:r w:rsidR="0075552A">
              <w:rPr>
                <w:rFonts w:eastAsia="Times New Roman" w:cs="Arial"/>
                <w:b/>
                <w:bCs/>
                <w:color w:val="000000"/>
                <w:sz w:val="18"/>
                <w:szCs w:val="20"/>
                <w:lang w:val="en-US"/>
              </w:rPr>
              <w:t xml:space="preserve">   </w:t>
            </w:r>
            <w:r w:rsidRPr="005D21D3">
              <w:rPr>
                <w:rFonts w:eastAsia="Times New Roman" w:cs="Arial"/>
                <w:b/>
                <w:bCs/>
                <w:color w:val="000000"/>
                <w:sz w:val="18"/>
                <w:szCs w:val="20"/>
                <w:lang w:val="en-US"/>
              </w:rPr>
              <w:t xml:space="preserve">- </w:t>
            </w:r>
          </w:p>
        </w:tc>
      </w:tr>
    </w:tbl>
    <w:p w:rsidR="00442871" w:rsidRDefault="00442871" w:rsidP="00442871">
      <w:pPr>
        <w:pStyle w:val="OpsommingSymbool"/>
        <w:rPr>
          <w:lang w:val="en-GB"/>
        </w:rPr>
      </w:pPr>
      <w:r>
        <w:rPr>
          <w:lang w:val="en-GB"/>
        </w:rPr>
        <w:t xml:space="preserve">Management </w:t>
      </w:r>
      <w:r w:rsidRPr="006620B9">
        <w:rPr>
          <w:lang w:val="en-GB"/>
        </w:rPr>
        <w:t>costs</w:t>
      </w:r>
    </w:p>
    <w:tbl>
      <w:tblPr>
        <w:tblW w:w="7597" w:type="dxa"/>
        <w:tblInd w:w="2124" w:type="dxa"/>
        <w:tblLook w:val="04A0" w:firstRow="1" w:lastRow="0" w:firstColumn="1" w:lastColumn="0" w:noHBand="0" w:noVBand="1"/>
      </w:tblPr>
      <w:tblGrid>
        <w:gridCol w:w="3231"/>
        <w:gridCol w:w="1361"/>
        <w:gridCol w:w="1474"/>
        <w:gridCol w:w="1531"/>
      </w:tblGrid>
      <w:tr w:rsidR="00442871" w:rsidRPr="005D21D3" w:rsidTr="00B36820">
        <w:trPr>
          <w:trHeight w:val="528"/>
        </w:trPr>
        <w:tc>
          <w:tcPr>
            <w:tcW w:w="3231" w:type="dxa"/>
            <w:tcBorders>
              <w:top w:val="single" w:sz="4" w:space="0" w:color="auto"/>
              <w:left w:val="single" w:sz="4" w:space="0" w:color="auto"/>
              <w:bottom w:val="single" w:sz="4" w:space="0" w:color="auto"/>
              <w:right w:val="single" w:sz="4" w:space="0" w:color="auto"/>
            </w:tcBorders>
            <w:shd w:val="clear" w:color="000000" w:fill="D8D8D8"/>
            <w:hideMark/>
          </w:tcPr>
          <w:p w:rsidR="00442871" w:rsidRPr="005D21D3" w:rsidRDefault="00442871" w:rsidP="005800A7">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Actions required</w:t>
            </w:r>
          </w:p>
        </w:tc>
        <w:tc>
          <w:tcPr>
            <w:tcW w:w="1361" w:type="dxa"/>
            <w:tcBorders>
              <w:top w:val="single" w:sz="4" w:space="0" w:color="auto"/>
              <w:left w:val="nil"/>
              <w:bottom w:val="single" w:sz="4" w:space="0" w:color="auto"/>
              <w:right w:val="single" w:sz="4" w:space="0" w:color="auto"/>
            </w:tcBorders>
            <w:shd w:val="clear" w:color="000000" w:fill="D8D8D8"/>
            <w:hideMark/>
          </w:tcPr>
          <w:p w:rsidR="00442871" w:rsidRPr="005D21D3" w:rsidRDefault="00442871" w:rsidP="00442871">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Estimated nr of days/</w:t>
            </w:r>
            <w:proofErr w:type="spellStart"/>
            <w:r w:rsidRPr="005D21D3">
              <w:rPr>
                <w:rFonts w:eastAsia="Times New Roman" w:cs="Arial"/>
                <w:b/>
                <w:bCs/>
                <w:color w:val="000000"/>
                <w:sz w:val="18"/>
                <w:szCs w:val="20"/>
                <w:lang w:val="en-US"/>
              </w:rPr>
              <w:t>yr</w:t>
            </w:r>
            <w:proofErr w:type="spellEnd"/>
          </w:p>
        </w:tc>
        <w:tc>
          <w:tcPr>
            <w:tcW w:w="1474" w:type="dxa"/>
            <w:tcBorders>
              <w:top w:val="single" w:sz="4" w:space="0" w:color="auto"/>
              <w:left w:val="nil"/>
              <w:bottom w:val="single" w:sz="4" w:space="0" w:color="auto"/>
              <w:right w:val="single" w:sz="4" w:space="0" w:color="auto"/>
            </w:tcBorders>
            <w:shd w:val="clear" w:color="000000" w:fill="D8D8D8"/>
            <w:hideMark/>
          </w:tcPr>
          <w:p w:rsidR="00442871" w:rsidRPr="005D21D3" w:rsidRDefault="00442871" w:rsidP="005800A7">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Estimated rate per day (€)</w:t>
            </w:r>
          </w:p>
        </w:tc>
        <w:tc>
          <w:tcPr>
            <w:tcW w:w="1531" w:type="dxa"/>
            <w:tcBorders>
              <w:top w:val="single" w:sz="4" w:space="0" w:color="auto"/>
              <w:left w:val="nil"/>
              <w:bottom w:val="single" w:sz="4" w:space="0" w:color="auto"/>
              <w:right w:val="single" w:sz="4" w:space="0" w:color="auto"/>
            </w:tcBorders>
            <w:shd w:val="clear" w:color="000000" w:fill="D8D8D8"/>
            <w:hideMark/>
          </w:tcPr>
          <w:p w:rsidR="00442871" w:rsidRPr="005D21D3" w:rsidRDefault="00442871" w:rsidP="00442871">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Estimated cost per year</w:t>
            </w:r>
            <w:r w:rsidR="005D21D3" w:rsidRPr="005D21D3">
              <w:rPr>
                <w:rFonts w:eastAsia="Times New Roman" w:cs="Arial"/>
                <w:b/>
                <w:bCs/>
                <w:color w:val="000000"/>
                <w:sz w:val="18"/>
                <w:szCs w:val="20"/>
                <w:lang w:val="en-US"/>
              </w:rPr>
              <w:t xml:space="preserve"> </w:t>
            </w:r>
            <w:r w:rsidRPr="005D21D3">
              <w:rPr>
                <w:rFonts w:eastAsia="Times New Roman" w:cs="Arial"/>
                <w:b/>
                <w:bCs/>
                <w:color w:val="000000"/>
                <w:sz w:val="18"/>
                <w:szCs w:val="20"/>
                <w:lang w:val="en-US"/>
              </w:rPr>
              <w:t>€</w:t>
            </w:r>
          </w:p>
        </w:tc>
      </w:tr>
      <w:tr w:rsidR="00442871" w:rsidRPr="001E0C58" w:rsidTr="00B36820">
        <w:trPr>
          <w:trHeight w:val="264"/>
        </w:trPr>
        <w:tc>
          <w:tcPr>
            <w:tcW w:w="3231" w:type="dxa"/>
            <w:tcBorders>
              <w:top w:val="nil"/>
              <w:left w:val="single" w:sz="4" w:space="0" w:color="auto"/>
              <w:bottom w:val="single" w:sz="4" w:space="0" w:color="auto"/>
              <w:right w:val="single" w:sz="4" w:space="0" w:color="auto"/>
            </w:tcBorders>
            <w:shd w:val="clear" w:color="auto" w:fill="auto"/>
            <w:hideMark/>
          </w:tcPr>
          <w:p w:rsidR="00442871" w:rsidRPr="005D21D3" w:rsidRDefault="00442871" w:rsidP="005800A7">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Staff time (preparation, follow up)</w:t>
            </w:r>
          </w:p>
        </w:tc>
        <w:tc>
          <w:tcPr>
            <w:tcW w:w="1361" w:type="dxa"/>
            <w:tcBorders>
              <w:top w:val="nil"/>
              <w:left w:val="nil"/>
              <w:bottom w:val="single" w:sz="4" w:space="0" w:color="auto"/>
              <w:right w:val="single" w:sz="4" w:space="0" w:color="auto"/>
            </w:tcBorders>
            <w:shd w:val="clear" w:color="auto" w:fill="auto"/>
            <w:hideMark/>
          </w:tcPr>
          <w:p w:rsidR="00442871" w:rsidRPr="005D21D3" w:rsidRDefault="00442871" w:rsidP="005800A7">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hideMark/>
          </w:tcPr>
          <w:p w:rsidR="00442871" w:rsidRPr="005D21D3" w:rsidRDefault="00442871" w:rsidP="005800A7">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531" w:type="dxa"/>
            <w:tcBorders>
              <w:top w:val="nil"/>
              <w:left w:val="nil"/>
              <w:bottom w:val="single" w:sz="4" w:space="0" w:color="auto"/>
              <w:right w:val="single" w:sz="4" w:space="0" w:color="auto"/>
            </w:tcBorders>
            <w:shd w:val="clear" w:color="auto" w:fill="auto"/>
          </w:tcPr>
          <w:p w:rsidR="00442871" w:rsidRPr="005D21D3" w:rsidRDefault="00442871" w:rsidP="005800A7">
            <w:pPr>
              <w:spacing w:before="0" w:after="0" w:line="240" w:lineRule="auto"/>
              <w:jc w:val="right"/>
              <w:rPr>
                <w:rFonts w:eastAsia="Times New Roman" w:cs="Arial"/>
                <w:color w:val="000000"/>
                <w:sz w:val="18"/>
                <w:szCs w:val="20"/>
                <w:lang w:val="en-US"/>
              </w:rPr>
            </w:pPr>
          </w:p>
        </w:tc>
      </w:tr>
      <w:tr w:rsidR="0075552A" w:rsidRPr="005D21D3" w:rsidTr="00B36820">
        <w:trPr>
          <w:trHeight w:val="264"/>
        </w:trPr>
        <w:tc>
          <w:tcPr>
            <w:tcW w:w="3231" w:type="dxa"/>
            <w:tcBorders>
              <w:top w:val="nil"/>
              <w:left w:val="single" w:sz="4" w:space="0" w:color="auto"/>
              <w:bottom w:val="single" w:sz="4" w:space="0" w:color="auto"/>
              <w:right w:val="single" w:sz="4" w:space="0" w:color="auto"/>
            </w:tcBorders>
            <w:shd w:val="clear" w:color="auto" w:fill="auto"/>
            <w:hideMark/>
          </w:tcPr>
          <w:p w:rsidR="0075552A" w:rsidRPr="005D21D3" w:rsidRDefault="0075552A" w:rsidP="005800A7">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Meetings with neighboring MS</w:t>
            </w:r>
          </w:p>
        </w:tc>
        <w:tc>
          <w:tcPr>
            <w:tcW w:w="1361" w:type="dxa"/>
            <w:tcBorders>
              <w:top w:val="nil"/>
              <w:left w:val="nil"/>
              <w:bottom w:val="single" w:sz="4" w:space="0" w:color="auto"/>
              <w:right w:val="single" w:sz="4" w:space="0" w:color="auto"/>
            </w:tcBorders>
            <w:shd w:val="clear" w:color="auto" w:fill="auto"/>
            <w:hideMark/>
          </w:tcPr>
          <w:p w:rsidR="0075552A" w:rsidRPr="005D21D3" w:rsidRDefault="0075552A" w:rsidP="005800A7">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hideMark/>
          </w:tcPr>
          <w:p w:rsidR="0075552A" w:rsidRPr="005D21D3" w:rsidRDefault="0075552A" w:rsidP="005800A7">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531" w:type="dxa"/>
            <w:tcBorders>
              <w:top w:val="nil"/>
              <w:left w:val="nil"/>
              <w:bottom w:val="single" w:sz="4" w:space="0" w:color="auto"/>
              <w:right w:val="single" w:sz="4" w:space="0" w:color="auto"/>
            </w:tcBorders>
            <w:shd w:val="clear" w:color="auto" w:fill="auto"/>
          </w:tcPr>
          <w:p w:rsidR="0075552A" w:rsidRPr="005D21D3" w:rsidRDefault="0075552A" w:rsidP="005800A7">
            <w:pPr>
              <w:spacing w:before="0" w:after="0" w:line="240" w:lineRule="auto"/>
              <w:jc w:val="right"/>
              <w:rPr>
                <w:rFonts w:eastAsia="Times New Roman" w:cs="Arial"/>
                <w:color w:val="000000"/>
                <w:sz w:val="18"/>
                <w:szCs w:val="20"/>
                <w:lang w:val="en-US"/>
              </w:rPr>
            </w:pPr>
          </w:p>
        </w:tc>
      </w:tr>
      <w:tr w:rsidR="0075552A" w:rsidRPr="005D21D3" w:rsidTr="00B36820">
        <w:trPr>
          <w:trHeight w:val="264"/>
        </w:trPr>
        <w:tc>
          <w:tcPr>
            <w:tcW w:w="3231" w:type="dxa"/>
            <w:tcBorders>
              <w:top w:val="nil"/>
              <w:left w:val="single" w:sz="4" w:space="0" w:color="auto"/>
              <w:bottom w:val="single" w:sz="4" w:space="0" w:color="auto"/>
              <w:right w:val="single" w:sz="4" w:space="0" w:color="auto"/>
            </w:tcBorders>
            <w:shd w:val="clear" w:color="auto" w:fill="auto"/>
            <w:hideMark/>
          </w:tcPr>
          <w:p w:rsidR="0075552A" w:rsidRPr="005D21D3" w:rsidRDefault="0075552A" w:rsidP="005800A7">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Travel &amp; other costs</w:t>
            </w:r>
          </w:p>
        </w:tc>
        <w:tc>
          <w:tcPr>
            <w:tcW w:w="1361" w:type="dxa"/>
            <w:tcBorders>
              <w:top w:val="nil"/>
              <w:left w:val="nil"/>
              <w:bottom w:val="single" w:sz="4" w:space="0" w:color="auto"/>
              <w:right w:val="single" w:sz="4" w:space="0" w:color="auto"/>
            </w:tcBorders>
            <w:shd w:val="clear" w:color="auto" w:fill="auto"/>
            <w:hideMark/>
          </w:tcPr>
          <w:p w:rsidR="0075552A" w:rsidRPr="005D21D3" w:rsidRDefault="0075552A" w:rsidP="005800A7">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hideMark/>
          </w:tcPr>
          <w:p w:rsidR="0075552A" w:rsidRPr="005D21D3" w:rsidRDefault="0075552A" w:rsidP="005800A7">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531" w:type="dxa"/>
            <w:tcBorders>
              <w:top w:val="nil"/>
              <w:left w:val="nil"/>
              <w:bottom w:val="single" w:sz="4" w:space="0" w:color="auto"/>
              <w:right w:val="single" w:sz="4" w:space="0" w:color="auto"/>
            </w:tcBorders>
            <w:shd w:val="clear" w:color="auto" w:fill="auto"/>
          </w:tcPr>
          <w:p w:rsidR="0075552A" w:rsidRPr="005D21D3" w:rsidRDefault="0075552A" w:rsidP="005800A7">
            <w:pPr>
              <w:spacing w:before="0" w:after="0" w:line="240" w:lineRule="auto"/>
              <w:jc w:val="right"/>
              <w:rPr>
                <w:rFonts w:eastAsia="Times New Roman" w:cs="Arial"/>
                <w:color w:val="000000"/>
                <w:sz w:val="18"/>
                <w:szCs w:val="20"/>
                <w:lang w:val="en-US"/>
              </w:rPr>
            </w:pPr>
          </w:p>
        </w:tc>
      </w:tr>
      <w:tr w:rsidR="00442871" w:rsidRPr="005D21D3" w:rsidTr="00B36820">
        <w:trPr>
          <w:trHeight w:val="264"/>
        </w:trPr>
        <w:tc>
          <w:tcPr>
            <w:tcW w:w="3231" w:type="dxa"/>
            <w:tcBorders>
              <w:top w:val="nil"/>
              <w:left w:val="single" w:sz="4" w:space="0" w:color="auto"/>
              <w:bottom w:val="single" w:sz="4" w:space="0" w:color="auto"/>
              <w:right w:val="single" w:sz="4" w:space="0" w:color="auto"/>
            </w:tcBorders>
            <w:shd w:val="clear" w:color="auto" w:fill="auto"/>
            <w:hideMark/>
          </w:tcPr>
          <w:p w:rsidR="00442871" w:rsidRPr="005D21D3" w:rsidRDefault="00442871" w:rsidP="005800A7">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 xml:space="preserve">Total estimate: </w:t>
            </w:r>
          </w:p>
        </w:tc>
        <w:tc>
          <w:tcPr>
            <w:tcW w:w="1361" w:type="dxa"/>
            <w:tcBorders>
              <w:top w:val="nil"/>
              <w:left w:val="nil"/>
              <w:bottom w:val="single" w:sz="4" w:space="0" w:color="auto"/>
              <w:right w:val="single" w:sz="4" w:space="0" w:color="auto"/>
            </w:tcBorders>
            <w:shd w:val="clear" w:color="auto" w:fill="auto"/>
            <w:hideMark/>
          </w:tcPr>
          <w:p w:rsidR="00442871" w:rsidRPr="005D21D3" w:rsidRDefault="00442871" w:rsidP="005800A7">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hideMark/>
          </w:tcPr>
          <w:p w:rsidR="00442871" w:rsidRPr="005D21D3" w:rsidRDefault="00442871" w:rsidP="005800A7">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 </w:t>
            </w:r>
          </w:p>
        </w:tc>
        <w:tc>
          <w:tcPr>
            <w:tcW w:w="1531" w:type="dxa"/>
            <w:tcBorders>
              <w:top w:val="nil"/>
              <w:left w:val="nil"/>
              <w:bottom w:val="single" w:sz="4" w:space="0" w:color="auto"/>
              <w:right w:val="single" w:sz="4" w:space="0" w:color="auto"/>
            </w:tcBorders>
            <w:shd w:val="clear" w:color="auto" w:fill="auto"/>
            <w:noWrap/>
            <w:hideMark/>
          </w:tcPr>
          <w:p w:rsidR="00442871" w:rsidRPr="005D21D3" w:rsidRDefault="00442871" w:rsidP="005800A7">
            <w:pPr>
              <w:spacing w:before="0" w:after="0" w:line="240" w:lineRule="auto"/>
              <w:jc w:val="right"/>
              <w:rPr>
                <w:rFonts w:eastAsia="Times New Roman" w:cs="Arial"/>
                <w:b/>
                <w:bCs/>
                <w:color w:val="000000"/>
                <w:sz w:val="18"/>
                <w:szCs w:val="20"/>
                <w:lang w:val="en-US"/>
              </w:rPr>
            </w:pPr>
            <w:r w:rsidRPr="005D21D3">
              <w:rPr>
                <w:rFonts w:eastAsia="Times New Roman" w:cs="Arial"/>
                <w:b/>
                <w:bCs/>
                <w:color w:val="000000"/>
                <w:sz w:val="18"/>
                <w:szCs w:val="20"/>
                <w:lang w:val="en-US"/>
              </w:rPr>
              <w:t>€</w:t>
            </w:r>
            <w:r w:rsidR="0075552A">
              <w:rPr>
                <w:rFonts w:eastAsia="Times New Roman" w:cs="Arial"/>
                <w:b/>
                <w:bCs/>
                <w:color w:val="000000"/>
                <w:sz w:val="18"/>
                <w:szCs w:val="20"/>
                <w:lang w:val="en-US"/>
              </w:rPr>
              <w:t xml:space="preserve">   </w:t>
            </w:r>
            <w:r w:rsidRPr="005D21D3">
              <w:rPr>
                <w:rFonts w:eastAsia="Times New Roman" w:cs="Arial"/>
                <w:b/>
                <w:bCs/>
                <w:color w:val="000000"/>
                <w:sz w:val="18"/>
                <w:szCs w:val="20"/>
                <w:lang w:val="en-US"/>
              </w:rPr>
              <w:t>-</w:t>
            </w:r>
            <w:r w:rsidR="005D21D3" w:rsidRPr="005D21D3">
              <w:rPr>
                <w:rFonts w:eastAsia="Times New Roman" w:cs="Arial"/>
                <w:b/>
                <w:bCs/>
                <w:color w:val="000000"/>
                <w:sz w:val="18"/>
                <w:szCs w:val="20"/>
                <w:lang w:val="en-US"/>
              </w:rPr>
              <w:t xml:space="preserve"> </w:t>
            </w:r>
          </w:p>
        </w:tc>
      </w:tr>
    </w:tbl>
    <w:p w:rsidR="00627590" w:rsidRDefault="00627590" w:rsidP="00627590">
      <w:pPr>
        <w:pStyle w:val="OpsommingSymbool"/>
        <w:rPr>
          <w:lang w:val="en-GB"/>
        </w:rPr>
      </w:pPr>
      <w:proofErr w:type="spellStart"/>
      <w:r>
        <w:rPr>
          <w:lang w:val="en-GB"/>
        </w:rPr>
        <w:t>Sectoral</w:t>
      </w:r>
      <w:proofErr w:type="spellEnd"/>
      <w:r w:rsidRPr="006620B9">
        <w:rPr>
          <w:lang w:val="en-GB"/>
        </w:rPr>
        <w:t xml:space="preserve"> costs</w:t>
      </w:r>
    </w:p>
    <w:tbl>
      <w:tblPr>
        <w:tblW w:w="6464" w:type="dxa"/>
        <w:tblInd w:w="2124" w:type="dxa"/>
        <w:tblLook w:val="04A0" w:firstRow="1" w:lastRow="0" w:firstColumn="1" w:lastColumn="0" w:noHBand="0" w:noVBand="1"/>
      </w:tblPr>
      <w:tblGrid>
        <w:gridCol w:w="3402"/>
        <w:gridCol w:w="1531"/>
        <w:gridCol w:w="1531"/>
      </w:tblGrid>
      <w:tr w:rsidR="00627590" w:rsidRPr="005D21D3" w:rsidTr="00627590">
        <w:trPr>
          <w:trHeight w:val="454"/>
        </w:trPr>
        <w:tc>
          <w:tcPr>
            <w:tcW w:w="3402" w:type="dxa"/>
            <w:tcBorders>
              <w:top w:val="single" w:sz="4" w:space="0" w:color="auto"/>
              <w:left w:val="single" w:sz="4" w:space="0" w:color="auto"/>
              <w:bottom w:val="single" w:sz="4" w:space="0" w:color="auto"/>
              <w:right w:val="single" w:sz="4" w:space="0" w:color="auto"/>
            </w:tcBorders>
            <w:shd w:val="clear" w:color="000000" w:fill="D8D8D8"/>
            <w:hideMark/>
          </w:tcPr>
          <w:p w:rsidR="00627590" w:rsidRPr="005D21D3" w:rsidRDefault="00627590" w:rsidP="00627590">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 xml:space="preserve">Actions required </w:t>
            </w:r>
          </w:p>
        </w:tc>
        <w:tc>
          <w:tcPr>
            <w:tcW w:w="1531" w:type="dxa"/>
            <w:tcBorders>
              <w:top w:val="single" w:sz="4" w:space="0" w:color="auto"/>
              <w:left w:val="nil"/>
              <w:bottom w:val="single" w:sz="4" w:space="0" w:color="auto"/>
              <w:right w:val="single" w:sz="4" w:space="0" w:color="auto"/>
            </w:tcBorders>
            <w:shd w:val="clear" w:color="000000" w:fill="D8D8D8"/>
            <w:hideMark/>
          </w:tcPr>
          <w:p w:rsidR="00627590" w:rsidRPr="005D21D3" w:rsidRDefault="00627590" w:rsidP="00627590">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Estimated one-off cost, €</w:t>
            </w:r>
          </w:p>
        </w:tc>
        <w:tc>
          <w:tcPr>
            <w:tcW w:w="1531" w:type="dxa"/>
            <w:tcBorders>
              <w:top w:val="single" w:sz="4" w:space="0" w:color="auto"/>
              <w:left w:val="nil"/>
              <w:bottom w:val="single" w:sz="4" w:space="0" w:color="auto"/>
              <w:right w:val="single" w:sz="4" w:space="0" w:color="auto"/>
            </w:tcBorders>
            <w:shd w:val="clear" w:color="000000" w:fill="D8D8D8"/>
            <w:hideMark/>
          </w:tcPr>
          <w:p w:rsidR="00627590" w:rsidRPr="005D21D3" w:rsidRDefault="00627590" w:rsidP="00627590">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Estimated cost per year (€)</w:t>
            </w:r>
          </w:p>
        </w:tc>
      </w:tr>
      <w:tr w:rsidR="00627590" w:rsidRPr="005D21D3" w:rsidTr="00627590">
        <w:trPr>
          <w:trHeight w:val="264"/>
        </w:trPr>
        <w:tc>
          <w:tcPr>
            <w:tcW w:w="3402" w:type="dxa"/>
            <w:tcBorders>
              <w:top w:val="nil"/>
              <w:left w:val="single" w:sz="4" w:space="0" w:color="auto"/>
              <w:bottom w:val="single" w:sz="4" w:space="0" w:color="auto"/>
              <w:right w:val="single" w:sz="4" w:space="0" w:color="auto"/>
            </w:tcBorders>
            <w:shd w:val="clear" w:color="auto" w:fill="auto"/>
            <w:hideMark/>
          </w:tcPr>
          <w:p w:rsidR="00627590" w:rsidRPr="005D21D3" w:rsidRDefault="00627590" w:rsidP="00627590">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Investment costs</w:t>
            </w:r>
          </w:p>
        </w:tc>
        <w:tc>
          <w:tcPr>
            <w:tcW w:w="1531" w:type="dxa"/>
            <w:tcBorders>
              <w:top w:val="nil"/>
              <w:left w:val="nil"/>
              <w:bottom w:val="single" w:sz="4" w:space="0" w:color="auto"/>
              <w:right w:val="single" w:sz="4" w:space="0" w:color="auto"/>
            </w:tcBorders>
            <w:shd w:val="clear" w:color="auto" w:fill="auto"/>
            <w:hideMark/>
          </w:tcPr>
          <w:p w:rsidR="00627590" w:rsidRPr="005D21D3" w:rsidRDefault="00627590" w:rsidP="00627590">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531" w:type="dxa"/>
            <w:tcBorders>
              <w:top w:val="nil"/>
              <w:left w:val="nil"/>
              <w:bottom w:val="single" w:sz="4" w:space="0" w:color="auto"/>
              <w:right w:val="single" w:sz="4" w:space="0" w:color="auto"/>
            </w:tcBorders>
            <w:shd w:val="clear" w:color="000000" w:fill="D9D9D9"/>
            <w:hideMark/>
          </w:tcPr>
          <w:p w:rsidR="00627590" w:rsidRPr="005D21D3" w:rsidRDefault="00627590" w:rsidP="00627590">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r>
      <w:tr w:rsidR="00627590" w:rsidRPr="005D21D3" w:rsidTr="00627590">
        <w:trPr>
          <w:trHeight w:val="264"/>
        </w:trPr>
        <w:tc>
          <w:tcPr>
            <w:tcW w:w="3402" w:type="dxa"/>
            <w:tcBorders>
              <w:top w:val="nil"/>
              <w:left w:val="single" w:sz="4" w:space="0" w:color="auto"/>
              <w:bottom w:val="single" w:sz="4" w:space="0" w:color="auto"/>
              <w:right w:val="single" w:sz="4" w:space="0" w:color="auto"/>
            </w:tcBorders>
            <w:shd w:val="clear" w:color="auto" w:fill="auto"/>
            <w:hideMark/>
          </w:tcPr>
          <w:p w:rsidR="00627590" w:rsidRPr="005D21D3" w:rsidRDefault="00627590" w:rsidP="00627590">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Operational costs</w:t>
            </w:r>
          </w:p>
        </w:tc>
        <w:tc>
          <w:tcPr>
            <w:tcW w:w="1531" w:type="dxa"/>
            <w:tcBorders>
              <w:top w:val="nil"/>
              <w:left w:val="nil"/>
              <w:bottom w:val="single" w:sz="4" w:space="0" w:color="auto"/>
              <w:right w:val="single" w:sz="4" w:space="0" w:color="auto"/>
            </w:tcBorders>
            <w:shd w:val="clear" w:color="000000" w:fill="D9D9D9"/>
            <w:hideMark/>
          </w:tcPr>
          <w:p w:rsidR="00627590" w:rsidRPr="005D21D3" w:rsidRDefault="00627590" w:rsidP="00627590">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531" w:type="dxa"/>
            <w:tcBorders>
              <w:top w:val="nil"/>
              <w:left w:val="nil"/>
              <w:bottom w:val="single" w:sz="4" w:space="0" w:color="auto"/>
              <w:right w:val="single" w:sz="4" w:space="0" w:color="auto"/>
            </w:tcBorders>
            <w:shd w:val="clear" w:color="auto" w:fill="auto"/>
            <w:hideMark/>
          </w:tcPr>
          <w:p w:rsidR="00627590" w:rsidRPr="005D21D3" w:rsidRDefault="00627590" w:rsidP="00627590">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r>
      <w:tr w:rsidR="00627590" w:rsidRPr="005D21D3" w:rsidTr="00627590">
        <w:trPr>
          <w:trHeight w:val="264"/>
        </w:trPr>
        <w:tc>
          <w:tcPr>
            <w:tcW w:w="3402" w:type="dxa"/>
            <w:tcBorders>
              <w:top w:val="nil"/>
              <w:left w:val="single" w:sz="4" w:space="0" w:color="auto"/>
              <w:bottom w:val="single" w:sz="4" w:space="0" w:color="auto"/>
              <w:right w:val="single" w:sz="4" w:space="0" w:color="auto"/>
            </w:tcBorders>
            <w:shd w:val="clear" w:color="auto" w:fill="auto"/>
            <w:hideMark/>
          </w:tcPr>
          <w:p w:rsidR="00627590" w:rsidRPr="005D21D3" w:rsidRDefault="00627590" w:rsidP="00627590">
            <w:pPr>
              <w:spacing w:before="0" w:after="0" w:line="240" w:lineRule="auto"/>
              <w:rPr>
                <w:rFonts w:eastAsia="Times New Roman" w:cs="Arial"/>
                <w:color w:val="000000"/>
                <w:sz w:val="18"/>
                <w:szCs w:val="20"/>
                <w:lang w:val="en-US"/>
              </w:rPr>
            </w:pPr>
            <w:r>
              <w:rPr>
                <w:rFonts w:eastAsia="Times New Roman" w:cs="Arial"/>
                <w:color w:val="000000"/>
                <w:sz w:val="18"/>
                <w:szCs w:val="20"/>
                <w:lang w:val="en-US"/>
              </w:rPr>
              <w:t>Loss of added value</w:t>
            </w:r>
          </w:p>
        </w:tc>
        <w:tc>
          <w:tcPr>
            <w:tcW w:w="1531" w:type="dxa"/>
            <w:tcBorders>
              <w:top w:val="nil"/>
              <w:left w:val="nil"/>
              <w:bottom w:val="single" w:sz="4" w:space="0" w:color="auto"/>
              <w:right w:val="single" w:sz="4" w:space="0" w:color="auto"/>
            </w:tcBorders>
            <w:shd w:val="clear" w:color="000000" w:fill="D9D9D9"/>
            <w:hideMark/>
          </w:tcPr>
          <w:p w:rsidR="00627590" w:rsidRPr="005D21D3" w:rsidRDefault="00627590" w:rsidP="00627590">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531" w:type="dxa"/>
            <w:tcBorders>
              <w:top w:val="nil"/>
              <w:left w:val="nil"/>
              <w:bottom w:val="single" w:sz="4" w:space="0" w:color="auto"/>
              <w:right w:val="single" w:sz="4" w:space="0" w:color="auto"/>
            </w:tcBorders>
            <w:shd w:val="clear" w:color="auto" w:fill="auto"/>
            <w:hideMark/>
          </w:tcPr>
          <w:p w:rsidR="00627590" w:rsidRPr="005D21D3" w:rsidRDefault="00627590" w:rsidP="00627590">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r>
      <w:tr w:rsidR="00627590" w:rsidRPr="005D21D3" w:rsidTr="00627590">
        <w:trPr>
          <w:trHeight w:val="264"/>
        </w:trPr>
        <w:tc>
          <w:tcPr>
            <w:tcW w:w="3402" w:type="dxa"/>
            <w:tcBorders>
              <w:top w:val="nil"/>
              <w:left w:val="single" w:sz="4" w:space="0" w:color="auto"/>
              <w:bottom w:val="single" w:sz="4" w:space="0" w:color="auto"/>
              <w:right w:val="single" w:sz="4" w:space="0" w:color="auto"/>
            </w:tcBorders>
            <w:shd w:val="clear" w:color="auto" w:fill="auto"/>
          </w:tcPr>
          <w:p w:rsidR="00627590" w:rsidRPr="005D21D3" w:rsidRDefault="00627590" w:rsidP="00627590">
            <w:pPr>
              <w:spacing w:before="0" w:after="0" w:line="240" w:lineRule="auto"/>
              <w:rPr>
                <w:rFonts w:eastAsia="Times New Roman" w:cs="Arial"/>
                <w:b/>
                <w:bCs/>
                <w:color w:val="000000"/>
                <w:sz w:val="18"/>
                <w:szCs w:val="20"/>
                <w:lang w:val="en-US"/>
              </w:rPr>
            </w:pPr>
            <w:r>
              <w:rPr>
                <w:rFonts w:eastAsia="Times New Roman" w:cs="Arial"/>
                <w:color w:val="000000"/>
                <w:sz w:val="18"/>
                <w:szCs w:val="20"/>
                <w:lang w:val="en-US"/>
              </w:rPr>
              <w:t>Loss of employment</w:t>
            </w:r>
          </w:p>
        </w:tc>
        <w:tc>
          <w:tcPr>
            <w:tcW w:w="1531" w:type="dxa"/>
            <w:tcBorders>
              <w:top w:val="nil"/>
              <w:left w:val="nil"/>
              <w:bottom w:val="single" w:sz="4" w:space="0" w:color="auto"/>
              <w:right w:val="single" w:sz="4" w:space="0" w:color="auto"/>
            </w:tcBorders>
            <w:shd w:val="clear" w:color="auto" w:fill="auto"/>
            <w:noWrap/>
          </w:tcPr>
          <w:p w:rsidR="00627590" w:rsidRPr="005D21D3" w:rsidRDefault="00627590" w:rsidP="00627590">
            <w:pPr>
              <w:spacing w:before="0" w:after="0" w:line="240" w:lineRule="auto"/>
              <w:jc w:val="right"/>
              <w:rPr>
                <w:rFonts w:eastAsia="Times New Roman" w:cs="Arial"/>
                <w:b/>
                <w:bCs/>
                <w:color w:val="000000"/>
                <w:sz w:val="18"/>
                <w:szCs w:val="20"/>
                <w:lang w:val="en-US"/>
              </w:rPr>
            </w:pPr>
            <w:r w:rsidRPr="005D21D3">
              <w:rPr>
                <w:rFonts w:eastAsia="Times New Roman" w:cs="Arial"/>
                <w:color w:val="000000"/>
                <w:sz w:val="18"/>
                <w:szCs w:val="20"/>
                <w:lang w:val="en-US"/>
              </w:rPr>
              <w:t> </w:t>
            </w:r>
          </w:p>
        </w:tc>
        <w:tc>
          <w:tcPr>
            <w:tcW w:w="1531" w:type="dxa"/>
            <w:tcBorders>
              <w:top w:val="nil"/>
              <w:left w:val="nil"/>
              <w:bottom w:val="single" w:sz="4" w:space="0" w:color="auto"/>
              <w:right w:val="single" w:sz="4" w:space="0" w:color="auto"/>
            </w:tcBorders>
            <w:shd w:val="clear" w:color="auto" w:fill="auto"/>
            <w:noWrap/>
          </w:tcPr>
          <w:p w:rsidR="00627590" w:rsidRPr="005D21D3" w:rsidRDefault="00627590" w:rsidP="00627590">
            <w:pPr>
              <w:spacing w:before="0" w:after="0" w:line="240" w:lineRule="auto"/>
              <w:jc w:val="right"/>
              <w:rPr>
                <w:rFonts w:eastAsia="Times New Roman" w:cs="Arial"/>
                <w:b/>
                <w:bCs/>
                <w:color w:val="000000"/>
                <w:sz w:val="18"/>
                <w:szCs w:val="20"/>
                <w:lang w:val="en-US"/>
              </w:rPr>
            </w:pPr>
            <w:r w:rsidRPr="005D21D3">
              <w:rPr>
                <w:rFonts w:eastAsia="Times New Roman" w:cs="Arial"/>
                <w:color w:val="000000"/>
                <w:sz w:val="18"/>
                <w:szCs w:val="20"/>
                <w:lang w:val="en-US"/>
              </w:rPr>
              <w:t> </w:t>
            </w:r>
          </w:p>
        </w:tc>
      </w:tr>
      <w:tr w:rsidR="00627590" w:rsidRPr="005D21D3" w:rsidTr="00627590">
        <w:trPr>
          <w:trHeight w:val="264"/>
        </w:trPr>
        <w:tc>
          <w:tcPr>
            <w:tcW w:w="3402" w:type="dxa"/>
            <w:tcBorders>
              <w:top w:val="nil"/>
              <w:left w:val="single" w:sz="4" w:space="0" w:color="auto"/>
              <w:bottom w:val="single" w:sz="4" w:space="0" w:color="auto"/>
              <w:right w:val="single" w:sz="4" w:space="0" w:color="auto"/>
            </w:tcBorders>
            <w:shd w:val="clear" w:color="auto" w:fill="auto"/>
            <w:hideMark/>
          </w:tcPr>
          <w:p w:rsidR="00627590" w:rsidRPr="005D21D3" w:rsidRDefault="00627590" w:rsidP="00627590">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Total cost</w:t>
            </w:r>
          </w:p>
        </w:tc>
        <w:tc>
          <w:tcPr>
            <w:tcW w:w="1531" w:type="dxa"/>
            <w:tcBorders>
              <w:top w:val="nil"/>
              <w:left w:val="nil"/>
              <w:bottom w:val="single" w:sz="4" w:space="0" w:color="auto"/>
              <w:right w:val="single" w:sz="4" w:space="0" w:color="auto"/>
            </w:tcBorders>
            <w:shd w:val="clear" w:color="auto" w:fill="auto"/>
            <w:noWrap/>
            <w:hideMark/>
          </w:tcPr>
          <w:p w:rsidR="00627590" w:rsidRPr="005D21D3" w:rsidRDefault="00627590" w:rsidP="00627590">
            <w:pPr>
              <w:spacing w:before="0" w:after="0" w:line="240" w:lineRule="auto"/>
              <w:jc w:val="right"/>
              <w:rPr>
                <w:rFonts w:eastAsia="Times New Roman" w:cs="Arial"/>
                <w:b/>
                <w:bCs/>
                <w:color w:val="000000"/>
                <w:sz w:val="18"/>
                <w:szCs w:val="20"/>
                <w:lang w:val="en-US"/>
              </w:rPr>
            </w:pPr>
            <w:r w:rsidRPr="005D21D3">
              <w:rPr>
                <w:rFonts w:eastAsia="Times New Roman" w:cs="Arial"/>
                <w:b/>
                <w:bCs/>
                <w:color w:val="000000"/>
                <w:sz w:val="18"/>
                <w:szCs w:val="20"/>
                <w:lang w:val="en-US"/>
              </w:rPr>
              <w:t xml:space="preserve"> €</w:t>
            </w:r>
            <w:r w:rsidR="0075552A">
              <w:rPr>
                <w:rFonts w:eastAsia="Times New Roman" w:cs="Arial"/>
                <w:b/>
                <w:bCs/>
                <w:color w:val="000000"/>
                <w:sz w:val="18"/>
                <w:szCs w:val="20"/>
                <w:lang w:val="en-US"/>
              </w:rPr>
              <w:t xml:space="preserve">  </w:t>
            </w:r>
            <w:r w:rsidRPr="005D21D3">
              <w:rPr>
                <w:rFonts w:eastAsia="Times New Roman" w:cs="Arial"/>
                <w:b/>
                <w:bCs/>
                <w:color w:val="000000"/>
                <w:sz w:val="18"/>
                <w:szCs w:val="20"/>
                <w:lang w:val="en-US"/>
              </w:rPr>
              <w:t xml:space="preserve">- </w:t>
            </w:r>
          </w:p>
        </w:tc>
        <w:tc>
          <w:tcPr>
            <w:tcW w:w="1531" w:type="dxa"/>
            <w:tcBorders>
              <w:top w:val="nil"/>
              <w:left w:val="nil"/>
              <w:bottom w:val="single" w:sz="4" w:space="0" w:color="auto"/>
              <w:right w:val="single" w:sz="4" w:space="0" w:color="auto"/>
            </w:tcBorders>
            <w:shd w:val="clear" w:color="auto" w:fill="auto"/>
            <w:noWrap/>
            <w:hideMark/>
          </w:tcPr>
          <w:p w:rsidR="00627590" w:rsidRPr="005D21D3" w:rsidRDefault="00627590" w:rsidP="00627590">
            <w:pPr>
              <w:spacing w:before="0" w:after="0" w:line="240" w:lineRule="auto"/>
              <w:jc w:val="right"/>
              <w:rPr>
                <w:rFonts w:eastAsia="Times New Roman" w:cs="Arial"/>
                <w:b/>
                <w:bCs/>
                <w:color w:val="000000"/>
                <w:sz w:val="18"/>
                <w:szCs w:val="20"/>
                <w:lang w:val="en-US"/>
              </w:rPr>
            </w:pPr>
            <w:r w:rsidRPr="005D21D3">
              <w:rPr>
                <w:rFonts w:eastAsia="Times New Roman" w:cs="Arial"/>
                <w:b/>
                <w:bCs/>
                <w:color w:val="000000"/>
                <w:sz w:val="18"/>
                <w:szCs w:val="20"/>
                <w:lang w:val="en-US"/>
              </w:rPr>
              <w:t xml:space="preserve"> €</w:t>
            </w:r>
            <w:r w:rsidR="0075552A">
              <w:rPr>
                <w:rFonts w:eastAsia="Times New Roman" w:cs="Arial"/>
                <w:b/>
                <w:bCs/>
                <w:color w:val="000000"/>
                <w:sz w:val="18"/>
                <w:szCs w:val="20"/>
                <w:lang w:val="en-US"/>
              </w:rPr>
              <w:t xml:space="preserve">  </w:t>
            </w:r>
            <w:r w:rsidRPr="005D21D3">
              <w:rPr>
                <w:rFonts w:eastAsia="Times New Roman" w:cs="Arial"/>
                <w:b/>
                <w:bCs/>
                <w:color w:val="000000"/>
                <w:sz w:val="18"/>
                <w:szCs w:val="20"/>
                <w:lang w:val="en-US"/>
              </w:rPr>
              <w:t xml:space="preserve">- </w:t>
            </w:r>
          </w:p>
        </w:tc>
      </w:tr>
    </w:tbl>
    <w:p w:rsidR="00B36820" w:rsidRDefault="00B36820">
      <w:pPr>
        <w:spacing w:before="0" w:after="200" w:line="276" w:lineRule="auto"/>
        <w:rPr>
          <w:bCs/>
          <w:color w:val="0079A2"/>
          <w:szCs w:val="28"/>
          <w:lang w:val="en-GB"/>
        </w:rPr>
      </w:pPr>
    </w:p>
    <w:p w:rsidR="00097928" w:rsidRPr="00B36820" w:rsidRDefault="00097928" w:rsidP="00B36820">
      <w:pPr>
        <w:pStyle w:val="Kop5"/>
        <w:numPr>
          <w:ilvl w:val="0"/>
          <w:numId w:val="0"/>
        </w:numPr>
        <w:ind w:left="1701"/>
        <w:rPr>
          <w:lang w:val="en-GB"/>
        </w:rPr>
      </w:pPr>
      <w:r w:rsidRPr="00B36820">
        <w:rPr>
          <w:lang w:val="en-GB"/>
        </w:rPr>
        <w:t>Capacity building and awareness raising measures</w:t>
      </w:r>
    </w:p>
    <w:p w:rsidR="006620B9" w:rsidRDefault="006620B9" w:rsidP="006620B9">
      <w:pPr>
        <w:pStyle w:val="OpsommingSymbool"/>
        <w:rPr>
          <w:lang w:val="en-GB"/>
        </w:rPr>
      </w:pPr>
      <w:r w:rsidRPr="006620B9">
        <w:rPr>
          <w:lang w:val="en-GB"/>
        </w:rPr>
        <w:t>Costs of stakeholder consultations</w:t>
      </w:r>
    </w:p>
    <w:tbl>
      <w:tblPr>
        <w:tblW w:w="7598" w:type="dxa"/>
        <w:tblInd w:w="2124" w:type="dxa"/>
        <w:tblLook w:val="04A0" w:firstRow="1" w:lastRow="0" w:firstColumn="1" w:lastColumn="0" w:noHBand="0" w:noVBand="1"/>
      </w:tblPr>
      <w:tblGrid>
        <w:gridCol w:w="3402"/>
        <w:gridCol w:w="1361"/>
        <w:gridCol w:w="1474"/>
        <w:gridCol w:w="1361"/>
      </w:tblGrid>
      <w:tr w:rsidR="00097928" w:rsidRPr="001E0C58" w:rsidTr="00B36820">
        <w:trPr>
          <w:trHeight w:val="576"/>
        </w:trPr>
        <w:tc>
          <w:tcPr>
            <w:tcW w:w="3402" w:type="dxa"/>
            <w:tcBorders>
              <w:top w:val="single" w:sz="4" w:space="0" w:color="auto"/>
              <w:left w:val="single" w:sz="4" w:space="0" w:color="auto"/>
              <w:bottom w:val="single" w:sz="4" w:space="0" w:color="auto"/>
              <w:right w:val="single" w:sz="4" w:space="0" w:color="auto"/>
            </w:tcBorders>
            <w:shd w:val="clear" w:color="000000" w:fill="D8D8D8"/>
            <w:hideMark/>
          </w:tcPr>
          <w:p w:rsidR="006620B9" w:rsidRPr="005D21D3" w:rsidRDefault="006620B9" w:rsidP="006620B9">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Actions required</w:t>
            </w:r>
          </w:p>
        </w:tc>
        <w:tc>
          <w:tcPr>
            <w:tcW w:w="1361" w:type="dxa"/>
            <w:tcBorders>
              <w:top w:val="single" w:sz="4" w:space="0" w:color="auto"/>
              <w:left w:val="nil"/>
              <w:bottom w:val="single" w:sz="4" w:space="0" w:color="auto"/>
              <w:right w:val="single" w:sz="4" w:space="0" w:color="auto"/>
            </w:tcBorders>
            <w:shd w:val="clear" w:color="000000" w:fill="D8D8D8"/>
            <w:hideMark/>
          </w:tcPr>
          <w:p w:rsidR="006620B9" w:rsidRPr="005D21D3" w:rsidRDefault="006620B9" w:rsidP="006620B9">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Estimated nr of days</w:t>
            </w:r>
          </w:p>
        </w:tc>
        <w:tc>
          <w:tcPr>
            <w:tcW w:w="1474" w:type="dxa"/>
            <w:tcBorders>
              <w:top w:val="single" w:sz="4" w:space="0" w:color="auto"/>
              <w:left w:val="nil"/>
              <w:bottom w:val="single" w:sz="4" w:space="0" w:color="auto"/>
              <w:right w:val="single" w:sz="4" w:space="0" w:color="auto"/>
            </w:tcBorders>
            <w:shd w:val="clear" w:color="000000" w:fill="D8D8D8"/>
            <w:hideMark/>
          </w:tcPr>
          <w:p w:rsidR="006620B9" w:rsidRPr="005D21D3" w:rsidRDefault="006620B9" w:rsidP="006620B9">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Estimated rate per day (€)</w:t>
            </w:r>
          </w:p>
        </w:tc>
        <w:tc>
          <w:tcPr>
            <w:tcW w:w="1361" w:type="dxa"/>
            <w:tcBorders>
              <w:top w:val="single" w:sz="4" w:space="0" w:color="auto"/>
              <w:left w:val="nil"/>
              <w:bottom w:val="single" w:sz="4" w:space="0" w:color="auto"/>
              <w:right w:val="single" w:sz="4" w:space="0" w:color="auto"/>
            </w:tcBorders>
            <w:shd w:val="clear" w:color="000000" w:fill="D8D8D8"/>
            <w:hideMark/>
          </w:tcPr>
          <w:p w:rsidR="006620B9" w:rsidRPr="005D21D3" w:rsidRDefault="006620B9" w:rsidP="006620B9">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Estimated one-off cost per action, €</w:t>
            </w:r>
          </w:p>
        </w:tc>
      </w:tr>
      <w:tr w:rsidR="00097928" w:rsidRPr="001E0C58" w:rsidTr="00B36820">
        <w:trPr>
          <w:trHeight w:val="264"/>
        </w:trPr>
        <w:tc>
          <w:tcPr>
            <w:tcW w:w="3402" w:type="dxa"/>
            <w:tcBorders>
              <w:top w:val="nil"/>
              <w:left w:val="single" w:sz="4" w:space="0" w:color="auto"/>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Staff time (preparation, follow up)</w:t>
            </w:r>
          </w:p>
        </w:tc>
        <w:tc>
          <w:tcPr>
            <w:tcW w:w="1361" w:type="dxa"/>
            <w:tcBorders>
              <w:top w:val="nil"/>
              <w:left w:val="nil"/>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361" w:type="dxa"/>
            <w:tcBorders>
              <w:top w:val="nil"/>
              <w:left w:val="nil"/>
              <w:bottom w:val="single" w:sz="4" w:space="0" w:color="auto"/>
              <w:right w:val="single" w:sz="4" w:space="0" w:color="auto"/>
            </w:tcBorders>
            <w:shd w:val="clear" w:color="auto" w:fill="auto"/>
          </w:tcPr>
          <w:p w:rsidR="006620B9" w:rsidRPr="005D21D3" w:rsidRDefault="006620B9" w:rsidP="006620B9">
            <w:pPr>
              <w:spacing w:before="0" w:after="0" w:line="240" w:lineRule="auto"/>
              <w:jc w:val="right"/>
              <w:rPr>
                <w:rFonts w:eastAsia="Times New Roman" w:cs="Arial"/>
                <w:color w:val="000000"/>
                <w:sz w:val="18"/>
                <w:szCs w:val="20"/>
                <w:lang w:val="en-US"/>
              </w:rPr>
            </w:pPr>
          </w:p>
        </w:tc>
      </w:tr>
      <w:tr w:rsidR="00097928" w:rsidRPr="005D21D3" w:rsidTr="00B36820">
        <w:trPr>
          <w:trHeight w:val="264"/>
        </w:trPr>
        <w:tc>
          <w:tcPr>
            <w:tcW w:w="3402" w:type="dxa"/>
            <w:tcBorders>
              <w:top w:val="nil"/>
              <w:left w:val="single" w:sz="4" w:space="0" w:color="auto"/>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Staff travel/accom</w:t>
            </w:r>
            <w:r w:rsidR="00F14054" w:rsidRPr="005D21D3">
              <w:rPr>
                <w:rFonts w:eastAsia="Times New Roman" w:cs="Arial"/>
                <w:color w:val="000000"/>
                <w:sz w:val="18"/>
                <w:szCs w:val="20"/>
                <w:lang w:val="en-US"/>
              </w:rPr>
              <w:t>m</w:t>
            </w:r>
            <w:r w:rsidRPr="005D21D3">
              <w:rPr>
                <w:rFonts w:eastAsia="Times New Roman" w:cs="Arial"/>
                <w:color w:val="000000"/>
                <w:sz w:val="18"/>
                <w:szCs w:val="20"/>
                <w:lang w:val="en-US"/>
              </w:rPr>
              <w:t>odation</w:t>
            </w:r>
          </w:p>
        </w:tc>
        <w:tc>
          <w:tcPr>
            <w:tcW w:w="1361" w:type="dxa"/>
            <w:tcBorders>
              <w:top w:val="nil"/>
              <w:left w:val="nil"/>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361" w:type="dxa"/>
            <w:tcBorders>
              <w:top w:val="nil"/>
              <w:left w:val="nil"/>
              <w:bottom w:val="single" w:sz="4" w:space="0" w:color="auto"/>
              <w:right w:val="single" w:sz="4" w:space="0" w:color="auto"/>
            </w:tcBorders>
            <w:shd w:val="clear" w:color="auto" w:fill="auto"/>
          </w:tcPr>
          <w:p w:rsidR="006620B9" w:rsidRPr="005D21D3" w:rsidRDefault="006620B9" w:rsidP="006620B9">
            <w:pPr>
              <w:spacing w:before="0" w:after="0" w:line="240" w:lineRule="auto"/>
              <w:jc w:val="right"/>
              <w:rPr>
                <w:rFonts w:eastAsia="Times New Roman" w:cs="Arial"/>
                <w:color w:val="000000"/>
                <w:sz w:val="18"/>
                <w:szCs w:val="20"/>
                <w:lang w:val="en-US"/>
              </w:rPr>
            </w:pPr>
          </w:p>
        </w:tc>
      </w:tr>
      <w:tr w:rsidR="00097928" w:rsidRPr="005D21D3" w:rsidTr="00B36820">
        <w:trPr>
          <w:trHeight w:val="264"/>
        </w:trPr>
        <w:tc>
          <w:tcPr>
            <w:tcW w:w="3402" w:type="dxa"/>
            <w:tcBorders>
              <w:top w:val="nil"/>
              <w:left w:val="single" w:sz="4" w:space="0" w:color="auto"/>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xml:space="preserve">Meeting costs </w:t>
            </w:r>
          </w:p>
        </w:tc>
        <w:tc>
          <w:tcPr>
            <w:tcW w:w="1361" w:type="dxa"/>
            <w:tcBorders>
              <w:top w:val="nil"/>
              <w:left w:val="nil"/>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361" w:type="dxa"/>
            <w:tcBorders>
              <w:top w:val="nil"/>
              <w:left w:val="nil"/>
              <w:bottom w:val="single" w:sz="4" w:space="0" w:color="auto"/>
              <w:right w:val="single" w:sz="4" w:space="0" w:color="auto"/>
            </w:tcBorders>
            <w:shd w:val="clear" w:color="auto" w:fill="auto"/>
          </w:tcPr>
          <w:p w:rsidR="006620B9" w:rsidRPr="005D21D3" w:rsidRDefault="006620B9" w:rsidP="006620B9">
            <w:pPr>
              <w:spacing w:before="0" w:after="0" w:line="240" w:lineRule="auto"/>
              <w:jc w:val="right"/>
              <w:rPr>
                <w:rFonts w:eastAsia="Times New Roman" w:cs="Arial"/>
                <w:color w:val="000000"/>
                <w:sz w:val="18"/>
                <w:szCs w:val="20"/>
                <w:lang w:val="en-US"/>
              </w:rPr>
            </w:pPr>
          </w:p>
        </w:tc>
      </w:tr>
      <w:tr w:rsidR="00097928" w:rsidRPr="005D21D3" w:rsidTr="00B36820">
        <w:trPr>
          <w:trHeight w:val="264"/>
        </w:trPr>
        <w:tc>
          <w:tcPr>
            <w:tcW w:w="3402" w:type="dxa"/>
            <w:tcBorders>
              <w:top w:val="nil"/>
              <w:left w:val="single" w:sz="4" w:space="0" w:color="auto"/>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 xml:space="preserve">Total estimate: </w:t>
            </w:r>
          </w:p>
        </w:tc>
        <w:tc>
          <w:tcPr>
            <w:tcW w:w="1361" w:type="dxa"/>
            <w:tcBorders>
              <w:top w:val="nil"/>
              <w:left w:val="nil"/>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 </w:t>
            </w:r>
          </w:p>
        </w:tc>
        <w:tc>
          <w:tcPr>
            <w:tcW w:w="1361" w:type="dxa"/>
            <w:tcBorders>
              <w:top w:val="nil"/>
              <w:left w:val="nil"/>
              <w:bottom w:val="single" w:sz="4" w:space="0" w:color="auto"/>
              <w:right w:val="single" w:sz="4" w:space="0" w:color="auto"/>
            </w:tcBorders>
            <w:shd w:val="clear" w:color="auto" w:fill="auto"/>
            <w:noWrap/>
          </w:tcPr>
          <w:p w:rsidR="006620B9" w:rsidRPr="005D21D3" w:rsidRDefault="006620B9" w:rsidP="006620B9">
            <w:pPr>
              <w:spacing w:before="0" w:after="0" w:line="240" w:lineRule="auto"/>
              <w:jc w:val="right"/>
              <w:rPr>
                <w:rFonts w:eastAsia="Times New Roman" w:cs="Arial"/>
                <w:b/>
                <w:bCs/>
                <w:color w:val="000000"/>
                <w:sz w:val="18"/>
                <w:szCs w:val="20"/>
                <w:lang w:val="en-US"/>
              </w:rPr>
            </w:pPr>
            <w:r w:rsidRPr="005D21D3">
              <w:rPr>
                <w:rFonts w:eastAsia="Times New Roman" w:cs="Arial"/>
                <w:b/>
                <w:bCs/>
                <w:color w:val="000000"/>
                <w:sz w:val="18"/>
                <w:szCs w:val="20"/>
                <w:lang w:val="en-US"/>
              </w:rPr>
              <w:t>€</w:t>
            </w:r>
            <w:r w:rsidR="0075552A">
              <w:rPr>
                <w:rFonts w:eastAsia="Times New Roman" w:cs="Arial"/>
                <w:b/>
                <w:bCs/>
                <w:color w:val="000000"/>
                <w:sz w:val="18"/>
                <w:szCs w:val="20"/>
                <w:lang w:val="en-US"/>
              </w:rPr>
              <w:t xml:space="preserve">  </w:t>
            </w:r>
          </w:p>
        </w:tc>
      </w:tr>
    </w:tbl>
    <w:p w:rsidR="006620B9" w:rsidRDefault="006620B9" w:rsidP="006620B9">
      <w:pPr>
        <w:pStyle w:val="OpsommingSymbool"/>
        <w:rPr>
          <w:lang w:val="en-GB"/>
        </w:rPr>
      </w:pPr>
      <w:r w:rsidRPr="006620B9">
        <w:rPr>
          <w:lang w:val="en-GB"/>
        </w:rPr>
        <w:t>Communication costs</w:t>
      </w:r>
    </w:p>
    <w:tbl>
      <w:tblPr>
        <w:tblW w:w="7654" w:type="dxa"/>
        <w:tblInd w:w="2124" w:type="dxa"/>
        <w:tblLook w:val="04A0" w:firstRow="1" w:lastRow="0" w:firstColumn="1" w:lastColumn="0" w:noHBand="0" w:noVBand="1"/>
      </w:tblPr>
      <w:tblGrid>
        <w:gridCol w:w="3402"/>
        <w:gridCol w:w="1361"/>
        <w:gridCol w:w="1474"/>
        <w:gridCol w:w="1417"/>
      </w:tblGrid>
      <w:tr w:rsidR="006620B9" w:rsidRPr="001E0C58" w:rsidTr="00B36820">
        <w:trPr>
          <w:trHeight w:val="528"/>
        </w:trPr>
        <w:tc>
          <w:tcPr>
            <w:tcW w:w="3402" w:type="dxa"/>
            <w:tcBorders>
              <w:top w:val="single" w:sz="4" w:space="0" w:color="auto"/>
              <w:left w:val="single" w:sz="4" w:space="0" w:color="auto"/>
              <w:bottom w:val="single" w:sz="4" w:space="0" w:color="auto"/>
              <w:right w:val="single" w:sz="4" w:space="0" w:color="auto"/>
            </w:tcBorders>
            <w:shd w:val="clear" w:color="000000" w:fill="D8D8D8"/>
            <w:hideMark/>
          </w:tcPr>
          <w:p w:rsidR="006620B9" w:rsidRPr="005D21D3" w:rsidRDefault="006620B9" w:rsidP="006620B9">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Actions required</w:t>
            </w:r>
          </w:p>
        </w:tc>
        <w:tc>
          <w:tcPr>
            <w:tcW w:w="1361" w:type="dxa"/>
            <w:tcBorders>
              <w:top w:val="single" w:sz="4" w:space="0" w:color="auto"/>
              <w:left w:val="nil"/>
              <w:bottom w:val="single" w:sz="4" w:space="0" w:color="auto"/>
              <w:right w:val="single" w:sz="4" w:space="0" w:color="auto"/>
            </w:tcBorders>
            <w:shd w:val="clear" w:color="000000" w:fill="D8D8D8"/>
            <w:hideMark/>
          </w:tcPr>
          <w:p w:rsidR="006620B9" w:rsidRPr="005D21D3" w:rsidRDefault="006620B9" w:rsidP="006620B9">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Estimated nr of days</w:t>
            </w:r>
          </w:p>
        </w:tc>
        <w:tc>
          <w:tcPr>
            <w:tcW w:w="1474" w:type="dxa"/>
            <w:tcBorders>
              <w:top w:val="single" w:sz="4" w:space="0" w:color="auto"/>
              <w:left w:val="nil"/>
              <w:bottom w:val="single" w:sz="4" w:space="0" w:color="auto"/>
              <w:right w:val="single" w:sz="4" w:space="0" w:color="auto"/>
            </w:tcBorders>
            <w:shd w:val="clear" w:color="000000" w:fill="D8D8D8"/>
            <w:hideMark/>
          </w:tcPr>
          <w:p w:rsidR="006620B9" w:rsidRPr="005D21D3" w:rsidRDefault="006620B9" w:rsidP="006620B9">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Estimated rate per day (€)</w:t>
            </w:r>
          </w:p>
        </w:tc>
        <w:tc>
          <w:tcPr>
            <w:tcW w:w="1417" w:type="dxa"/>
            <w:tcBorders>
              <w:top w:val="single" w:sz="4" w:space="0" w:color="auto"/>
              <w:left w:val="nil"/>
              <w:bottom w:val="single" w:sz="4" w:space="0" w:color="auto"/>
              <w:right w:val="single" w:sz="4" w:space="0" w:color="auto"/>
            </w:tcBorders>
            <w:shd w:val="clear" w:color="000000" w:fill="D8D8D8"/>
            <w:hideMark/>
          </w:tcPr>
          <w:p w:rsidR="006620B9" w:rsidRPr="005D21D3" w:rsidRDefault="006620B9" w:rsidP="006620B9">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Estimated one-off cost per action, €</w:t>
            </w:r>
          </w:p>
        </w:tc>
      </w:tr>
      <w:tr w:rsidR="006620B9" w:rsidRPr="005D21D3" w:rsidTr="00B36820">
        <w:trPr>
          <w:trHeight w:val="352"/>
        </w:trPr>
        <w:tc>
          <w:tcPr>
            <w:tcW w:w="3402" w:type="dxa"/>
            <w:tcBorders>
              <w:top w:val="nil"/>
              <w:left w:val="single" w:sz="4" w:space="0" w:color="auto"/>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xml:space="preserve">Advertisement </w:t>
            </w:r>
          </w:p>
        </w:tc>
        <w:tc>
          <w:tcPr>
            <w:tcW w:w="1361" w:type="dxa"/>
            <w:tcBorders>
              <w:top w:val="nil"/>
              <w:left w:val="nil"/>
              <w:bottom w:val="single" w:sz="4" w:space="0" w:color="auto"/>
              <w:right w:val="single" w:sz="4" w:space="0" w:color="auto"/>
            </w:tcBorders>
            <w:shd w:val="clear" w:color="auto" w:fill="D9D9D9" w:themeFill="background1" w:themeFillShade="D9"/>
            <w:hideMark/>
          </w:tcPr>
          <w:p w:rsidR="006620B9" w:rsidRPr="005D21D3" w:rsidRDefault="006620B9"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17" w:type="dxa"/>
            <w:tcBorders>
              <w:top w:val="nil"/>
              <w:left w:val="nil"/>
              <w:bottom w:val="single" w:sz="4" w:space="0" w:color="auto"/>
              <w:right w:val="single" w:sz="4" w:space="0" w:color="auto"/>
            </w:tcBorders>
            <w:shd w:val="clear" w:color="auto" w:fill="auto"/>
          </w:tcPr>
          <w:p w:rsidR="006620B9" w:rsidRPr="005D21D3" w:rsidRDefault="006620B9" w:rsidP="006620B9">
            <w:pPr>
              <w:spacing w:before="0" w:after="0" w:line="240" w:lineRule="auto"/>
              <w:jc w:val="right"/>
              <w:rPr>
                <w:rFonts w:eastAsia="Times New Roman" w:cs="Arial"/>
                <w:color w:val="000000"/>
                <w:sz w:val="18"/>
                <w:szCs w:val="20"/>
                <w:lang w:val="en-US"/>
              </w:rPr>
            </w:pPr>
          </w:p>
        </w:tc>
      </w:tr>
      <w:tr w:rsidR="006620B9" w:rsidRPr="005D21D3" w:rsidTr="00B36820">
        <w:trPr>
          <w:trHeight w:val="352"/>
        </w:trPr>
        <w:tc>
          <w:tcPr>
            <w:tcW w:w="3402" w:type="dxa"/>
            <w:tcBorders>
              <w:top w:val="nil"/>
              <w:left w:val="single" w:sz="4" w:space="0" w:color="auto"/>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Staff time</w:t>
            </w:r>
          </w:p>
        </w:tc>
        <w:tc>
          <w:tcPr>
            <w:tcW w:w="1361" w:type="dxa"/>
            <w:tcBorders>
              <w:top w:val="nil"/>
              <w:left w:val="nil"/>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17" w:type="dxa"/>
            <w:tcBorders>
              <w:top w:val="nil"/>
              <w:left w:val="nil"/>
              <w:bottom w:val="single" w:sz="4" w:space="0" w:color="auto"/>
              <w:right w:val="single" w:sz="4" w:space="0" w:color="auto"/>
            </w:tcBorders>
            <w:shd w:val="clear" w:color="auto" w:fill="auto"/>
          </w:tcPr>
          <w:p w:rsidR="006620B9" w:rsidRPr="005D21D3" w:rsidRDefault="006620B9" w:rsidP="006620B9">
            <w:pPr>
              <w:spacing w:before="0" w:after="0" w:line="240" w:lineRule="auto"/>
              <w:jc w:val="right"/>
              <w:rPr>
                <w:rFonts w:eastAsia="Times New Roman" w:cs="Arial"/>
                <w:color w:val="000000"/>
                <w:sz w:val="18"/>
                <w:szCs w:val="20"/>
                <w:lang w:val="en-US"/>
              </w:rPr>
            </w:pPr>
          </w:p>
        </w:tc>
      </w:tr>
      <w:tr w:rsidR="006620B9" w:rsidRPr="005D21D3" w:rsidTr="00B36820">
        <w:trPr>
          <w:trHeight w:val="352"/>
        </w:trPr>
        <w:tc>
          <w:tcPr>
            <w:tcW w:w="3402" w:type="dxa"/>
            <w:tcBorders>
              <w:top w:val="nil"/>
              <w:left w:val="single" w:sz="4" w:space="0" w:color="auto"/>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Other administration costs</w:t>
            </w:r>
          </w:p>
        </w:tc>
        <w:tc>
          <w:tcPr>
            <w:tcW w:w="1361" w:type="dxa"/>
            <w:tcBorders>
              <w:top w:val="nil"/>
              <w:left w:val="nil"/>
              <w:bottom w:val="single" w:sz="4" w:space="0" w:color="auto"/>
              <w:right w:val="single" w:sz="4" w:space="0" w:color="auto"/>
            </w:tcBorders>
            <w:shd w:val="clear" w:color="auto" w:fill="D9D9D9" w:themeFill="background1" w:themeFillShade="D9"/>
            <w:hideMark/>
          </w:tcPr>
          <w:p w:rsidR="006620B9" w:rsidRPr="005D21D3" w:rsidRDefault="006620B9"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17" w:type="dxa"/>
            <w:tcBorders>
              <w:top w:val="nil"/>
              <w:left w:val="nil"/>
              <w:bottom w:val="single" w:sz="4" w:space="0" w:color="auto"/>
              <w:right w:val="single" w:sz="4" w:space="0" w:color="auto"/>
            </w:tcBorders>
            <w:shd w:val="clear" w:color="auto" w:fill="auto"/>
          </w:tcPr>
          <w:p w:rsidR="006620B9" w:rsidRPr="005D21D3" w:rsidRDefault="006620B9" w:rsidP="006620B9">
            <w:pPr>
              <w:spacing w:before="0" w:after="0" w:line="240" w:lineRule="auto"/>
              <w:jc w:val="right"/>
              <w:rPr>
                <w:rFonts w:eastAsia="Times New Roman" w:cs="Arial"/>
                <w:color w:val="000000"/>
                <w:sz w:val="18"/>
                <w:szCs w:val="20"/>
                <w:lang w:val="en-US"/>
              </w:rPr>
            </w:pPr>
          </w:p>
        </w:tc>
      </w:tr>
      <w:tr w:rsidR="006620B9" w:rsidRPr="005D21D3" w:rsidTr="00B36820">
        <w:trPr>
          <w:trHeight w:val="264"/>
        </w:trPr>
        <w:tc>
          <w:tcPr>
            <w:tcW w:w="3402" w:type="dxa"/>
            <w:tcBorders>
              <w:top w:val="nil"/>
              <w:left w:val="single" w:sz="4" w:space="0" w:color="auto"/>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 xml:space="preserve">Total estimate: </w:t>
            </w:r>
          </w:p>
        </w:tc>
        <w:tc>
          <w:tcPr>
            <w:tcW w:w="1361" w:type="dxa"/>
            <w:tcBorders>
              <w:top w:val="nil"/>
              <w:left w:val="nil"/>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 </w:t>
            </w:r>
          </w:p>
        </w:tc>
        <w:tc>
          <w:tcPr>
            <w:tcW w:w="1417" w:type="dxa"/>
            <w:tcBorders>
              <w:top w:val="nil"/>
              <w:left w:val="nil"/>
              <w:bottom w:val="single" w:sz="4" w:space="0" w:color="auto"/>
              <w:right w:val="single" w:sz="4" w:space="0" w:color="auto"/>
            </w:tcBorders>
            <w:shd w:val="clear" w:color="auto" w:fill="auto"/>
            <w:noWrap/>
            <w:hideMark/>
          </w:tcPr>
          <w:p w:rsidR="006620B9" w:rsidRPr="005D21D3" w:rsidRDefault="006620B9" w:rsidP="006620B9">
            <w:pPr>
              <w:spacing w:before="0" w:after="0" w:line="240" w:lineRule="auto"/>
              <w:jc w:val="right"/>
              <w:rPr>
                <w:rFonts w:eastAsia="Times New Roman" w:cs="Arial"/>
                <w:b/>
                <w:bCs/>
                <w:color w:val="000000"/>
                <w:sz w:val="18"/>
                <w:szCs w:val="20"/>
                <w:lang w:val="en-US"/>
              </w:rPr>
            </w:pPr>
            <w:r w:rsidRPr="005D21D3">
              <w:rPr>
                <w:rFonts w:eastAsia="Times New Roman" w:cs="Arial"/>
                <w:b/>
                <w:bCs/>
                <w:color w:val="000000"/>
                <w:sz w:val="18"/>
                <w:szCs w:val="20"/>
                <w:lang w:val="en-US"/>
              </w:rPr>
              <w:t>€</w:t>
            </w:r>
            <w:r w:rsidR="0075552A">
              <w:rPr>
                <w:rFonts w:eastAsia="Times New Roman" w:cs="Arial"/>
                <w:b/>
                <w:bCs/>
                <w:color w:val="000000"/>
                <w:sz w:val="18"/>
                <w:szCs w:val="20"/>
                <w:lang w:val="en-US"/>
              </w:rPr>
              <w:t xml:space="preserve">   </w:t>
            </w:r>
            <w:r w:rsidRPr="005D21D3">
              <w:rPr>
                <w:rFonts w:eastAsia="Times New Roman" w:cs="Arial"/>
                <w:b/>
                <w:bCs/>
                <w:color w:val="000000"/>
                <w:sz w:val="18"/>
                <w:szCs w:val="20"/>
                <w:lang w:val="en-US"/>
              </w:rPr>
              <w:t>-</w:t>
            </w:r>
            <w:r w:rsidR="005D21D3" w:rsidRPr="005D21D3">
              <w:rPr>
                <w:rFonts w:eastAsia="Times New Roman" w:cs="Arial"/>
                <w:b/>
                <w:bCs/>
                <w:color w:val="000000"/>
                <w:sz w:val="18"/>
                <w:szCs w:val="20"/>
                <w:lang w:val="en-US"/>
              </w:rPr>
              <w:t xml:space="preserve"> </w:t>
            </w:r>
          </w:p>
        </w:tc>
      </w:tr>
    </w:tbl>
    <w:p w:rsidR="006620B9" w:rsidRDefault="006620B9" w:rsidP="006620B9">
      <w:pPr>
        <w:pStyle w:val="OpsommingSymbool"/>
        <w:rPr>
          <w:lang w:val="en-GB"/>
        </w:rPr>
      </w:pPr>
      <w:r w:rsidRPr="006620B9">
        <w:rPr>
          <w:lang w:val="en-GB"/>
        </w:rPr>
        <w:t>Training costs</w:t>
      </w:r>
    </w:p>
    <w:tbl>
      <w:tblPr>
        <w:tblW w:w="7654" w:type="dxa"/>
        <w:tblInd w:w="2124" w:type="dxa"/>
        <w:tblLook w:val="04A0" w:firstRow="1" w:lastRow="0" w:firstColumn="1" w:lastColumn="0" w:noHBand="0" w:noVBand="1"/>
      </w:tblPr>
      <w:tblGrid>
        <w:gridCol w:w="3402"/>
        <w:gridCol w:w="1361"/>
        <w:gridCol w:w="1474"/>
        <w:gridCol w:w="1417"/>
      </w:tblGrid>
      <w:tr w:rsidR="00097928" w:rsidRPr="001E0C58" w:rsidTr="00B36820">
        <w:trPr>
          <w:trHeight w:val="528"/>
        </w:trPr>
        <w:tc>
          <w:tcPr>
            <w:tcW w:w="3402" w:type="dxa"/>
            <w:tcBorders>
              <w:top w:val="single" w:sz="4" w:space="0" w:color="auto"/>
              <w:left w:val="single" w:sz="4" w:space="0" w:color="auto"/>
              <w:bottom w:val="single" w:sz="4" w:space="0" w:color="auto"/>
              <w:right w:val="single" w:sz="4" w:space="0" w:color="auto"/>
            </w:tcBorders>
            <w:shd w:val="clear" w:color="000000" w:fill="D8D8D8"/>
            <w:hideMark/>
          </w:tcPr>
          <w:p w:rsidR="006620B9" w:rsidRPr="005D21D3" w:rsidRDefault="006620B9" w:rsidP="006620B9">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Actions required</w:t>
            </w:r>
          </w:p>
        </w:tc>
        <w:tc>
          <w:tcPr>
            <w:tcW w:w="1361" w:type="dxa"/>
            <w:tcBorders>
              <w:top w:val="single" w:sz="4" w:space="0" w:color="auto"/>
              <w:left w:val="nil"/>
              <w:bottom w:val="single" w:sz="4" w:space="0" w:color="auto"/>
              <w:right w:val="single" w:sz="4" w:space="0" w:color="auto"/>
            </w:tcBorders>
            <w:shd w:val="clear" w:color="000000" w:fill="D8D8D8"/>
            <w:hideMark/>
          </w:tcPr>
          <w:p w:rsidR="006620B9" w:rsidRPr="005D21D3" w:rsidRDefault="006620B9" w:rsidP="006620B9">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Estimated nr of days</w:t>
            </w:r>
          </w:p>
        </w:tc>
        <w:tc>
          <w:tcPr>
            <w:tcW w:w="1474" w:type="dxa"/>
            <w:tcBorders>
              <w:top w:val="single" w:sz="4" w:space="0" w:color="auto"/>
              <w:left w:val="nil"/>
              <w:bottom w:val="single" w:sz="4" w:space="0" w:color="auto"/>
              <w:right w:val="single" w:sz="4" w:space="0" w:color="auto"/>
            </w:tcBorders>
            <w:shd w:val="clear" w:color="000000" w:fill="D8D8D8"/>
            <w:hideMark/>
          </w:tcPr>
          <w:p w:rsidR="006620B9" w:rsidRPr="005D21D3" w:rsidRDefault="006620B9" w:rsidP="006620B9">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Estimated rate per day (€)</w:t>
            </w:r>
          </w:p>
        </w:tc>
        <w:tc>
          <w:tcPr>
            <w:tcW w:w="1417" w:type="dxa"/>
            <w:tcBorders>
              <w:top w:val="single" w:sz="4" w:space="0" w:color="auto"/>
              <w:left w:val="nil"/>
              <w:bottom w:val="single" w:sz="4" w:space="0" w:color="auto"/>
              <w:right w:val="single" w:sz="4" w:space="0" w:color="auto"/>
            </w:tcBorders>
            <w:shd w:val="clear" w:color="000000" w:fill="D8D8D8"/>
            <w:hideMark/>
          </w:tcPr>
          <w:p w:rsidR="006620B9" w:rsidRPr="005D21D3" w:rsidRDefault="006620B9" w:rsidP="006620B9">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Estimated one-off cost per action, €</w:t>
            </w:r>
          </w:p>
        </w:tc>
      </w:tr>
      <w:tr w:rsidR="00097928" w:rsidRPr="005D21D3" w:rsidTr="00097928">
        <w:trPr>
          <w:trHeight w:val="264"/>
        </w:trPr>
        <w:tc>
          <w:tcPr>
            <w:tcW w:w="3402" w:type="dxa"/>
            <w:tcBorders>
              <w:top w:val="nil"/>
              <w:left w:val="single" w:sz="4" w:space="0" w:color="auto"/>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Preparation</w:t>
            </w:r>
          </w:p>
        </w:tc>
        <w:tc>
          <w:tcPr>
            <w:tcW w:w="1361" w:type="dxa"/>
            <w:tcBorders>
              <w:top w:val="nil"/>
              <w:left w:val="nil"/>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17" w:type="dxa"/>
            <w:tcBorders>
              <w:top w:val="nil"/>
              <w:left w:val="nil"/>
              <w:bottom w:val="single" w:sz="4" w:space="0" w:color="auto"/>
              <w:right w:val="single" w:sz="4" w:space="0" w:color="auto"/>
            </w:tcBorders>
            <w:shd w:val="clear" w:color="auto" w:fill="auto"/>
          </w:tcPr>
          <w:p w:rsidR="006620B9" w:rsidRPr="005D21D3" w:rsidRDefault="006620B9" w:rsidP="006620B9">
            <w:pPr>
              <w:spacing w:before="0" w:after="0" w:line="240" w:lineRule="auto"/>
              <w:jc w:val="right"/>
              <w:rPr>
                <w:rFonts w:eastAsia="Times New Roman" w:cs="Arial"/>
                <w:color w:val="000000"/>
                <w:sz w:val="18"/>
                <w:szCs w:val="20"/>
                <w:lang w:val="en-US"/>
              </w:rPr>
            </w:pPr>
          </w:p>
        </w:tc>
      </w:tr>
      <w:tr w:rsidR="00097928" w:rsidRPr="005D21D3" w:rsidTr="00B36820">
        <w:trPr>
          <w:trHeight w:val="264"/>
        </w:trPr>
        <w:tc>
          <w:tcPr>
            <w:tcW w:w="3402" w:type="dxa"/>
            <w:tcBorders>
              <w:top w:val="nil"/>
              <w:left w:val="single" w:sz="4" w:space="0" w:color="auto"/>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Training material (courses)</w:t>
            </w:r>
          </w:p>
        </w:tc>
        <w:tc>
          <w:tcPr>
            <w:tcW w:w="1361" w:type="dxa"/>
            <w:tcBorders>
              <w:top w:val="nil"/>
              <w:left w:val="nil"/>
              <w:bottom w:val="single" w:sz="4" w:space="0" w:color="auto"/>
              <w:right w:val="single" w:sz="4" w:space="0" w:color="auto"/>
            </w:tcBorders>
            <w:shd w:val="clear" w:color="000000" w:fill="D9D9D9"/>
            <w:hideMark/>
          </w:tcPr>
          <w:p w:rsidR="006620B9" w:rsidRPr="005D21D3" w:rsidRDefault="006620B9"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74" w:type="dxa"/>
            <w:tcBorders>
              <w:top w:val="nil"/>
              <w:left w:val="nil"/>
              <w:bottom w:val="single" w:sz="4" w:space="0" w:color="auto"/>
              <w:right w:val="single" w:sz="4" w:space="0" w:color="auto"/>
            </w:tcBorders>
            <w:shd w:val="clear" w:color="000000" w:fill="D9D9D9"/>
            <w:hideMark/>
          </w:tcPr>
          <w:p w:rsidR="006620B9" w:rsidRPr="005D21D3" w:rsidRDefault="006620B9"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17" w:type="dxa"/>
            <w:tcBorders>
              <w:top w:val="nil"/>
              <w:left w:val="nil"/>
              <w:bottom w:val="single" w:sz="4" w:space="0" w:color="auto"/>
              <w:right w:val="single" w:sz="4" w:space="0" w:color="auto"/>
            </w:tcBorders>
            <w:shd w:val="clear" w:color="auto" w:fill="auto"/>
          </w:tcPr>
          <w:p w:rsidR="006620B9" w:rsidRPr="005D21D3" w:rsidRDefault="006620B9" w:rsidP="006620B9">
            <w:pPr>
              <w:spacing w:before="0" w:after="0" w:line="240" w:lineRule="auto"/>
              <w:jc w:val="right"/>
              <w:rPr>
                <w:rFonts w:eastAsia="Times New Roman" w:cs="Arial"/>
                <w:color w:val="000000"/>
                <w:sz w:val="18"/>
                <w:szCs w:val="20"/>
                <w:lang w:val="en-US"/>
              </w:rPr>
            </w:pPr>
          </w:p>
        </w:tc>
      </w:tr>
      <w:tr w:rsidR="00097928" w:rsidRPr="005D21D3" w:rsidTr="00097928">
        <w:trPr>
          <w:trHeight w:val="264"/>
        </w:trPr>
        <w:tc>
          <w:tcPr>
            <w:tcW w:w="3402" w:type="dxa"/>
            <w:tcBorders>
              <w:top w:val="nil"/>
              <w:left w:val="single" w:sz="4" w:space="0" w:color="auto"/>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xml:space="preserve">Giving training </w:t>
            </w:r>
          </w:p>
        </w:tc>
        <w:tc>
          <w:tcPr>
            <w:tcW w:w="1361" w:type="dxa"/>
            <w:tcBorders>
              <w:top w:val="nil"/>
              <w:left w:val="nil"/>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17" w:type="dxa"/>
            <w:tcBorders>
              <w:top w:val="nil"/>
              <w:left w:val="nil"/>
              <w:bottom w:val="single" w:sz="4" w:space="0" w:color="auto"/>
              <w:right w:val="single" w:sz="4" w:space="0" w:color="auto"/>
            </w:tcBorders>
            <w:shd w:val="clear" w:color="auto" w:fill="auto"/>
          </w:tcPr>
          <w:p w:rsidR="006620B9" w:rsidRPr="005D21D3" w:rsidRDefault="006620B9" w:rsidP="006620B9">
            <w:pPr>
              <w:spacing w:before="0" w:after="0" w:line="240" w:lineRule="auto"/>
              <w:jc w:val="right"/>
              <w:rPr>
                <w:rFonts w:eastAsia="Times New Roman" w:cs="Arial"/>
                <w:color w:val="000000"/>
                <w:sz w:val="18"/>
                <w:szCs w:val="20"/>
                <w:lang w:val="en-US"/>
              </w:rPr>
            </w:pPr>
          </w:p>
        </w:tc>
      </w:tr>
      <w:tr w:rsidR="00097928" w:rsidRPr="005D21D3" w:rsidTr="00097928">
        <w:trPr>
          <w:trHeight w:val="264"/>
        </w:trPr>
        <w:tc>
          <w:tcPr>
            <w:tcW w:w="3402" w:type="dxa"/>
            <w:tcBorders>
              <w:top w:val="nil"/>
              <w:left w:val="single" w:sz="4" w:space="0" w:color="auto"/>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 xml:space="preserve">Total estimate: </w:t>
            </w:r>
          </w:p>
        </w:tc>
        <w:tc>
          <w:tcPr>
            <w:tcW w:w="1361" w:type="dxa"/>
            <w:tcBorders>
              <w:top w:val="nil"/>
              <w:left w:val="nil"/>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 </w:t>
            </w:r>
          </w:p>
        </w:tc>
        <w:tc>
          <w:tcPr>
            <w:tcW w:w="1417" w:type="dxa"/>
            <w:tcBorders>
              <w:top w:val="nil"/>
              <w:left w:val="nil"/>
              <w:bottom w:val="single" w:sz="4" w:space="0" w:color="auto"/>
              <w:right w:val="single" w:sz="4" w:space="0" w:color="auto"/>
            </w:tcBorders>
            <w:shd w:val="clear" w:color="auto" w:fill="auto"/>
            <w:noWrap/>
            <w:hideMark/>
          </w:tcPr>
          <w:p w:rsidR="006620B9" w:rsidRPr="005D21D3" w:rsidRDefault="006620B9" w:rsidP="006620B9">
            <w:pPr>
              <w:spacing w:before="0" w:after="0" w:line="240" w:lineRule="auto"/>
              <w:jc w:val="right"/>
              <w:rPr>
                <w:rFonts w:eastAsia="Times New Roman" w:cs="Arial"/>
                <w:b/>
                <w:bCs/>
                <w:color w:val="000000"/>
                <w:sz w:val="18"/>
                <w:szCs w:val="20"/>
                <w:lang w:val="en-US"/>
              </w:rPr>
            </w:pPr>
            <w:r w:rsidRPr="005D21D3">
              <w:rPr>
                <w:rFonts w:eastAsia="Times New Roman" w:cs="Arial"/>
                <w:b/>
                <w:bCs/>
                <w:color w:val="000000"/>
                <w:sz w:val="18"/>
                <w:szCs w:val="20"/>
                <w:lang w:val="en-US"/>
              </w:rPr>
              <w:t xml:space="preserve"> €</w:t>
            </w:r>
            <w:r w:rsidR="0075552A">
              <w:rPr>
                <w:rFonts w:eastAsia="Times New Roman" w:cs="Arial"/>
                <w:b/>
                <w:bCs/>
                <w:color w:val="000000"/>
                <w:sz w:val="18"/>
                <w:szCs w:val="20"/>
                <w:lang w:val="en-US"/>
              </w:rPr>
              <w:t xml:space="preserve">   </w:t>
            </w:r>
            <w:r w:rsidRPr="005D21D3">
              <w:rPr>
                <w:rFonts w:eastAsia="Times New Roman" w:cs="Arial"/>
                <w:b/>
                <w:bCs/>
                <w:color w:val="000000"/>
                <w:sz w:val="18"/>
                <w:szCs w:val="20"/>
                <w:lang w:val="en-US"/>
              </w:rPr>
              <w:t>-</w:t>
            </w:r>
            <w:r w:rsidR="005D21D3" w:rsidRPr="005D21D3">
              <w:rPr>
                <w:rFonts w:eastAsia="Times New Roman" w:cs="Arial"/>
                <w:b/>
                <w:bCs/>
                <w:color w:val="000000"/>
                <w:sz w:val="18"/>
                <w:szCs w:val="20"/>
                <w:lang w:val="en-US"/>
              </w:rPr>
              <w:t xml:space="preserve"> </w:t>
            </w:r>
          </w:p>
        </w:tc>
      </w:tr>
    </w:tbl>
    <w:p w:rsidR="006620B9" w:rsidRDefault="006620B9" w:rsidP="006620B9">
      <w:pPr>
        <w:pStyle w:val="OpsommingSymbool"/>
        <w:rPr>
          <w:lang w:val="en-GB"/>
        </w:rPr>
      </w:pPr>
      <w:r w:rsidRPr="006620B9">
        <w:rPr>
          <w:lang w:val="en-GB"/>
        </w:rPr>
        <w:lastRenderedPageBreak/>
        <w:t>Cost for awareness raising</w:t>
      </w:r>
    </w:p>
    <w:tbl>
      <w:tblPr>
        <w:tblW w:w="7711" w:type="dxa"/>
        <w:tblInd w:w="2124" w:type="dxa"/>
        <w:tblLook w:val="04A0" w:firstRow="1" w:lastRow="0" w:firstColumn="1" w:lastColumn="0" w:noHBand="0" w:noVBand="1"/>
      </w:tblPr>
      <w:tblGrid>
        <w:gridCol w:w="3402"/>
        <w:gridCol w:w="1361"/>
        <w:gridCol w:w="1474"/>
        <w:gridCol w:w="1474"/>
      </w:tblGrid>
      <w:tr w:rsidR="00097928" w:rsidRPr="001E0C58" w:rsidTr="00B36820">
        <w:trPr>
          <w:trHeight w:val="528"/>
        </w:trPr>
        <w:tc>
          <w:tcPr>
            <w:tcW w:w="3402" w:type="dxa"/>
            <w:tcBorders>
              <w:top w:val="single" w:sz="4" w:space="0" w:color="auto"/>
              <w:left w:val="single" w:sz="4" w:space="0" w:color="auto"/>
              <w:bottom w:val="single" w:sz="4" w:space="0" w:color="auto"/>
              <w:right w:val="single" w:sz="4" w:space="0" w:color="auto"/>
            </w:tcBorders>
            <w:shd w:val="clear" w:color="000000" w:fill="D8D8D8"/>
            <w:hideMark/>
          </w:tcPr>
          <w:p w:rsidR="006620B9" w:rsidRPr="005D21D3" w:rsidRDefault="006620B9" w:rsidP="006620B9">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Actions required</w:t>
            </w:r>
          </w:p>
        </w:tc>
        <w:tc>
          <w:tcPr>
            <w:tcW w:w="1361" w:type="dxa"/>
            <w:tcBorders>
              <w:top w:val="single" w:sz="4" w:space="0" w:color="auto"/>
              <w:left w:val="nil"/>
              <w:bottom w:val="single" w:sz="4" w:space="0" w:color="auto"/>
              <w:right w:val="single" w:sz="4" w:space="0" w:color="auto"/>
            </w:tcBorders>
            <w:shd w:val="clear" w:color="000000" w:fill="D8D8D8"/>
            <w:hideMark/>
          </w:tcPr>
          <w:p w:rsidR="006620B9" w:rsidRPr="005D21D3" w:rsidRDefault="006620B9" w:rsidP="006620B9">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Estimated nr of days</w:t>
            </w:r>
          </w:p>
        </w:tc>
        <w:tc>
          <w:tcPr>
            <w:tcW w:w="1474" w:type="dxa"/>
            <w:tcBorders>
              <w:top w:val="single" w:sz="4" w:space="0" w:color="auto"/>
              <w:left w:val="nil"/>
              <w:bottom w:val="single" w:sz="4" w:space="0" w:color="auto"/>
              <w:right w:val="single" w:sz="4" w:space="0" w:color="auto"/>
            </w:tcBorders>
            <w:shd w:val="clear" w:color="000000" w:fill="D8D8D8"/>
            <w:hideMark/>
          </w:tcPr>
          <w:p w:rsidR="006620B9" w:rsidRPr="005D21D3" w:rsidRDefault="006620B9" w:rsidP="006620B9">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Estimated rate per day (€)</w:t>
            </w:r>
          </w:p>
        </w:tc>
        <w:tc>
          <w:tcPr>
            <w:tcW w:w="1474" w:type="dxa"/>
            <w:tcBorders>
              <w:top w:val="single" w:sz="4" w:space="0" w:color="auto"/>
              <w:left w:val="nil"/>
              <w:bottom w:val="single" w:sz="4" w:space="0" w:color="auto"/>
              <w:right w:val="single" w:sz="4" w:space="0" w:color="auto"/>
            </w:tcBorders>
            <w:shd w:val="clear" w:color="000000" w:fill="D8D8D8"/>
            <w:hideMark/>
          </w:tcPr>
          <w:p w:rsidR="006620B9" w:rsidRPr="005D21D3" w:rsidRDefault="006620B9" w:rsidP="006620B9">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Estimated one-off cost per action, €</w:t>
            </w:r>
          </w:p>
        </w:tc>
      </w:tr>
      <w:tr w:rsidR="00097928" w:rsidRPr="001E0C58" w:rsidTr="00097928">
        <w:trPr>
          <w:trHeight w:val="264"/>
        </w:trPr>
        <w:tc>
          <w:tcPr>
            <w:tcW w:w="3402" w:type="dxa"/>
            <w:tcBorders>
              <w:top w:val="nil"/>
              <w:left w:val="single" w:sz="4" w:space="0" w:color="auto"/>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Staff time (preparation, follow up)</w:t>
            </w:r>
          </w:p>
        </w:tc>
        <w:tc>
          <w:tcPr>
            <w:tcW w:w="1361" w:type="dxa"/>
            <w:tcBorders>
              <w:top w:val="nil"/>
              <w:left w:val="nil"/>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tcPr>
          <w:p w:rsidR="006620B9" w:rsidRPr="005D21D3" w:rsidRDefault="006620B9" w:rsidP="006620B9">
            <w:pPr>
              <w:spacing w:before="0" w:after="0" w:line="240" w:lineRule="auto"/>
              <w:jc w:val="right"/>
              <w:rPr>
                <w:rFonts w:eastAsia="Times New Roman" w:cs="Arial"/>
                <w:color w:val="000000"/>
                <w:sz w:val="18"/>
                <w:szCs w:val="20"/>
                <w:lang w:val="en-US"/>
              </w:rPr>
            </w:pPr>
          </w:p>
        </w:tc>
      </w:tr>
      <w:tr w:rsidR="00097928" w:rsidRPr="005D21D3" w:rsidTr="00B36820">
        <w:trPr>
          <w:trHeight w:val="264"/>
        </w:trPr>
        <w:tc>
          <w:tcPr>
            <w:tcW w:w="3402" w:type="dxa"/>
            <w:tcBorders>
              <w:top w:val="nil"/>
              <w:left w:val="single" w:sz="4" w:space="0" w:color="auto"/>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Awareness raising material</w:t>
            </w:r>
          </w:p>
        </w:tc>
        <w:tc>
          <w:tcPr>
            <w:tcW w:w="1361" w:type="dxa"/>
            <w:tcBorders>
              <w:top w:val="nil"/>
              <w:left w:val="nil"/>
              <w:bottom w:val="single" w:sz="4" w:space="0" w:color="auto"/>
              <w:right w:val="single" w:sz="4" w:space="0" w:color="auto"/>
            </w:tcBorders>
            <w:shd w:val="clear" w:color="000000" w:fill="D9D9D9"/>
            <w:hideMark/>
          </w:tcPr>
          <w:p w:rsidR="006620B9" w:rsidRPr="005D21D3" w:rsidRDefault="006620B9"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74" w:type="dxa"/>
            <w:tcBorders>
              <w:top w:val="nil"/>
              <w:left w:val="nil"/>
              <w:bottom w:val="single" w:sz="4" w:space="0" w:color="auto"/>
              <w:right w:val="single" w:sz="4" w:space="0" w:color="auto"/>
            </w:tcBorders>
            <w:shd w:val="clear" w:color="000000" w:fill="D9D9D9"/>
            <w:hideMark/>
          </w:tcPr>
          <w:p w:rsidR="006620B9" w:rsidRPr="005D21D3" w:rsidRDefault="006620B9" w:rsidP="006620B9">
            <w:pPr>
              <w:spacing w:before="0" w:after="0" w:line="240" w:lineRule="auto"/>
              <w:rPr>
                <w:rFonts w:eastAsia="Times New Roman" w:cs="Arial"/>
                <w:color w:val="000000"/>
                <w:sz w:val="18"/>
                <w:szCs w:val="20"/>
                <w:lang w:val="en-US"/>
              </w:rPr>
            </w:pPr>
            <w:r w:rsidRPr="005D21D3">
              <w:rPr>
                <w:rFonts w:eastAsia="Times New Roman" w:cs="Arial"/>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tcPr>
          <w:p w:rsidR="006620B9" w:rsidRPr="005D21D3" w:rsidRDefault="006620B9" w:rsidP="006620B9">
            <w:pPr>
              <w:spacing w:before="0" w:after="0" w:line="240" w:lineRule="auto"/>
              <w:jc w:val="right"/>
              <w:rPr>
                <w:rFonts w:eastAsia="Times New Roman" w:cs="Arial"/>
                <w:color w:val="000000"/>
                <w:sz w:val="18"/>
                <w:szCs w:val="20"/>
                <w:lang w:val="en-US"/>
              </w:rPr>
            </w:pPr>
          </w:p>
        </w:tc>
      </w:tr>
      <w:tr w:rsidR="00097928" w:rsidRPr="005D21D3" w:rsidTr="00097928">
        <w:trPr>
          <w:trHeight w:val="272"/>
        </w:trPr>
        <w:tc>
          <w:tcPr>
            <w:tcW w:w="3402" w:type="dxa"/>
            <w:tcBorders>
              <w:top w:val="nil"/>
              <w:left w:val="single" w:sz="4" w:space="0" w:color="auto"/>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 xml:space="preserve">Total estimate: </w:t>
            </w:r>
          </w:p>
        </w:tc>
        <w:tc>
          <w:tcPr>
            <w:tcW w:w="1361" w:type="dxa"/>
            <w:tcBorders>
              <w:top w:val="nil"/>
              <w:left w:val="nil"/>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hideMark/>
          </w:tcPr>
          <w:p w:rsidR="006620B9" w:rsidRPr="005D21D3" w:rsidRDefault="006620B9" w:rsidP="006620B9">
            <w:pPr>
              <w:spacing w:before="0" w:after="0" w:line="240" w:lineRule="auto"/>
              <w:rPr>
                <w:rFonts w:eastAsia="Times New Roman" w:cs="Arial"/>
                <w:b/>
                <w:bCs/>
                <w:color w:val="000000"/>
                <w:sz w:val="18"/>
                <w:szCs w:val="20"/>
                <w:lang w:val="en-US"/>
              </w:rPr>
            </w:pPr>
            <w:r w:rsidRPr="005D21D3">
              <w:rPr>
                <w:rFonts w:eastAsia="Times New Roman" w:cs="Arial"/>
                <w:b/>
                <w:bCs/>
                <w:color w:val="000000"/>
                <w:sz w:val="18"/>
                <w:szCs w:val="20"/>
                <w:lang w:val="en-US"/>
              </w:rPr>
              <w:t> </w:t>
            </w:r>
          </w:p>
        </w:tc>
        <w:tc>
          <w:tcPr>
            <w:tcW w:w="1474" w:type="dxa"/>
            <w:tcBorders>
              <w:top w:val="nil"/>
              <w:left w:val="nil"/>
              <w:bottom w:val="single" w:sz="4" w:space="0" w:color="auto"/>
              <w:right w:val="single" w:sz="4" w:space="0" w:color="auto"/>
            </w:tcBorders>
            <w:shd w:val="clear" w:color="auto" w:fill="auto"/>
            <w:noWrap/>
            <w:hideMark/>
          </w:tcPr>
          <w:p w:rsidR="006620B9" w:rsidRPr="005D21D3" w:rsidRDefault="006620B9" w:rsidP="006620B9">
            <w:pPr>
              <w:spacing w:before="0" w:after="0" w:line="240" w:lineRule="auto"/>
              <w:jc w:val="right"/>
              <w:rPr>
                <w:rFonts w:eastAsia="Times New Roman" w:cs="Arial"/>
                <w:b/>
                <w:bCs/>
                <w:color w:val="000000"/>
                <w:sz w:val="18"/>
                <w:szCs w:val="20"/>
                <w:lang w:val="en-US"/>
              </w:rPr>
            </w:pPr>
            <w:r w:rsidRPr="005D21D3">
              <w:rPr>
                <w:rFonts w:eastAsia="Times New Roman" w:cs="Arial"/>
                <w:b/>
                <w:bCs/>
                <w:color w:val="000000"/>
                <w:sz w:val="18"/>
                <w:szCs w:val="20"/>
                <w:lang w:val="en-US"/>
              </w:rPr>
              <w:t>€</w:t>
            </w:r>
            <w:r w:rsidR="0075552A">
              <w:rPr>
                <w:rFonts w:eastAsia="Times New Roman" w:cs="Arial"/>
                <w:b/>
                <w:bCs/>
                <w:color w:val="000000"/>
                <w:sz w:val="18"/>
                <w:szCs w:val="20"/>
                <w:lang w:val="en-US"/>
              </w:rPr>
              <w:t xml:space="preserve">   </w:t>
            </w:r>
            <w:r w:rsidRPr="005D21D3">
              <w:rPr>
                <w:rFonts w:eastAsia="Times New Roman" w:cs="Arial"/>
                <w:b/>
                <w:bCs/>
                <w:color w:val="000000"/>
                <w:sz w:val="18"/>
                <w:szCs w:val="20"/>
                <w:lang w:val="en-US"/>
              </w:rPr>
              <w:t>-</w:t>
            </w:r>
            <w:r w:rsidR="005D21D3" w:rsidRPr="005D21D3">
              <w:rPr>
                <w:rFonts w:eastAsia="Times New Roman" w:cs="Arial"/>
                <w:b/>
                <w:bCs/>
                <w:color w:val="000000"/>
                <w:sz w:val="18"/>
                <w:szCs w:val="20"/>
                <w:lang w:val="en-US"/>
              </w:rPr>
              <w:t xml:space="preserve"> </w:t>
            </w:r>
          </w:p>
        </w:tc>
      </w:tr>
    </w:tbl>
    <w:p w:rsidR="006620B9" w:rsidRDefault="006620B9" w:rsidP="00770759">
      <w:pPr>
        <w:spacing w:line="360" w:lineRule="auto"/>
        <w:ind w:left="1701"/>
        <w:jc w:val="both"/>
        <w:rPr>
          <w:lang w:val="en-GB"/>
        </w:rPr>
      </w:pPr>
    </w:p>
    <w:p w:rsidR="00B36820" w:rsidRDefault="00B36820" w:rsidP="00B36820">
      <w:pPr>
        <w:pStyle w:val="Kop4"/>
        <w:rPr>
          <w:lang w:val="en-US"/>
        </w:rPr>
      </w:pPr>
      <w:r>
        <w:rPr>
          <w:lang w:val="en-US"/>
        </w:rPr>
        <w:t>Interpretation of the results</w:t>
      </w:r>
    </w:p>
    <w:p w:rsidR="00B36820" w:rsidRPr="0012399B" w:rsidRDefault="00B36820" w:rsidP="00B36820">
      <w:pPr>
        <w:pStyle w:val="ARCADISStandaard"/>
        <w:rPr>
          <w:b/>
          <w:lang w:val="en-GB"/>
        </w:rPr>
      </w:pPr>
      <w:r>
        <w:rPr>
          <w:b/>
          <w:lang w:val="en-GB"/>
        </w:rPr>
        <w:t>Time period in the frame of Cost effectiveness analysis</w:t>
      </w:r>
    </w:p>
    <w:p w:rsidR="00B36820" w:rsidRPr="006B41B9" w:rsidRDefault="00B36820" w:rsidP="00B36820">
      <w:pPr>
        <w:pStyle w:val="ARCADISStandaard"/>
        <w:rPr>
          <w:lang w:val="en-GB"/>
        </w:rPr>
      </w:pPr>
      <w:r w:rsidRPr="00BC6C86">
        <w:rPr>
          <w:lang w:val="en-GB"/>
        </w:rPr>
        <w:t xml:space="preserve">Costs </w:t>
      </w:r>
      <w:r>
        <w:rPr>
          <w:lang w:val="en-GB"/>
        </w:rPr>
        <w:t>will be</w:t>
      </w:r>
      <w:r w:rsidRPr="00BC6C86">
        <w:rPr>
          <w:lang w:val="en-GB"/>
        </w:rPr>
        <w:t xml:space="preserve"> assessed over a timescale of </w:t>
      </w:r>
      <w:r>
        <w:rPr>
          <w:lang w:val="en-GB"/>
        </w:rPr>
        <w:t>6</w:t>
      </w:r>
      <w:r w:rsidRPr="005E6915">
        <w:rPr>
          <w:u w:val="single"/>
          <w:lang w:val="en-GB"/>
        </w:rPr>
        <w:t xml:space="preserve"> years</w:t>
      </w:r>
      <w:r>
        <w:rPr>
          <w:u w:val="single"/>
          <w:lang w:val="en-GB"/>
        </w:rPr>
        <w:t>, correspondingly to the MSFD planning cycle</w:t>
      </w:r>
      <w:r w:rsidRPr="00BC6C86">
        <w:rPr>
          <w:lang w:val="en-GB"/>
        </w:rPr>
        <w:t xml:space="preserve">. </w:t>
      </w:r>
      <w:r w:rsidRPr="006B41B9">
        <w:rPr>
          <w:lang w:val="en-GB"/>
        </w:rPr>
        <w:t>The decision to use this timeframe was based on various factors.</w:t>
      </w:r>
    </w:p>
    <w:p w:rsidR="00B36820" w:rsidRPr="00B36820" w:rsidRDefault="00B36820" w:rsidP="00B36820">
      <w:pPr>
        <w:pStyle w:val="ARCADISStandaard"/>
        <w:rPr>
          <w:lang w:val="en-GB"/>
        </w:rPr>
      </w:pPr>
      <w:r w:rsidRPr="006B41B9">
        <w:rPr>
          <w:lang w:val="en-GB"/>
        </w:rPr>
        <w:t>-</w:t>
      </w:r>
      <w:r w:rsidRPr="00B36820">
        <w:rPr>
          <w:lang w:val="en-GB"/>
        </w:rPr>
        <w:t xml:space="preserve"> time period in line with the policy cycle and its time horizon for budgeting</w:t>
      </w:r>
    </w:p>
    <w:p w:rsidR="00B36820" w:rsidRPr="006B41B9" w:rsidRDefault="00B36820" w:rsidP="00B36820">
      <w:pPr>
        <w:pStyle w:val="ARCADISStandaard"/>
        <w:rPr>
          <w:lang w:val="en-GB"/>
        </w:rPr>
      </w:pPr>
      <w:r w:rsidRPr="00B36820">
        <w:rPr>
          <w:lang w:val="en-GB"/>
        </w:rPr>
        <w:t xml:space="preserve">- increased acceptance by stakeholders (e.g. businesses adjust their activities rather in the medium than in the long term, based on e.g. 5 years budgets) </w:t>
      </w:r>
    </w:p>
    <w:p w:rsidR="00B36820" w:rsidRPr="006B41B9" w:rsidRDefault="00B36820" w:rsidP="00B36820">
      <w:pPr>
        <w:pStyle w:val="ARCADISStandaard"/>
        <w:rPr>
          <w:lang w:val="en-GB"/>
        </w:rPr>
      </w:pPr>
      <w:r w:rsidRPr="006B41B9">
        <w:rPr>
          <w:lang w:val="en-GB"/>
        </w:rPr>
        <w:t>-</w:t>
      </w:r>
      <w:r w:rsidRPr="00B36820">
        <w:rPr>
          <w:lang w:val="en-GB"/>
        </w:rPr>
        <w:t xml:space="preserve"> room for evaluation and adjustment of measures </w:t>
      </w:r>
    </w:p>
    <w:p w:rsidR="00B36820" w:rsidRDefault="00B36820" w:rsidP="00B36820">
      <w:pPr>
        <w:pStyle w:val="ARCADISStandaard"/>
        <w:rPr>
          <w:lang w:val="en-GB"/>
        </w:rPr>
      </w:pPr>
      <w:r w:rsidRPr="006B41B9">
        <w:rPr>
          <w:lang w:val="en-GB"/>
        </w:rPr>
        <w:t xml:space="preserve">- a time frame that can be reflected in the </w:t>
      </w:r>
      <w:proofErr w:type="spellStart"/>
      <w:r w:rsidRPr="006B41B9">
        <w:rPr>
          <w:lang w:val="en-GB"/>
        </w:rPr>
        <w:t>statebudget</w:t>
      </w:r>
      <w:proofErr w:type="spellEnd"/>
      <w:r w:rsidRPr="006B41B9">
        <w:rPr>
          <w:lang w:val="en-GB"/>
        </w:rPr>
        <w:t>…</w:t>
      </w:r>
    </w:p>
    <w:p w:rsidR="00B36820" w:rsidRDefault="00B36820" w:rsidP="00B36820">
      <w:pPr>
        <w:pStyle w:val="ARCADISStandaard"/>
        <w:rPr>
          <w:lang w:val="en-US"/>
        </w:rPr>
      </w:pPr>
    </w:p>
    <w:p w:rsidR="00B36820" w:rsidRPr="00B36820" w:rsidRDefault="00B36820" w:rsidP="00B36820">
      <w:pPr>
        <w:pStyle w:val="ARCADISStandaard"/>
        <w:rPr>
          <w:b/>
          <w:lang w:val="en-US"/>
        </w:rPr>
      </w:pPr>
      <w:r w:rsidRPr="00B36820">
        <w:rPr>
          <w:b/>
          <w:lang w:val="en-US"/>
        </w:rPr>
        <w:t>Discount rate</w:t>
      </w:r>
    </w:p>
    <w:p w:rsidR="00B36820" w:rsidRDefault="00B36820" w:rsidP="00B36820">
      <w:pPr>
        <w:pStyle w:val="ARCADISStandaard"/>
        <w:rPr>
          <w:lang w:val="en-GB"/>
        </w:rPr>
      </w:pPr>
      <w:r w:rsidRPr="00BC6C86">
        <w:rPr>
          <w:lang w:val="en-GB"/>
        </w:rPr>
        <w:t>Costs and benefits are calculated over th</w:t>
      </w:r>
      <w:r>
        <w:rPr>
          <w:lang w:val="en-GB"/>
        </w:rPr>
        <w:t>e period using a discount rate of 4</w:t>
      </w:r>
      <w:r w:rsidRPr="00BC6C86">
        <w:rPr>
          <w:lang w:val="en-GB"/>
        </w:rPr>
        <w:t xml:space="preserve">%, </w:t>
      </w:r>
      <w:r>
        <w:rPr>
          <w:lang w:val="en-GB"/>
        </w:rPr>
        <w:t>conform the EC Impact Assessment Guidelines (2009). The NPV that can be calculated based on the discounted rate allows decision makers to get insight in the total costs over the analysed time period.</w:t>
      </w:r>
    </w:p>
    <w:p w:rsidR="00B36820" w:rsidRDefault="00B36820" w:rsidP="00B36820">
      <w:pPr>
        <w:pStyle w:val="ARCADISStandaard"/>
        <w:rPr>
          <w:lang w:val="en-GB"/>
        </w:rPr>
      </w:pPr>
    </w:p>
    <w:p w:rsidR="00B36820" w:rsidRDefault="00B36820" w:rsidP="00B36820">
      <w:pPr>
        <w:pStyle w:val="ARCADISStandaard"/>
        <w:rPr>
          <w:b/>
          <w:lang w:val="en-US"/>
        </w:rPr>
      </w:pPr>
      <w:r w:rsidRPr="00AE24C1">
        <w:rPr>
          <w:b/>
          <w:lang w:val="en-US"/>
        </w:rPr>
        <w:t xml:space="preserve">Approach </w:t>
      </w:r>
      <w:r>
        <w:rPr>
          <w:b/>
          <w:lang w:val="en-US"/>
        </w:rPr>
        <w:t>to a</w:t>
      </w:r>
      <w:r w:rsidRPr="00AE24C1">
        <w:rPr>
          <w:b/>
          <w:lang w:val="en-US"/>
        </w:rPr>
        <w:t xml:space="preserve">ssign </w:t>
      </w:r>
      <w:r>
        <w:rPr>
          <w:b/>
          <w:lang w:val="en-US"/>
        </w:rPr>
        <w:t>c</w:t>
      </w:r>
      <w:r w:rsidRPr="00AE24C1">
        <w:rPr>
          <w:b/>
          <w:lang w:val="en-US"/>
        </w:rPr>
        <w:t>ertainty</w:t>
      </w:r>
    </w:p>
    <w:p w:rsidR="00B36820" w:rsidRDefault="00B36820" w:rsidP="00B36820">
      <w:pPr>
        <w:pStyle w:val="ARCADISStandaard"/>
        <w:rPr>
          <w:strike/>
          <w:lang w:val="en-GB"/>
        </w:rPr>
      </w:pPr>
      <w:r>
        <w:rPr>
          <w:lang w:val="en-GB"/>
        </w:rPr>
        <w:t xml:space="preserve">The certainty of attributing costs to the different cost components at this stage of the Programme of Measures is varying. Some components, such as </w:t>
      </w:r>
      <w:proofErr w:type="spellStart"/>
      <w:r>
        <w:rPr>
          <w:lang w:val="en-GB"/>
        </w:rPr>
        <w:t>sectoral</w:t>
      </w:r>
      <w:proofErr w:type="spellEnd"/>
      <w:r>
        <w:rPr>
          <w:lang w:val="en-GB"/>
        </w:rPr>
        <w:t xml:space="preserve"> cost to fisheries are not yet possible to estimate where others, such as awareness raising measures, can rely on known budgets for similar projects from the past. </w:t>
      </w:r>
      <w:r w:rsidRPr="00B36820">
        <w:rPr>
          <w:lang w:val="en-GB"/>
        </w:rPr>
        <w:t xml:space="preserve">In order to include uncertainty in the cost estimation, </w:t>
      </w:r>
      <w:r>
        <w:rPr>
          <w:lang w:val="en-GB"/>
        </w:rPr>
        <w:t>the following 3 scale</w:t>
      </w:r>
      <w:r w:rsidRPr="00B36820">
        <w:rPr>
          <w:lang w:val="en-GB"/>
        </w:rPr>
        <w:t xml:space="preserve"> of </w:t>
      </w:r>
      <w:r>
        <w:rPr>
          <w:lang w:val="en-GB"/>
        </w:rPr>
        <w:t>likelihood will be included previous to the scoring</w:t>
      </w:r>
      <w:r>
        <w:rPr>
          <w:rStyle w:val="Voetnootmarkering"/>
          <w:lang w:val="en-GB"/>
        </w:rPr>
        <w:footnoteReference w:id="3"/>
      </w:r>
      <w:r>
        <w:rPr>
          <w:lang w:val="en-GB"/>
        </w:rPr>
        <w:t xml:space="preserve">. </w:t>
      </w:r>
    </w:p>
    <w:p w:rsidR="00B36820" w:rsidRDefault="00B36820" w:rsidP="00B36820">
      <w:pPr>
        <w:pStyle w:val="OpsommingSymbool"/>
        <w:rPr>
          <w:lang w:val="en-GB"/>
        </w:rPr>
      </w:pPr>
      <w:r w:rsidRPr="00B36820">
        <w:rPr>
          <w:highlight w:val="green"/>
          <w:lang w:val="en-GB"/>
        </w:rPr>
        <w:t>Green</w:t>
      </w:r>
      <w:r>
        <w:rPr>
          <w:lang w:val="en-GB"/>
        </w:rPr>
        <w:t>: Certain (&gt;66% probability)</w:t>
      </w:r>
    </w:p>
    <w:p w:rsidR="00B36820" w:rsidRDefault="00B36820" w:rsidP="00B36820">
      <w:pPr>
        <w:pStyle w:val="OpsommingSymbool"/>
        <w:rPr>
          <w:lang w:val="en-GB"/>
        </w:rPr>
      </w:pPr>
      <w:r w:rsidRPr="00B36820">
        <w:rPr>
          <w:highlight w:val="yellow"/>
          <w:lang w:val="en-GB"/>
        </w:rPr>
        <w:t>Yellow:</w:t>
      </w:r>
      <w:r>
        <w:rPr>
          <w:lang w:val="en-GB"/>
        </w:rPr>
        <w:t xml:space="preserve"> Medium uncertainty (&gt;</w:t>
      </w:r>
      <w:r w:rsidRPr="0022230A">
        <w:rPr>
          <w:lang w:val="en-GB"/>
        </w:rPr>
        <w:t>33–66% probability</w:t>
      </w:r>
      <w:r>
        <w:rPr>
          <w:lang w:val="en-GB"/>
        </w:rPr>
        <w:t>)</w:t>
      </w:r>
    </w:p>
    <w:p w:rsidR="00B36820" w:rsidRDefault="00B36820" w:rsidP="00B36820">
      <w:pPr>
        <w:pStyle w:val="OpsommingSymbool"/>
        <w:rPr>
          <w:lang w:val="en-GB"/>
        </w:rPr>
      </w:pPr>
      <w:r w:rsidRPr="00B36820">
        <w:rPr>
          <w:highlight w:val="red"/>
          <w:lang w:val="en-GB"/>
        </w:rPr>
        <w:t>Red</w:t>
      </w:r>
      <w:r>
        <w:rPr>
          <w:lang w:val="en-GB"/>
        </w:rPr>
        <w:t>: Uncertain (&lt;33% probability)</w:t>
      </w:r>
    </w:p>
    <w:p w:rsidR="00B36820" w:rsidRDefault="00B36820" w:rsidP="00B36820">
      <w:pPr>
        <w:pStyle w:val="ARCADISStandaard"/>
        <w:rPr>
          <w:lang w:val="en-GB"/>
        </w:rPr>
      </w:pPr>
      <w:r w:rsidRPr="00B36820">
        <w:rPr>
          <w:lang w:val="en-GB"/>
        </w:rPr>
        <w:t>Estimates of certainty are derived from expert judgment and existing literature examined for this assessment.</w:t>
      </w:r>
      <w:r>
        <w:rPr>
          <w:lang w:val="en-GB"/>
        </w:rPr>
        <w:t xml:space="preserve"> They give an indication on certainty and do not influence the calculated total discounted costs.</w:t>
      </w:r>
    </w:p>
    <w:p w:rsidR="00B36820" w:rsidRDefault="00B36820" w:rsidP="00770759">
      <w:pPr>
        <w:spacing w:line="360" w:lineRule="auto"/>
        <w:ind w:left="1701"/>
        <w:jc w:val="both"/>
        <w:rPr>
          <w:lang w:val="en-GB"/>
        </w:rPr>
      </w:pPr>
    </w:p>
    <w:p w:rsidR="00B36820" w:rsidRDefault="00B36820" w:rsidP="00B36820">
      <w:pPr>
        <w:pStyle w:val="ARCADISStandaard"/>
        <w:rPr>
          <w:b/>
          <w:lang w:val="en-US"/>
        </w:rPr>
      </w:pPr>
      <w:r>
        <w:rPr>
          <w:b/>
          <w:lang w:val="en-US"/>
        </w:rPr>
        <w:t xml:space="preserve">Scoring of the costs </w:t>
      </w:r>
    </w:p>
    <w:p w:rsidR="00746E24" w:rsidRDefault="00770759" w:rsidP="00770759">
      <w:pPr>
        <w:spacing w:line="360" w:lineRule="auto"/>
        <w:ind w:left="1701"/>
        <w:jc w:val="both"/>
        <w:rPr>
          <w:lang w:val="en-GB"/>
        </w:rPr>
      </w:pPr>
      <w:r w:rsidRPr="00770759">
        <w:rPr>
          <w:lang w:val="en-GB"/>
        </w:rPr>
        <w:t xml:space="preserve">The </w:t>
      </w:r>
      <w:r w:rsidRPr="00770759">
        <w:rPr>
          <w:b/>
          <w:lang w:val="en-GB"/>
        </w:rPr>
        <w:t>evaluation of costs</w:t>
      </w:r>
      <w:r w:rsidR="00DC5690" w:rsidRPr="00B36820">
        <w:rPr>
          <w:lang w:val="en-GB"/>
        </w:rPr>
        <w:t>, in the frame of cost effectiveness analysis,</w:t>
      </w:r>
      <w:r w:rsidRPr="00770759">
        <w:rPr>
          <w:lang w:val="en-GB"/>
        </w:rPr>
        <w:t xml:space="preserve"> will be done </w:t>
      </w:r>
      <w:r w:rsidR="00F6435F">
        <w:rPr>
          <w:lang w:val="en-GB"/>
        </w:rPr>
        <w:t>i</w:t>
      </w:r>
      <w:r w:rsidRPr="00770759">
        <w:rPr>
          <w:lang w:val="en-GB"/>
        </w:rPr>
        <w:t xml:space="preserve">n a semi-quantitative manner using size classes, which are converted into scores </w:t>
      </w:r>
      <w:r w:rsidRPr="00770759">
        <w:rPr>
          <w:lang w:val="en-GB"/>
        </w:rPr>
        <w:lastRenderedPageBreak/>
        <w:t>of 1 to 5</w:t>
      </w:r>
      <w:r w:rsidR="005D21D3">
        <w:rPr>
          <w:rStyle w:val="Voetnootmarkering"/>
          <w:lang w:val="en-GB"/>
        </w:rPr>
        <w:footnoteReference w:id="4"/>
      </w:r>
      <w:r w:rsidRPr="00770759">
        <w:rPr>
          <w:lang w:val="en-GB"/>
        </w:rPr>
        <w:t>, as shown in the table below (illustrative example)</w:t>
      </w:r>
      <w:r w:rsidR="00F14054">
        <w:rPr>
          <w:lang w:val="en-GB"/>
        </w:rPr>
        <w:t>, due to lack of detailed cost data in the first MSFD cycle</w:t>
      </w:r>
      <w:r w:rsidRPr="00770759">
        <w:rPr>
          <w:lang w:val="en-GB"/>
        </w:rPr>
        <w:t xml:space="preserve">. </w:t>
      </w:r>
    </w:p>
    <w:p w:rsidR="00CF190F" w:rsidRDefault="00770759" w:rsidP="00B36820">
      <w:pPr>
        <w:spacing w:line="360" w:lineRule="auto"/>
        <w:ind w:left="1701"/>
        <w:jc w:val="both"/>
        <w:rPr>
          <w:bCs/>
          <w:color w:val="0079A3"/>
          <w:sz w:val="18"/>
          <w:szCs w:val="20"/>
          <w:lang w:val="en-US"/>
        </w:rPr>
      </w:pPr>
      <w:r w:rsidRPr="00770759">
        <w:rPr>
          <w:lang w:val="en-GB"/>
        </w:rPr>
        <w:t xml:space="preserve">The </w:t>
      </w:r>
      <w:r w:rsidR="00F14054">
        <w:rPr>
          <w:lang w:val="en-GB"/>
        </w:rPr>
        <w:t>methodology of using</w:t>
      </w:r>
      <w:r w:rsidRPr="00770759">
        <w:rPr>
          <w:lang w:val="en-GB"/>
        </w:rPr>
        <w:t xml:space="preserve"> size classes </w:t>
      </w:r>
      <w:r w:rsidR="00746E24">
        <w:rPr>
          <w:lang w:val="en-GB"/>
        </w:rPr>
        <w:t xml:space="preserve">has been </w:t>
      </w:r>
      <w:r w:rsidR="00F14054">
        <w:rPr>
          <w:lang w:val="en-GB"/>
        </w:rPr>
        <w:t xml:space="preserve">presented and </w:t>
      </w:r>
      <w:r w:rsidR="00746E24">
        <w:rPr>
          <w:lang w:val="en-GB"/>
        </w:rPr>
        <w:t xml:space="preserve">proposed to the participants of the </w:t>
      </w:r>
      <w:r w:rsidR="00F14054">
        <w:rPr>
          <w:lang w:val="en-GB"/>
        </w:rPr>
        <w:t>CBE</w:t>
      </w:r>
      <w:r w:rsidR="00746E24" w:rsidRPr="006620B9">
        <w:rPr>
          <w:lang w:val="en-GB"/>
        </w:rPr>
        <w:t xml:space="preserve"> Varna workshop</w:t>
      </w:r>
      <w:r w:rsidR="00F14054">
        <w:rPr>
          <w:lang w:val="en-GB"/>
        </w:rPr>
        <w:t xml:space="preserve"> (March 2015)</w:t>
      </w:r>
      <w:r w:rsidR="00746E24" w:rsidRPr="006620B9">
        <w:rPr>
          <w:lang w:val="en-GB"/>
        </w:rPr>
        <w:t>.</w:t>
      </w:r>
      <w:r w:rsidR="00746E24">
        <w:rPr>
          <w:lang w:val="en-GB"/>
        </w:rPr>
        <w:t xml:space="preserve"> </w:t>
      </w:r>
      <w:r w:rsidR="00F14054">
        <w:rPr>
          <w:lang w:val="en-GB"/>
        </w:rPr>
        <w:t xml:space="preserve">The size classes </w:t>
      </w:r>
      <w:r w:rsidR="00B36820">
        <w:rPr>
          <w:lang w:val="en-GB"/>
        </w:rPr>
        <w:t>has been</w:t>
      </w:r>
      <w:r w:rsidR="00F14054">
        <w:rPr>
          <w:lang w:val="en-GB"/>
        </w:rPr>
        <w:t xml:space="preserve"> evaluated and further fine-tuned during the CBE event in Brussels</w:t>
      </w:r>
      <w:r w:rsidR="00746E24">
        <w:rPr>
          <w:lang w:val="en-GB"/>
        </w:rPr>
        <w:t xml:space="preserve"> (5-6/05) </w:t>
      </w:r>
      <w:r w:rsidR="00F14054">
        <w:rPr>
          <w:lang w:val="en-GB"/>
        </w:rPr>
        <w:t xml:space="preserve">based on first cost estimates of </w:t>
      </w:r>
      <w:r w:rsidR="00746E24">
        <w:rPr>
          <w:lang w:val="en-GB"/>
        </w:rPr>
        <w:t>proposed measures.</w:t>
      </w:r>
      <w:r w:rsidR="005D21D3">
        <w:rPr>
          <w:lang w:val="en-GB"/>
        </w:rPr>
        <w:t xml:space="preserve"> </w:t>
      </w:r>
    </w:p>
    <w:p w:rsidR="00746E24" w:rsidRPr="00770759" w:rsidRDefault="00746E24" w:rsidP="00746E24">
      <w:pPr>
        <w:pStyle w:val="Bijschrift"/>
        <w:rPr>
          <w:lang w:val="en-GB"/>
        </w:rPr>
      </w:pPr>
      <w:bookmarkStart w:id="1" w:name="_GoBack"/>
      <w:bookmarkEnd w:id="1"/>
      <w:r w:rsidRPr="00746E24">
        <w:rPr>
          <w:lang w:val="en-US"/>
        </w:rPr>
        <w:t xml:space="preserve">Table </w:t>
      </w:r>
      <w:r w:rsidR="00442051">
        <w:fldChar w:fldCharType="begin"/>
      </w:r>
      <w:r w:rsidRPr="00746E24">
        <w:rPr>
          <w:lang w:val="en-US"/>
        </w:rPr>
        <w:instrText xml:space="preserve"> SEQ Table \* ARABIC </w:instrText>
      </w:r>
      <w:r w:rsidR="00442051">
        <w:fldChar w:fldCharType="separate"/>
      </w:r>
      <w:r w:rsidRPr="00746E24">
        <w:rPr>
          <w:noProof/>
          <w:lang w:val="en-US"/>
        </w:rPr>
        <w:t>1</w:t>
      </w:r>
      <w:r w:rsidR="00442051">
        <w:fldChar w:fldCharType="end"/>
      </w:r>
      <w:r w:rsidRPr="00746E24">
        <w:rPr>
          <w:lang w:val="en-US"/>
        </w:rPr>
        <w:t> : Proposed size classes for cost assessment of coordinated measures in the Black Sea Region</w:t>
      </w:r>
    </w:p>
    <w:tbl>
      <w:tblPr>
        <w:tblW w:w="3238" w:type="dxa"/>
        <w:tblInd w:w="2124" w:type="dxa"/>
        <w:tblLayout w:type="fixed"/>
        <w:tblLook w:val="04A0" w:firstRow="1" w:lastRow="0" w:firstColumn="1" w:lastColumn="0" w:noHBand="0" w:noVBand="1"/>
      </w:tblPr>
      <w:tblGrid>
        <w:gridCol w:w="976"/>
        <w:gridCol w:w="2262"/>
      </w:tblGrid>
      <w:tr w:rsidR="00746E24" w:rsidRPr="00770759" w:rsidTr="00746E24">
        <w:trPr>
          <w:trHeight w:val="300"/>
        </w:trPr>
        <w:tc>
          <w:tcPr>
            <w:tcW w:w="976" w:type="dxa"/>
            <w:tcBorders>
              <w:top w:val="single" w:sz="4" w:space="0" w:color="auto"/>
              <w:bottom w:val="single" w:sz="4" w:space="0" w:color="auto"/>
            </w:tcBorders>
            <w:shd w:val="clear" w:color="auto" w:fill="0079A3"/>
            <w:noWrap/>
            <w:hideMark/>
          </w:tcPr>
          <w:p w:rsidR="00746E24" w:rsidRPr="00770759" w:rsidRDefault="00746E24" w:rsidP="00770759">
            <w:pPr>
              <w:spacing w:after="0" w:line="240" w:lineRule="auto"/>
              <w:jc w:val="center"/>
              <w:rPr>
                <w:rFonts w:cs="Arial"/>
                <w:b/>
                <w:color w:val="FFFFFF" w:themeColor="background1"/>
                <w:lang w:val="en-GB" w:eastAsia="fr-BE"/>
              </w:rPr>
            </w:pPr>
            <w:r w:rsidRPr="00770759">
              <w:rPr>
                <w:rFonts w:cs="Arial"/>
                <w:b/>
                <w:color w:val="FFFFFF" w:themeColor="background1"/>
                <w:lang w:val="en-GB" w:eastAsia="fr-BE"/>
              </w:rPr>
              <w:t>Score</w:t>
            </w:r>
          </w:p>
        </w:tc>
        <w:tc>
          <w:tcPr>
            <w:tcW w:w="2262" w:type="dxa"/>
            <w:tcBorders>
              <w:top w:val="single" w:sz="4" w:space="0" w:color="auto"/>
              <w:bottom w:val="single" w:sz="4" w:space="0" w:color="auto"/>
            </w:tcBorders>
            <w:shd w:val="clear" w:color="auto" w:fill="0079A3"/>
          </w:tcPr>
          <w:p w:rsidR="00746E24" w:rsidRPr="00770759" w:rsidRDefault="000066FC" w:rsidP="00770759">
            <w:pPr>
              <w:spacing w:after="0" w:line="240" w:lineRule="auto"/>
              <w:jc w:val="center"/>
              <w:rPr>
                <w:rFonts w:cs="Arial"/>
                <w:b/>
                <w:color w:val="FFFFFF" w:themeColor="background1"/>
                <w:lang w:val="en-GB" w:eastAsia="fr-BE"/>
              </w:rPr>
            </w:pPr>
            <w:r>
              <w:rPr>
                <w:rFonts w:cs="Arial"/>
                <w:b/>
                <w:color w:val="FFFFFF" w:themeColor="background1"/>
                <w:lang w:val="en-GB" w:eastAsia="fr-BE"/>
              </w:rPr>
              <w:t>Total</w:t>
            </w:r>
            <w:r w:rsidRPr="00770759">
              <w:rPr>
                <w:rFonts w:cs="Arial"/>
                <w:b/>
                <w:color w:val="FFFFFF" w:themeColor="background1"/>
                <w:lang w:val="en-GB" w:eastAsia="fr-BE"/>
              </w:rPr>
              <w:t xml:space="preserve"> </w:t>
            </w:r>
            <w:r w:rsidR="00746E24" w:rsidRPr="00770759">
              <w:rPr>
                <w:rFonts w:cs="Arial"/>
                <w:b/>
                <w:color w:val="FFFFFF" w:themeColor="background1"/>
                <w:lang w:val="en-GB" w:eastAsia="fr-BE"/>
              </w:rPr>
              <w:t>cost</w:t>
            </w:r>
          </w:p>
        </w:tc>
      </w:tr>
      <w:tr w:rsidR="00746E24" w:rsidRPr="00770759" w:rsidTr="00746E24">
        <w:trPr>
          <w:trHeight w:val="300"/>
        </w:trPr>
        <w:tc>
          <w:tcPr>
            <w:tcW w:w="976" w:type="dxa"/>
            <w:tcBorders>
              <w:bottom w:val="single" w:sz="4" w:space="0" w:color="auto"/>
            </w:tcBorders>
            <w:shd w:val="clear" w:color="auto" w:fill="FF0000"/>
            <w:noWrap/>
            <w:hideMark/>
          </w:tcPr>
          <w:p w:rsidR="00746E24" w:rsidRPr="00770759" w:rsidRDefault="00746E24" w:rsidP="00770759">
            <w:pPr>
              <w:spacing w:after="0" w:line="240" w:lineRule="auto"/>
              <w:jc w:val="center"/>
              <w:rPr>
                <w:rFonts w:cs="Arial"/>
                <w:color w:val="000000"/>
                <w:lang w:val="en-GB" w:eastAsia="fr-BE"/>
              </w:rPr>
            </w:pPr>
            <w:r w:rsidRPr="00770759">
              <w:rPr>
                <w:rFonts w:cs="Arial"/>
                <w:color w:val="000000"/>
                <w:lang w:val="en-GB" w:eastAsia="fr-BE"/>
              </w:rPr>
              <w:t>1</w:t>
            </w:r>
          </w:p>
        </w:tc>
        <w:tc>
          <w:tcPr>
            <w:tcW w:w="2262" w:type="dxa"/>
            <w:tcBorders>
              <w:bottom w:val="single" w:sz="4" w:space="0" w:color="auto"/>
            </w:tcBorders>
            <w:shd w:val="clear" w:color="auto" w:fill="FF0000"/>
          </w:tcPr>
          <w:p w:rsidR="00746E24" w:rsidRPr="00770759" w:rsidRDefault="00746E24" w:rsidP="00770759">
            <w:pPr>
              <w:spacing w:after="0" w:line="240" w:lineRule="auto"/>
              <w:jc w:val="right"/>
              <w:rPr>
                <w:rFonts w:cs="Arial"/>
                <w:color w:val="000000"/>
                <w:lang w:val="en-GB" w:eastAsia="fr-BE"/>
              </w:rPr>
            </w:pPr>
            <w:r w:rsidRPr="00770759">
              <w:rPr>
                <w:rFonts w:cs="Arial"/>
                <w:color w:val="000000"/>
                <w:lang w:val="en-GB" w:eastAsia="fr-BE"/>
              </w:rPr>
              <w:t xml:space="preserve">&gt; </w:t>
            </w:r>
            <w:r w:rsidRPr="00770759">
              <w:rPr>
                <w:lang w:val="en-GB"/>
              </w:rPr>
              <w:t xml:space="preserve">€ </w:t>
            </w:r>
            <w:r w:rsidRPr="00770759">
              <w:rPr>
                <w:rFonts w:cs="Arial"/>
                <w:color w:val="000000"/>
                <w:lang w:val="en-GB" w:eastAsia="fr-BE"/>
              </w:rPr>
              <w:t>1 million</w:t>
            </w:r>
          </w:p>
        </w:tc>
      </w:tr>
      <w:tr w:rsidR="00746E24" w:rsidRPr="00770759" w:rsidTr="00746E24">
        <w:trPr>
          <w:trHeight w:val="300"/>
        </w:trPr>
        <w:tc>
          <w:tcPr>
            <w:tcW w:w="976" w:type="dxa"/>
            <w:tcBorders>
              <w:bottom w:val="single" w:sz="4" w:space="0" w:color="auto"/>
            </w:tcBorders>
            <w:shd w:val="clear" w:color="auto" w:fill="FF9933"/>
            <w:noWrap/>
            <w:hideMark/>
          </w:tcPr>
          <w:p w:rsidR="00746E24" w:rsidRPr="00770759" w:rsidRDefault="00746E24" w:rsidP="00770759">
            <w:pPr>
              <w:spacing w:after="0" w:line="240" w:lineRule="auto"/>
              <w:jc w:val="center"/>
              <w:rPr>
                <w:rFonts w:cs="Arial"/>
                <w:color w:val="000000"/>
                <w:lang w:val="en-GB" w:eastAsia="fr-BE"/>
              </w:rPr>
            </w:pPr>
            <w:r w:rsidRPr="00770759">
              <w:rPr>
                <w:rFonts w:cs="Arial"/>
                <w:color w:val="000000"/>
                <w:lang w:val="en-GB" w:eastAsia="fr-BE"/>
              </w:rPr>
              <w:t>2</w:t>
            </w:r>
          </w:p>
        </w:tc>
        <w:tc>
          <w:tcPr>
            <w:tcW w:w="2262" w:type="dxa"/>
            <w:tcBorders>
              <w:bottom w:val="single" w:sz="4" w:space="0" w:color="auto"/>
            </w:tcBorders>
            <w:shd w:val="clear" w:color="auto" w:fill="FF9933"/>
          </w:tcPr>
          <w:p w:rsidR="00746E24" w:rsidRPr="00770759" w:rsidRDefault="00746E24" w:rsidP="00770759">
            <w:pPr>
              <w:spacing w:after="0" w:line="240" w:lineRule="auto"/>
              <w:jc w:val="right"/>
              <w:rPr>
                <w:rFonts w:cs="Arial"/>
                <w:color w:val="000000"/>
                <w:lang w:val="en-GB" w:eastAsia="fr-BE"/>
              </w:rPr>
            </w:pPr>
            <w:r w:rsidRPr="00770759">
              <w:rPr>
                <w:lang w:val="en-GB"/>
              </w:rPr>
              <w:t xml:space="preserve">€ </w:t>
            </w:r>
            <w:r w:rsidR="002E2E2E">
              <w:rPr>
                <w:rFonts w:cs="Arial"/>
                <w:color w:val="000000"/>
                <w:lang w:val="en-GB" w:eastAsia="fr-BE"/>
              </w:rPr>
              <w:t>5</w:t>
            </w:r>
            <w:r w:rsidRPr="00770759">
              <w:rPr>
                <w:rFonts w:cs="Arial"/>
                <w:color w:val="000000"/>
                <w:lang w:val="en-GB" w:eastAsia="fr-BE"/>
              </w:rPr>
              <w:t>00,000 - 1 million</w:t>
            </w:r>
          </w:p>
        </w:tc>
      </w:tr>
      <w:tr w:rsidR="00746E24" w:rsidRPr="00770759" w:rsidTr="00746E24">
        <w:trPr>
          <w:trHeight w:val="300"/>
        </w:trPr>
        <w:tc>
          <w:tcPr>
            <w:tcW w:w="976" w:type="dxa"/>
            <w:tcBorders>
              <w:bottom w:val="single" w:sz="4" w:space="0" w:color="auto"/>
            </w:tcBorders>
            <w:shd w:val="clear" w:color="auto" w:fill="FFFF00"/>
            <w:noWrap/>
            <w:hideMark/>
          </w:tcPr>
          <w:p w:rsidR="00746E24" w:rsidRPr="00770759" w:rsidRDefault="00746E24" w:rsidP="00770759">
            <w:pPr>
              <w:spacing w:after="0" w:line="240" w:lineRule="auto"/>
              <w:jc w:val="center"/>
              <w:rPr>
                <w:rFonts w:cs="Arial"/>
                <w:color w:val="000000"/>
                <w:lang w:val="en-GB" w:eastAsia="fr-BE"/>
              </w:rPr>
            </w:pPr>
            <w:r w:rsidRPr="00770759">
              <w:rPr>
                <w:rFonts w:cs="Arial"/>
                <w:color w:val="000000"/>
                <w:lang w:val="en-GB" w:eastAsia="fr-BE"/>
              </w:rPr>
              <w:t>3</w:t>
            </w:r>
          </w:p>
        </w:tc>
        <w:tc>
          <w:tcPr>
            <w:tcW w:w="2262" w:type="dxa"/>
            <w:tcBorders>
              <w:bottom w:val="single" w:sz="4" w:space="0" w:color="auto"/>
            </w:tcBorders>
            <w:shd w:val="clear" w:color="auto" w:fill="FFFF00"/>
          </w:tcPr>
          <w:p w:rsidR="00746E24" w:rsidRPr="00770759" w:rsidRDefault="00746E24" w:rsidP="00770759">
            <w:pPr>
              <w:spacing w:after="0" w:line="240" w:lineRule="auto"/>
              <w:jc w:val="right"/>
              <w:rPr>
                <w:rFonts w:cs="Arial"/>
                <w:color w:val="000000"/>
                <w:lang w:val="en-GB" w:eastAsia="fr-BE"/>
              </w:rPr>
            </w:pPr>
            <w:r w:rsidRPr="00770759">
              <w:rPr>
                <w:lang w:val="en-GB"/>
              </w:rPr>
              <w:t xml:space="preserve">€ </w:t>
            </w:r>
            <w:r w:rsidR="002E2E2E">
              <w:rPr>
                <w:rFonts w:cs="Arial"/>
                <w:color w:val="000000"/>
                <w:lang w:val="en-GB" w:eastAsia="fr-BE"/>
              </w:rPr>
              <w:t>20</w:t>
            </w:r>
            <w:r w:rsidRPr="00770759">
              <w:rPr>
                <w:rFonts w:cs="Arial"/>
                <w:color w:val="000000"/>
                <w:lang w:val="en-GB" w:eastAsia="fr-BE"/>
              </w:rPr>
              <w:t xml:space="preserve">0,000 - </w:t>
            </w:r>
            <w:r w:rsidR="006B41B9">
              <w:rPr>
                <w:rFonts w:cs="Arial"/>
                <w:color w:val="000000"/>
                <w:lang w:val="en-GB" w:eastAsia="fr-BE"/>
              </w:rPr>
              <w:t>5</w:t>
            </w:r>
            <w:r w:rsidRPr="00770759">
              <w:rPr>
                <w:rFonts w:cs="Arial"/>
                <w:color w:val="000000"/>
                <w:lang w:val="en-GB" w:eastAsia="fr-BE"/>
              </w:rPr>
              <w:t>00,000</w:t>
            </w:r>
          </w:p>
        </w:tc>
      </w:tr>
      <w:tr w:rsidR="00746E24" w:rsidRPr="00770759" w:rsidTr="00746E24">
        <w:trPr>
          <w:trHeight w:val="300"/>
        </w:trPr>
        <w:tc>
          <w:tcPr>
            <w:tcW w:w="976" w:type="dxa"/>
            <w:tcBorders>
              <w:bottom w:val="single" w:sz="4" w:space="0" w:color="auto"/>
            </w:tcBorders>
            <w:shd w:val="clear" w:color="auto" w:fill="92D050"/>
            <w:noWrap/>
            <w:hideMark/>
          </w:tcPr>
          <w:p w:rsidR="00746E24" w:rsidRPr="00770759" w:rsidRDefault="00746E24" w:rsidP="00770759">
            <w:pPr>
              <w:spacing w:after="0" w:line="240" w:lineRule="auto"/>
              <w:jc w:val="center"/>
              <w:rPr>
                <w:rFonts w:cs="Arial"/>
                <w:color w:val="000000"/>
                <w:lang w:val="en-GB" w:eastAsia="fr-BE"/>
              </w:rPr>
            </w:pPr>
            <w:r w:rsidRPr="00770759">
              <w:rPr>
                <w:rFonts w:cs="Arial"/>
                <w:color w:val="000000"/>
                <w:lang w:val="en-GB" w:eastAsia="fr-BE"/>
              </w:rPr>
              <w:t>4</w:t>
            </w:r>
          </w:p>
        </w:tc>
        <w:tc>
          <w:tcPr>
            <w:tcW w:w="2262" w:type="dxa"/>
            <w:tcBorders>
              <w:bottom w:val="single" w:sz="4" w:space="0" w:color="auto"/>
            </w:tcBorders>
            <w:shd w:val="clear" w:color="auto" w:fill="92D050"/>
          </w:tcPr>
          <w:p w:rsidR="00746E24" w:rsidRPr="00770759" w:rsidRDefault="00746E24" w:rsidP="00770759">
            <w:pPr>
              <w:spacing w:after="0" w:line="240" w:lineRule="auto"/>
              <w:jc w:val="right"/>
              <w:rPr>
                <w:rFonts w:cs="Arial"/>
                <w:color w:val="000000"/>
                <w:lang w:val="en-GB" w:eastAsia="fr-BE"/>
              </w:rPr>
            </w:pPr>
            <w:r w:rsidRPr="00770759">
              <w:rPr>
                <w:lang w:val="en-GB"/>
              </w:rPr>
              <w:t xml:space="preserve">€ </w:t>
            </w:r>
            <w:r w:rsidR="006B41B9">
              <w:rPr>
                <w:rFonts w:cs="Arial"/>
                <w:color w:val="000000"/>
                <w:lang w:val="en-GB" w:eastAsia="fr-BE"/>
              </w:rPr>
              <w:t>5</w:t>
            </w:r>
            <w:r w:rsidRPr="00770759">
              <w:rPr>
                <w:rFonts w:cs="Arial"/>
                <w:color w:val="000000"/>
                <w:lang w:val="en-GB" w:eastAsia="fr-BE"/>
              </w:rPr>
              <w:t xml:space="preserve">0,000 - </w:t>
            </w:r>
            <w:r w:rsidR="006B41B9">
              <w:rPr>
                <w:rFonts w:cs="Arial"/>
                <w:color w:val="000000"/>
                <w:lang w:val="en-GB" w:eastAsia="fr-BE"/>
              </w:rPr>
              <w:t>20</w:t>
            </w:r>
            <w:r w:rsidRPr="00770759">
              <w:rPr>
                <w:rFonts w:cs="Arial"/>
                <w:color w:val="000000"/>
                <w:lang w:val="en-GB" w:eastAsia="fr-BE"/>
              </w:rPr>
              <w:t>0,000</w:t>
            </w:r>
          </w:p>
        </w:tc>
      </w:tr>
      <w:tr w:rsidR="00746E24" w:rsidRPr="00770759" w:rsidTr="00746E24">
        <w:trPr>
          <w:trHeight w:val="300"/>
        </w:trPr>
        <w:tc>
          <w:tcPr>
            <w:tcW w:w="976" w:type="dxa"/>
            <w:shd w:val="clear" w:color="auto" w:fill="00B050"/>
            <w:noWrap/>
            <w:hideMark/>
          </w:tcPr>
          <w:p w:rsidR="00746E24" w:rsidRPr="00770759" w:rsidRDefault="00746E24" w:rsidP="00770759">
            <w:pPr>
              <w:spacing w:after="0" w:line="240" w:lineRule="auto"/>
              <w:jc w:val="center"/>
              <w:rPr>
                <w:rFonts w:cs="Arial"/>
                <w:color w:val="000000"/>
                <w:lang w:val="en-GB" w:eastAsia="fr-BE"/>
              </w:rPr>
            </w:pPr>
            <w:r w:rsidRPr="00770759">
              <w:rPr>
                <w:rFonts w:cs="Arial"/>
                <w:color w:val="000000"/>
                <w:lang w:val="en-GB" w:eastAsia="fr-BE"/>
              </w:rPr>
              <w:t>5</w:t>
            </w:r>
          </w:p>
        </w:tc>
        <w:tc>
          <w:tcPr>
            <w:tcW w:w="2262" w:type="dxa"/>
            <w:shd w:val="clear" w:color="auto" w:fill="00B050"/>
          </w:tcPr>
          <w:p w:rsidR="00746E24" w:rsidRPr="00770759" w:rsidRDefault="00746E24" w:rsidP="00DC5690">
            <w:pPr>
              <w:spacing w:after="0" w:line="240" w:lineRule="auto"/>
              <w:jc w:val="right"/>
              <w:rPr>
                <w:rFonts w:cs="Arial"/>
                <w:color w:val="000000"/>
                <w:lang w:val="en-GB" w:eastAsia="fr-BE"/>
              </w:rPr>
            </w:pPr>
            <w:r w:rsidRPr="00770759">
              <w:rPr>
                <w:rFonts w:cs="Arial"/>
                <w:color w:val="000000"/>
                <w:lang w:val="en-GB" w:eastAsia="fr-BE"/>
              </w:rPr>
              <w:t xml:space="preserve">&lt; </w:t>
            </w:r>
            <w:r w:rsidRPr="00770759">
              <w:rPr>
                <w:lang w:val="en-GB"/>
              </w:rPr>
              <w:t xml:space="preserve">€ </w:t>
            </w:r>
            <w:r w:rsidR="006B41B9">
              <w:rPr>
                <w:rFonts w:cs="Arial"/>
                <w:color w:val="000000"/>
                <w:lang w:val="en-GB" w:eastAsia="fr-BE"/>
              </w:rPr>
              <w:t>5</w:t>
            </w:r>
            <w:r w:rsidRPr="00770759">
              <w:rPr>
                <w:rFonts w:cs="Arial"/>
                <w:color w:val="000000"/>
                <w:lang w:val="en-GB" w:eastAsia="fr-BE"/>
              </w:rPr>
              <w:t>0,000</w:t>
            </w:r>
          </w:p>
        </w:tc>
      </w:tr>
    </w:tbl>
    <w:p w:rsidR="00746E24" w:rsidRDefault="00746E24" w:rsidP="00367024">
      <w:pPr>
        <w:pStyle w:val="ARCADISStandaard"/>
      </w:pPr>
    </w:p>
    <w:p w:rsidR="00B36820" w:rsidRPr="00B36820" w:rsidRDefault="00B36820" w:rsidP="00B36820">
      <w:pPr>
        <w:pStyle w:val="ARCADISStandaard"/>
        <w:ind w:left="0"/>
        <w:rPr>
          <w:lang w:val="en-GB"/>
        </w:rPr>
      </w:pPr>
    </w:p>
    <w:p w:rsidR="00265A16" w:rsidRDefault="008C149F" w:rsidP="008C149F">
      <w:pPr>
        <w:pStyle w:val="Kop1"/>
        <w:rPr>
          <w:lang w:val="en-US"/>
        </w:rPr>
      </w:pPr>
      <w:r w:rsidRPr="00B36820">
        <w:rPr>
          <w:lang w:val="en-US"/>
        </w:rPr>
        <w:t>Benefit assessment</w:t>
      </w:r>
    </w:p>
    <w:p w:rsidR="00AE24C1" w:rsidRDefault="00AE24C1" w:rsidP="00B36820">
      <w:pPr>
        <w:pStyle w:val="Kop2"/>
        <w:rPr>
          <w:lang w:val="en-US"/>
        </w:rPr>
      </w:pPr>
      <w:r>
        <w:rPr>
          <w:lang w:val="en-US"/>
        </w:rPr>
        <w:t>Proposed approach</w:t>
      </w:r>
    </w:p>
    <w:p w:rsidR="008C149F" w:rsidRDefault="008C149F" w:rsidP="00265A16">
      <w:pPr>
        <w:pStyle w:val="ARCADISStandaard"/>
        <w:rPr>
          <w:lang w:val="en-US"/>
        </w:rPr>
      </w:pPr>
      <w:r>
        <w:rPr>
          <w:lang w:val="en-US"/>
        </w:rPr>
        <w:t>To be able to carry out a CBA (cost benefit analysis) there is a need to assess the benefits. For each measure information is needed on:</w:t>
      </w:r>
    </w:p>
    <w:p w:rsidR="008C149F" w:rsidRDefault="008C149F" w:rsidP="00B36820">
      <w:pPr>
        <w:pStyle w:val="ARCADISStandaard"/>
        <w:numPr>
          <w:ilvl w:val="0"/>
          <w:numId w:val="14"/>
        </w:numPr>
        <w:rPr>
          <w:lang w:val="en-US"/>
        </w:rPr>
      </w:pPr>
      <w:r>
        <w:rPr>
          <w:lang w:val="en-US"/>
        </w:rPr>
        <w:t>the challenge (the gap between the status and the GES) that the measure is target at – is it small, medium, large</w:t>
      </w:r>
      <w:r w:rsidR="009D7DED">
        <w:rPr>
          <w:lang w:val="en-US"/>
        </w:rPr>
        <w:t>? As the measures will cause a marginal change to the status</w:t>
      </w:r>
      <w:r w:rsidR="00FE48DC">
        <w:rPr>
          <w:lang w:val="en-US"/>
        </w:rPr>
        <w:t>,</w:t>
      </w:r>
      <w:r w:rsidR="0075552A">
        <w:rPr>
          <w:lang w:val="en-US"/>
        </w:rPr>
        <w:t xml:space="preserve"> </w:t>
      </w:r>
      <w:r w:rsidR="009D7DED">
        <w:rPr>
          <w:lang w:val="en-US"/>
        </w:rPr>
        <w:t>know</w:t>
      </w:r>
      <w:r w:rsidR="00FE48DC">
        <w:rPr>
          <w:lang w:val="en-US"/>
        </w:rPr>
        <w:t>ledge</w:t>
      </w:r>
      <w:r w:rsidR="001E0C58">
        <w:rPr>
          <w:lang w:val="en-US"/>
        </w:rPr>
        <w:t xml:space="preserve"> </w:t>
      </w:r>
      <w:r w:rsidR="00FE48DC">
        <w:rPr>
          <w:lang w:val="en-US"/>
        </w:rPr>
        <w:t>on</w:t>
      </w:r>
      <w:r w:rsidR="009D7DED">
        <w:rPr>
          <w:lang w:val="en-US"/>
        </w:rPr>
        <w:t xml:space="preserve"> the </w:t>
      </w:r>
      <w:r w:rsidR="00854950">
        <w:rPr>
          <w:lang w:val="en-US"/>
        </w:rPr>
        <w:t>gap</w:t>
      </w:r>
      <w:r w:rsidR="009D7DED">
        <w:rPr>
          <w:lang w:val="en-US"/>
        </w:rPr>
        <w:t xml:space="preserve"> is needed to assess the potential benefits of the specific measure</w:t>
      </w:r>
      <w:r w:rsidR="0022765A">
        <w:rPr>
          <w:lang w:val="en-US"/>
        </w:rPr>
        <w:t xml:space="preserve"> </w:t>
      </w:r>
      <w:r w:rsidR="009D7DED">
        <w:rPr>
          <w:lang w:val="en-US"/>
        </w:rPr>
        <w:t>(with belonging actions).</w:t>
      </w:r>
    </w:p>
    <w:p w:rsidR="00573A57" w:rsidRDefault="00573A57" w:rsidP="00B36820">
      <w:pPr>
        <w:pStyle w:val="ARCADISStandaard"/>
        <w:numPr>
          <w:ilvl w:val="0"/>
          <w:numId w:val="14"/>
        </w:numPr>
        <w:rPr>
          <w:lang w:val="en-US"/>
        </w:rPr>
      </w:pPr>
      <w:r>
        <w:rPr>
          <w:lang w:val="en-US"/>
        </w:rPr>
        <w:t>the impact of the measure towards the environment and the society</w:t>
      </w:r>
      <w:r w:rsidR="00097928">
        <w:rPr>
          <w:lang w:val="en-US"/>
        </w:rPr>
        <w:t xml:space="preserve">. </w:t>
      </w:r>
      <w:r w:rsidR="0022765A">
        <w:rPr>
          <w:lang w:val="en-US"/>
        </w:rPr>
        <w:t>What</w:t>
      </w:r>
      <w:r w:rsidR="009D7DED">
        <w:rPr>
          <w:lang w:val="en-US"/>
        </w:rPr>
        <w:t xml:space="preserve"> are the impacts caused by the implementation of the measure</w:t>
      </w:r>
      <w:r w:rsidR="0022765A">
        <w:rPr>
          <w:lang w:val="en-US"/>
        </w:rPr>
        <w:t xml:space="preserve"> in the short and long run?</w:t>
      </w:r>
    </w:p>
    <w:p w:rsidR="0011171B" w:rsidRDefault="00573A57" w:rsidP="00B36820">
      <w:pPr>
        <w:pStyle w:val="ARCADISStandaard"/>
        <w:numPr>
          <w:ilvl w:val="0"/>
          <w:numId w:val="14"/>
        </w:numPr>
        <w:rPr>
          <w:lang w:val="en-US"/>
        </w:rPr>
      </w:pPr>
      <w:r w:rsidRPr="0011171B">
        <w:rPr>
          <w:lang w:val="en-US"/>
        </w:rPr>
        <w:t>the importance of the measure (towards environmental/society)</w:t>
      </w:r>
      <w:r w:rsidR="0022765A" w:rsidRPr="0011171B">
        <w:rPr>
          <w:lang w:val="en-US"/>
        </w:rPr>
        <w:t>. Does it represent a high value? Either for use / non-use, a specific sector</w:t>
      </w:r>
      <w:r w:rsidR="007E74D1" w:rsidRPr="0011171B">
        <w:rPr>
          <w:lang w:val="en-US"/>
        </w:rPr>
        <w:t>, prioritized policy</w:t>
      </w:r>
      <w:r w:rsidR="001F037F" w:rsidRPr="0011171B">
        <w:rPr>
          <w:lang w:val="en-US"/>
        </w:rPr>
        <w:t>?</w:t>
      </w:r>
      <w:r w:rsidR="00854950" w:rsidRPr="0011171B">
        <w:rPr>
          <w:lang w:val="en-US"/>
        </w:rPr>
        <w:t xml:space="preserve"> </w:t>
      </w:r>
      <w:r w:rsidR="0011171B" w:rsidRPr="0011171B">
        <w:rPr>
          <w:lang w:val="en-US"/>
        </w:rPr>
        <w:t>Which co benefits can be identified related to the specific measures? Are there positive or negative spill over due to the implementation of the measure?</w:t>
      </w:r>
    </w:p>
    <w:p w:rsidR="00573A57" w:rsidRPr="0011171B" w:rsidRDefault="00854950" w:rsidP="00B36820">
      <w:pPr>
        <w:pStyle w:val="ARCADISStandaard"/>
        <w:ind w:left="2421"/>
        <w:rPr>
          <w:lang w:val="en-US"/>
        </w:rPr>
      </w:pPr>
      <w:r w:rsidRPr="0011171B">
        <w:rPr>
          <w:lang w:val="en-US"/>
        </w:rPr>
        <w:t xml:space="preserve">Monetary valuation estimates will allow to translate the physical impacts into monetary terms (if </w:t>
      </w:r>
      <w:r w:rsidR="001F037F" w:rsidRPr="0011171B">
        <w:rPr>
          <w:lang w:val="en-US"/>
        </w:rPr>
        <w:t>enough data is available for</w:t>
      </w:r>
      <w:r w:rsidRPr="0011171B">
        <w:rPr>
          <w:lang w:val="en-US"/>
        </w:rPr>
        <w:t xml:space="preserve"> a monetary CBA)</w:t>
      </w:r>
    </w:p>
    <w:p w:rsidR="009D7DED" w:rsidRDefault="00573A57" w:rsidP="00B36820">
      <w:pPr>
        <w:pStyle w:val="ARCADISStandaard"/>
        <w:numPr>
          <w:ilvl w:val="0"/>
          <w:numId w:val="14"/>
        </w:numPr>
        <w:rPr>
          <w:lang w:val="en-US"/>
        </w:rPr>
      </w:pPr>
      <w:r>
        <w:rPr>
          <w:lang w:val="en-US"/>
        </w:rPr>
        <w:t>stakeholder acceptance (potential for realizing the full benefit of the measure)</w:t>
      </w:r>
      <w:r w:rsidR="009D7DED">
        <w:rPr>
          <w:lang w:val="en-US"/>
        </w:rPr>
        <w:t>. This information</w:t>
      </w:r>
      <w:r w:rsidR="00097928">
        <w:rPr>
          <w:lang w:val="en-US"/>
        </w:rPr>
        <w:t xml:space="preserve"> is</w:t>
      </w:r>
      <w:r w:rsidR="009D7DED">
        <w:rPr>
          <w:lang w:val="en-US"/>
        </w:rPr>
        <w:t xml:space="preserve"> also relevant to assess the effectiveness of the </w:t>
      </w:r>
      <w:r w:rsidR="0022765A">
        <w:rPr>
          <w:lang w:val="en-US"/>
        </w:rPr>
        <w:t>measure</w:t>
      </w:r>
      <w:r w:rsidR="009D7DED">
        <w:rPr>
          <w:lang w:val="en-US"/>
        </w:rPr>
        <w:t xml:space="preserve"> </w:t>
      </w:r>
      <w:r w:rsidR="00097928">
        <w:rPr>
          <w:lang w:val="en-US"/>
        </w:rPr>
        <w:t xml:space="preserve">and </w:t>
      </w:r>
      <w:r w:rsidR="0022765A">
        <w:rPr>
          <w:lang w:val="en-US"/>
        </w:rPr>
        <w:t>informs</w:t>
      </w:r>
      <w:r w:rsidR="009D7DED">
        <w:rPr>
          <w:lang w:val="en-US"/>
        </w:rPr>
        <w:t xml:space="preserve"> the discussion of the </w:t>
      </w:r>
      <w:r w:rsidR="00854950" w:rsidRPr="00097928">
        <w:rPr>
          <w:lang w:val="en-US"/>
        </w:rPr>
        <w:t>probability that the measure will be effective</w:t>
      </w:r>
      <w:r w:rsidR="00854950">
        <w:rPr>
          <w:lang w:val="en-US"/>
        </w:rPr>
        <w:t>ly implemented</w:t>
      </w:r>
      <w:r w:rsidR="009D7DED">
        <w:rPr>
          <w:lang w:val="en-US"/>
        </w:rPr>
        <w:t xml:space="preserve"> </w:t>
      </w:r>
      <w:r w:rsidR="00854950">
        <w:rPr>
          <w:lang w:val="en-US"/>
        </w:rPr>
        <w:t>and</w:t>
      </w:r>
      <w:r w:rsidR="001F037F">
        <w:rPr>
          <w:lang w:val="en-US"/>
        </w:rPr>
        <w:t>, consequently,</w:t>
      </w:r>
      <w:r w:rsidR="00854950">
        <w:rPr>
          <w:lang w:val="en-US"/>
        </w:rPr>
        <w:t xml:space="preserve"> the full </w:t>
      </w:r>
      <w:r w:rsidR="009D7DED">
        <w:rPr>
          <w:lang w:val="en-US"/>
        </w:rPr>
        <w:t xml:space="preserve">benefits </w:t>
      </w:r>
      <w:r w:rsidR="00854950">
        <w:rPr>
          <w:lang w:val="en-US"/>
        </w:rPr>
        <w:t>included</w:t>
      </w:r>
      <w:r w:rsidR="009D7DED">
        <w:rPr>
          <w:lang w:val="en-US"/>
        </w:rPr>
        <w:t>. E.g. if measures</w:t>
      </w:r>
      <w:r w:rsidR="0022765A">
        <w:rPr>
          <w:lang w:val="en-US"/>
        </w:rPr>
        <w:t xml:space="preserve"> </w:t>
      </w:r>
      <w:r w:rsidR="001F037F">
        <w:rPr>
          <w:lang w:val="en-US"/>
        </w:rPr>
        <w:t xml:space="preserve">are assessed ex ante, </w:t>
      </w:r>
      <w:r w:rsidR="0022765A">
        <w:rPr>
          <w:lang w:val="en-US"/>
        </w:rPr>
        <w:t xml:space="preserve">the potential benefits are  likely to be higher </w:t>
      </w:r>
      <w:r w:rsidR="001F037F">
        <w:rPr>
          <w:lang w:val="en-US"/>
        </w:rPr>
        <w:t xml:space="preserve">than </w:t>
      </w:r>
      <w:r w:rsidR="00854950">
        <w:rPr>
          <w:lang w:val="en-US"/>
        </w:rPr>
        <w:t>the ben</w:t>
      </w:r>
      <w:r w:rsidR="001F037F">
        <w:rPr>
          <w:lang w:val="en-US"/>
        </w:rPr>
        <w:t>e</w:t>
      </w:r>
      <w:r w:rsidR="00854950">
        <w:rPr>
          <w:lang w:val="en-US"/>
        </w:rPr>
        <w:t>fits monitored later.</w:t>
      </w:r>
      <w:r w:rsidR="00854950" w:rsidRPr="00B36820">
        <w:rPr>
          <w:rStyle w:val="Verwijzingopmerking"/>
          <w:lang w:val="en-US"/>
        </w:rPr>
        <w:t xml:space="preserve"> </w:t>
      </w:r>
    </w:p>
    <w:p w:rsidR="00573A57" w:rsidRPr="009D7DED" w:rsidRDefault="00573A57" w:rsidP="009D7DED">
      <w:pPr>
        <w:pStyle w:val="ARCADISStandaard"/>
        <w:ind w:left="2421"/>
        <w:rPr>
          <w:lang w:val="en-US"/>
        </w:rPr>
      </w:pPr>
    </w:p>
    <w:p w:rsidR="004E3C8F" w:rsidRDefault="000D7FBE" w:rsidP="00573A57">
      <w:pPr>
        <w:pStyle w:val="ARCADISStandaard"/>
        <w:rPr>
          <w:lang w:val="en-US"/>
        </w:rPr>
      </w:pPr>
      <w:r>
        <w:rPr>
          <w:lang w:val="en-US"/>
        </w:rPr>
        <w:lastRenderedPageBreak/>
        <w:t>The benefits are to be describe</w:t>
      </w:r>
      <w:r w:rsidR="004E3C8F">
        <w:rPr>
          <w:lang w:val="en-US"/>
        </w:rPr>
        <w:t>d</w:t>
      </w:r>
      <w:r>
        <w:rPr>
          <w:lang w:val="en-US"/>
        </w:rPr>
        <w:t xml:space="preserve"> in qualitative terms and they will be assessed by scoring the time scale and the benefits over the analyzed time period. </w:t>
      </w:r>
    </w:p>
    <w:p w:rsidR="000D7FBE" w:rsidRDefault="000D7FBE" w:rsidP="00B36820">
      <w:pPr>
        <w:pStyle w:val="OpsommingSymbool"/>
        <w:rPr>
          <w:lang w:val="en-US"/>
        </w:rPr>
      </w:pPr>
      <w:r>
        <w:rPr>
          <w:lang w:val="en-US"/>
        </w:rPr>
        <w:t xml:space="preserve">The time scale is scored as: </w:t>
      </w:r>
    </w:p>
    <w:p w:rsidR="000D7FBE" w:rsidRDefault="000D7FBE" w:rsidP="00B36820">
      <w:pPr>
        <w:pStyle w:val="OpsommingSymbool"/>
        <w:numPr>
          <w:ilvl w:val="1"/>
          <w:numId w:val="6"/>
        </w:numPr>
        <w:rPr>
          <w:lang w:val="en-US"/>
        </w:rPr>
      </w:pPr>
      <w:r>
        <w:rPr>
          <w:lang w:val="en-US"/>
        </w:rPr>
        <w:t>1 long</w:t>
      </w:r>
    </w:p>
    <w:p w:rsidR="000D7FBE" w:rsidRDefault="000D7FBE" w:rsidP="00B36820">
      <w:pPr>
        <w:pStyle w:val="OpsommingSymbool"/>
        <w:numPr>
          <w:ilvl w:val="1"/>
          <w:numId w:val="6"/>
        </w:numPr>
        <w:rPr>
          <w:lang w:val="en-US"/>
        </w:rPr>
      </w:pPr>
      <w:r>
        <w:rPr>
          <w:lang w:val="en-US"/>
        </w:rPr>
        <w:t>3 intermediate</w:t>
      </w:r>
    </w:p>
    <w:p w:rsidR="000D7FBE" w:rsidRDefault="000D7FBE" w:rsidP="00B36820">
      <w:pPr>
        <w:pStyle w:val="OpsommingSymbool"/>
        <w:numPr>
          <w:ilvl w:val="1"/>
          <w:numId w:val="6"/>
        </w:numPr>
        <w:rPr>
          <w:lang w:val="en-US"/>
        </w:rPr>
      </w:pPr>
      <w:r>
        <w:rPr>
          <w:lang w:val="en-US"/>
        </w:rPr>
        <w:t>5 short</w:t>
      </w:r>
    </w:p>
    <w:p w:rsidR="000D7FBE" w:rsidRDefault="004E3C8F" w:rsidP="000D7FBE">
      <w:pPr>
        <w:pStyle w:val="ARCADISStandaard"/>
        <w:rPr>
          <w:lang w:val="en-US"/>
        </w:rPr>
      </w:pPr>
      <w:r>
        <w:rPr>
          <w:lang w:val="en-US"/>
        </w:rPr>
        <w:t>I</w:t>
      </w:r>
      <w:r w:rsidR="000D7FBE">
        <w:rPr>
          <w:lang w:val="en-US"/>
        </w:rPr>
        <w:t xml:space="preserve">f a measure </w:t>
      </w:r>
      <w:r>
        <w:rPr>
          <w:lang w:val="en-US"/>
        </w:rPr>
        <w:t xml:space="preserve">is estimated to have a </w:t>
      </w:r>
      <w:r w:rsidR="000D7FBE">
        <w:rPr>
          <w:lang w:val="en-US"/>
        </w:rPr>
        <w:t>quick</w:t>
      </w:r>
      <w:r w:rsidR="00B36820">
        <w:rPr>
          <w:lang w:val="en-US"/>
        </w:rPr>
        <w:t xml:space="preserve"> </w:t>
      </w:r>
      <w:r w:rsidR="000D7FBE">
        <w:rPr>
          <w:lang w:val="en-US"/>
        </w:rPr>
        <w:t>positive impact on the marine environment</w:t>
      </w:r>
      <w:r>
        <w:rPr>
          <w:lang w:val="en-US"/>
        </w:rPr>
        <w:t>,</w:t>
      </w:r>
      <w:r w:rsidR="000D7FBE">
        <w:rPr>
          <w:lang w:val="en-US"/>
        </w:rPr>
        <w:t xml:space="preserve"> it </w:t>
      </w:r>
      <w:r>
        <w:rPr>
          <w:lang w:val="en-US"/>
        </w:rPr>
        <w:t xml:space="preserve">gets a high </w:t>
      </w:r>
      <w:r w:rsidR="000D7FBE">
        <w:rPr>
          <w:lang w:val="en-US"/>
        </w:rPr>
        <w:t>score</w:t>
      </w:r>
      <w:r>
        <w:rPr>
          <w:lang w:val="en-US"/>
        </w:rPr>
        <w:t xml:space="preserve"> and</w:t>
      </w:r>
      <w:r w:rsidR="00B36820">
        <w:rPr>
          <w:lang w:val="en-US"/>
        </w:rPr>
        <w:t xml:space="preserve"> </w:t>
      </w:r>
      <w:r w:rsidR="000D7FBE">
        <w:rPr>
          <w:lang w:val="en-US"/>
        </w:rPr>
        <w:t>when it takes a long time</w:t>
      </w:r>
      <w:r>
        <w:rPr>
          <w:lang w:val="en-US"/>
        </w:rPr>
        <w:t>,</w:t>
      </w:r>
      <w:r w:rsidR="000D7FBE">
        <w:rPr>
          <w:lang w:val="en-US"/>
        </w:rPr>
        <w:t xml:space="preserve"> the score is low. </w:t>
      </w:r>
    </w:p>
    <w:p w:rsidR="000D7FBE" w:rsidRDefault="000D7FBE" w:rsidP="00B36820">
      <w:pPr>
        <w:pStyle w:val="OpsommingSymbool"/>
        <w:rPr>
          <w:lang w:val="en-US"/>
        </w:rPr>
      </w:pPr>
      <w:r>
        <w:rPr>
          <w:lang w:val="en-US"/>
        </w:rPr>
        <w:t xml:space="preserve">The scoring of the benefits </w:t>
      </w:r>
      <w:r w:rsidR="004E3C8F">
        <w:rPr>
          <w:lang w:val="en-US"/>
        </w:rPr>
        <w:t>is categorized as follows:</w:t>
      </w:r>
    </w:p>
    <w:p w:rsidR="000D7FBE" w:rsidRDefault="000D7FBE" w:rsidP="00B36820">
      <w:pPr>
        <w:pStyle w:val="ARCADISStandaard"/>
        <w:numPr>
          <w:ilvl w:val="0"/>
          <w:numId w:val="15"/>
        </w:numPr>
        <w:rPr>
          <w:lang w:val="en-US"/>
        </w:rPr>
      </w:pPr>
      <w:r>
        <w:rPr>
          <w:lang w:val="en-US"/>
        </w:rPr>
        <w:t xml:space="preserve">1 low </w:t>
      </w:r>
    </w:p>
    <w:p w:rsidR="000D7FBE" w:rsidRDefault="000D7FBE" w:rsidP="00B36820">
      <w:pPr>
        <w:pStyle w:val="ARCADISStandaard"/>
        <w:numPr>
          <w:ilvl w:val="0"/>
          <w:numId w:val="15"/>
        </w:numPr>
        <w:rPr>
          <w:lang w:val="en-US"/>
        </w:rPr>
      </w:pPr>
      <w:r>
        <w:rPr>
          <w:lang w:val="en-US"/>
        </w:rPr>
        <w:t>3 medium</w:t>
      </w:r>
    </w:p>
    <w:p w:rsidR="000D7FBE" w:rsidRDefault="000D7FBE" w:rsidP="00B36820">
      <w:pPr>
        <w:pStyle w:val="ARCADISStandaard"/>
        <w:numPr>
          <w:ilvl w:val="0"/>
          <w:numId w:val="15"/>
        </w:numPr>
        <w:rPr>
          <w:lang w:val="en-US"/>
        </w:rPr>
      </w:pPr>
      <w:r>
        <w:rPr>
          <w:lang w:val="en-US"/>
        </w:rPr>
        <w:t>5 high</w:t>
      </w:r>
    </w:p>
    <w:p w:rsidR="000D7FBE" w:rsidRDefault="000D7FBE" w:rsidP="00B36820">
      <w:pPr>
        <w:pStyle w:val="ARCADISStandaard"/>
        <w:rPr>
          <w:lang w:val="en-US"/>
        </w:rPr>
      </w:pPr>
      <w:r>
        <w:rPr>
          <w:lang w:val="en-US"/>
        </w:rPr>
        <w:t xml:space="preserve">This general scoring </w:t>
      </w:r>
      <w:r w:rsidR="004E3C8F">
        <w:rPr>
          <w:lang w:val="en-US"/>
        </w:rPr>
        <w:t xml:space="preserve">is </w:t>
      </w:r>
      <w:r>
        <w:rPr>
          <w:lang w:val="en-US"/>
        </w:rPr>
        <w:t xml:space="preserve">based on the qualitative description of the measure and the type of actions taken to implement the measures. </w:t>
      </w:r>
    </w:p>
    <w:p w:rsidR="000D7FBE" w:rsidRDefault="000D7FBE" w:rsidP="00B36820">
      <w:pPr>
        <w:pStyle w:val="ARCADISStandaard"/>
        <w:rPr>
          <w:lang w:val="en-US"/>
        </w:rPr>
      </w:pPr>
    </w:p>
    <w:p w:rsidR="000D7FBE" w:rsidRPr="000D7FBE" w:rsidRDefault="000D7FBE" w:rsidP="00B36820">
      <w:pPr>
        <w:pStyle w:val="ARCADISStandaard"/>
        <w:rPr>
          <w:lang w:val="en-US"/>
        </w:rPr>
      </w:pPr>
      <w:r>
        <w:rPr>
          <w:lang w:val="en-US"/>
        </w:rPr>
        <w:t>Based on the two score</w:t>
      </w:r>
      <w:r w:rsidR="004E3C8F">
        <w:rPr>
          <w:lang w:val="en-US"/>
        </w:rPr>
        <w:t xml:space="preserve">s, a </w:t>
      </w:r>
      <w:proofErr w:type="spellStart"/>
      <w:r w:rsidR="004E3C8F">
        <w:rPr>
          <w:lang w:val="en-US"/>
        </w:rPr>
        <w:t>weigthed</w:t>
      </w:r>
      <w:proofErr w:type="spellEnd"/>
      <w:r>
        <w:rPr>
          <w:lang w:val="en-US"/>
        </w:rPr>
        <w:t xml:space="preserve"> average is calculated and used </w:t>
      </w:r>
      <w:r w:rsidR="004E3C8F">
        <w:rPr>
          <w:lang w:val="en-US"/>
        </w:rPr>
        <w:t xml:space="preserve">as a total benefit score, to be used in </w:t>
      </w:r>
      <w:r w:rsidR="00B36820">
        <w:rPr>
          <w:lang w:val="en-US"/>
        </w:rPr>
        <w:t xml:space="preserve">the C/B ratio </w:t>
      </w:r>
      <w:r>
        <w:rPr>
          <w:lang w:val="en-US"/>
        </w:rPr>
        <w:t xml:space="preserve">calculation. </w:t>
      </w:r>
    </w:p>
    <w:p w:rsidR="00573A57" w:rsidRPr="00265A16" w:rsidRDefault="00573A57" w:rsidP="00573A57">
      <w:pPr>
        <w:pStyle w:val="ARCADISStandaard"/>
        <w:rPr>
          <w:lang w:val="en-US"/>
        </w:rPr>
      </w:pPr>
    </w:p>
    <w:p w:rsidR="0022230A" w:rsidRDefault="0022230A">
      <w:pPr>
        <w:spacing w:before="0" w:after="200" w:line="276" w:lineRule="auto"/>
        <w:rPr>
          <w:lang w:val="en-US"/>
        </w:rPr>
      </w:pPr>
    </w:p>
    <w:p w:rsidR="0022230A" w:rsidRDefault="0022230A" w:rsidP="0022230A">
      <w:pPr>
        <w:pStyle w:val="Kop2"/>
        <w:rPr>
          <w:lang w:val="en-US"/>
        </w:rPr>
      </w:pPr>
      <w:r>
        <w:rPr>
          <w:lang w:val="en-US"/>
        </w:rPr>
        <w:t>Interpretation of the results</w:t>
      </w:r>
    </w:p>
    <w:p w:rsidR="0022230A" w:rsidRPr="0012399B" w:rsidRDefault="0022230A" w:rsidP="0022230A">
      <w:pPr>
        <w:pStyle w:val="ARCADISStandaard"/>
        <w:rPr>
          <w:b/>
          <w:lang w:val="en-GB"/>
        </w:rPr>
      </w:pPr>
      <w:r>
        <w:rPr>
          <w:b/>
          <w:lang w:val="en-GB"/>
        </w:rPr>
        <w:t xml:space="preserve">Time period in the frame of Cost </w:t>
      </w:r>
      <w:r w:rsidR="00B36820">
        <w:rPr>
          <w:b/>
          <w:lang w:val="en-GB"/>
        </w:rPr>
        <w:t>Benefit</w:t>
      </w:r>
      <w:r>
        <w:rPr>
          <w:b/>
          <w:lang w:val="en-GB"/>
        </w:rPr>
        <w:t xml:space="preserve"> analysis</w:t>
      </w:r>
    </w:p>
    <w:p w:rsidR="0022230A" w:rsidRDefault="0022230A" w:rsidP="0022230A">
      <w:pPr>
        <w:pStyle w:val="ARCADISStandaard"/>
        <w:rPr>
          <w:lang w:val="en-GB"/>
        </w:rPr>
      </w:pPr>
      <w:r w:rsidRPr="00BC6C86">
        <w:rPr>
          <w:lang w:val="en-GB"/>
        </w:rPr>
        <w:t xml:space="preserve">The costs and benefits of the options for GES targets are compared to </w:t>
      </w:r>
      <w:r>
        <w:rPr>
          <w:lang w:val="en-GB"/>
        </w:rPr>
        <w:t>the baseline scenario</w:t>
      </w:r>
      <w:r w:rsidRPr="00BC6C86">
        <w:rPr>
          <w:lang w:val="en-GB"/>
        </w:rPr>
        <w:t xml:space="preserve">. Costs and benefits </w:t>
      </w:r>
      <w:r>
        <w:rPr>
          <w:lang w:val="en-GB"/>
        </w:rPr>
        <w:t>are recommended to be</w:t>
      </w:r>
      <w:r w:rsidRPr="00BC6C86">
        <w:rPr>
          <w:lang w:val="en-GB"/>
        </w:rPr>
        <w:t xml:space="preserve"> assessed over a timescale of </w:t>
      </w:r>
      <w:r w:rsidRPr="00B36820">
        <w:rPr>
          <w:u w:val="single"/>
          <w:lang w:val="en-GB"/>
        </w:rPr>
        <w:t>20 or 30 years</w:t>
      </w:r>
      <w:r w:rsidRPr="00BC6C86">
        <w:rPr>
          <w:lang w:val="en-GB"/>
        </w:rPr>
        <w:t xml:space="preserve">. It provides a sufficiently long period over which environmental benefits may arise and the MSFD measures may be implemented. Assessment of the impacts beyond </w:t>
      </w:r>
      <w:r>
        <w:rPr>
          <w:lang w:val="en-GB"/>
        </w:rPr>
        <w:t>this recommended time period</w:t>
      </w:r>
      <w:r w:rsidRPr="00BC6C86">
        <w:rPr>
          <w:lang w:val="en-GB"/>
        </w:rPr>
        <w:t xml:space="preserve"> becomes more uncertain. However, the analysis assumes that all the environmental benefits accrue within this time period. In reality benefits are likely to be realised over a longer time horizon. </w:t>
      </w:r>
    </w:p>
    <w:p w:rsidR="0022230A" w:rsidRDefault="0022230A" w:rsidP="0022230A">
      <w:pPr>
        <w:pStyle w:val="ARCADISStandaard"/>
        <w:rPr>
          <w:lang w:val="en-US"/>
        </w:rPr>
      </w:pPr>
    </w:p>
    <w:p w:rsidR="0022230A" w:rsidRPr="007C2857" w:rsidRDefault="0022230A" w:rsidP="0022230A">
      <w:pPr>
        <w:pStyle w:val="ARCADISStandaard"/>
        <w:rPr>
          <w:b/>
          <w:lang w:val="en-US"/>
        </w:rPr>
      </w:pPr>
      <w:r w:rsidRPr="007C2857">
        <w:rPr>
          <w:b/>
          <w:lang w:val="en-US"/>
        </w:rPr>
        <w:t>Discount rate</w:t>
      </w:r>
    </w:p>
    <w:p w:rsidR="0022230A" w:rsidRDefault="0022230A" w:rsidP="0022230A">
      <w:pPr>
        <w:pStyle w:val="ARCADISStandaard"/>
        <w:rPr>
          <w:lang w:val="en-GB"/>
        </w:rPr>
      </w:pPr>
      <w:r w:rsidRPr="00BC6C86">
        <w:rPr>
          <w:lang w:val="en-GB"/>
        </w:rPr>
        <w:t>Costs and benefits are calculated over th</w:t>
      </w:r>
      <w:r>
        <w:rPr>
          <w:lang w:val="en-GB"/>
        </w:rPr>
        <w:t>e period using a discount rate of 4</w:t>
      </w:r>
      <w:r w:rsidRPr="00BC6C86">
        <w:rPr>
          <w:lang w:val="en-GB"/>
        </w:rPr>
        <w:t xml:space="preserve">%, </w:t>
      </w:r>
      <w:r>
        <w:rPr>
          <w:lang w:val="en-GB"/>
        </w:rPr>
        <w:t>conform the EC Impact Assessment Guidelines (2009)</w:t>
      </w:r>
      <w:r w:rsidR="00B36820">
        <w:rPr>
          <w:lang w:val="en-GB"/>
        </w:rPr>
        <w:t>.</w:t>
      </w:r>
    </w:p>
    <w:p w:rsidR="0022230A" w:rsidRDefault="0022230A" w:rsidP="0022230A">
      <w:pPr>
        <w:pStyle w:val="ARCADISStandaard"/>
        <w:rPr>
          <w:lang w:val="en-GB"/>
        </w:rPr>
      </w:pPr>
    </w:p>
    <w:p w:rsidR="0022230A" w:rsidRDefault="0022230A" w:rsidP="0022230A">
      <w:pPr>
        <w:pStyle w:val="ARCADISStandaard"/>
        <w:rPr>
          <w:b/>
          <w:lang w:val="en-US"/>
        </w:rPr>
      </w:pPr>
      <w:r w:rsidRPr="00AE24C1">
        <w:rPr>
          <w:b/>
          <w:lang w:val="en-US"/>
        </w:rPr>
        <w:t xml:space="preserve">Approach </w:t>
      </w:r>
      <w:r>
        <w:rPr>
          <w:b/>
          <w:lang w:val="en-US"/>
        </w:rPr>
        <w:t>to a</w:t>
      </w:r>
      <w:r w:rsidRPr="00AE24C1">
        <w:rPr>
          <w:b/>
          <w:lang w:val="en-US"/>
        </w:rPr>
        <w:t xml:space="preserve">ssign </w:t>
      </w:r>
      <w:r>
        <w:rPr>
          <w:b/>
          <w:lang w:val="en-US"/>
        </w:rPr>
        <w:t>c</w:t>
      </w:r>
      <w:r w:rsidRPr="00AE24C1">
        <w:rPr>
          <w:b/>
          <w:lang w:val="en-US"/>
        </w:rPr>
        <w:t>ertainty</w:t>
      </w:r>
    </w:p>
    <w:p w:rsidR="00DC5690" w:rsidRPr="00B36820" w:rsidRDefault="0022230A" w:rsidP="00B36820">
      <w:pPr>
        <w:pStyle w:val="ARCADISStandaard"/>
        <w:rPr>
          <w:rFonts w:cs="Arial"/>
          <w:b/>
          <w:bCs/>
          <w:color w:val="0079A2"/>
          <w:kern w:val="32"/>
          <w:sz w:val="28"/>
          <w:szCs w:val="32"/>
          <w:lang w:val="en-US"/>
        </w:rPr>
      </w:pPr>
      <w:r w:rsidRPr="00AE24C1">
        <w:rPr>
          <w:lang w:val="en-GB"/>
        </w:rPr>
        <w:t>In order to include uncertainty, it is recommended to assess benefits within a wide range (minimum and maximum values) due to scientific uncertainty and to work with both a pessimistic and optimistic scenario. Also, the sources of uncertainty within the analysis should be identified, and the analysis should test the assumptions used in order to reflect some of this uncertainty</w:t>
      </w:r>
      <w:r>
        <w:rPr>
          <w:lang w:val="en-GB"/>
        </w:rPr>
        <w:t>.</w:t>
      </w:r>
      <w:r w:rsidR="00DC5690" w:rsidRPr="00B36820">
        <w:rPr>
          <w:lang w:val="en-US"/>
        </w:rPr>
        <w:br w:type="page"/>
      </w:r>
    </w:p>
    <w:p w:rsidR="00746E24" w:rsidRDefault="00746E24" w:rsidP="00746E24">
      <w:pPr>
        <w:pStyle w:val="Kop1"/>
      </w:pPr>
      <w:r>
        <w:lastRenderedPageBreak/>
        <w:t xml:space="preserve">Relevant </w:t>
      </w:r>
      <w:proofErr w:type="spellStart"/>
      <w:r>
        <w:t>literature</w:t>
      </w:r>
      <w:proofErr w:type="spellEnd"/>
    </w:p>
    <w:p w:rsidR="00442871" w:rsidRDefault="00442871" w:rsidP="00746E24">
      <w:pPr>
        <w:pStyle w:val="ARCADISStandaard"/>
        <w:rPr>
          <w:lang w:val="en-US"/>
        </w:rPr>
      </w:pPr>
      <w:proofErr w:type="spellStart"/>
      <w:r w:rsidRPr="00442871">
        <w:rPr>
          <w:lang w:val="en-US"/>
        </w:rPr>
        <w:t>Arcadis</w:t>
      </w:r>
      <w:proofErr w:type="spellEnd"/>
      <w:r w:rsidRPr="00442871">
        <w:rPr>
          <w:lang w:val="en-US"/>
        </w:rPr>
        <w:t>, Bath University, EUCC (2012a). Economic assessment of policy measures for the implementation of the MSFD. Final report of a study for the EC DG ENV (Project No 11601).</w:t>
      </w:r>
    </w:p>
    <w:p w:rsidR="00442871" w:rsidRDefault="00442871" w:rsidP="00442871">
      <w:pPr>
        <w:tabs>
          <w:tab w:val="left" w:pos="1418"/>
        </w:tabs>
        <w:ind w:left="1985"/>
        <w:rPr>
          <w:rFonts w:eastAsia="Calibri" w:cs="Times New Roman"/>
          <w:sz w:val="18"/>
          <w:lang w:val="en-US"/>
        </w:rPr>
      </w:pPr>
    </w:p>
    <w:p w:rsidR="00442871" w:rsidRPr="00442871" w:rsidRDefault="00442871" w:rsidP="00442871">
      <w:pPr>
        <w:pStyle w:val="ARCADISStandaard"/>
        <w:rPr>
          <w:lang w:val="en-US"/>
        </w:rPr>
      </w:pPr>
      <w:r w:rsidRPr="00442871">
        <w:rPr>
          <w:lang w:val="en-US"/>
        </w:rPr>
        <w:t>DEFRA.(2011). Impact Assessment of MSFD – targets and indicators for Good Environmental Status. Department for Environment, Food and Rural Affairs. London</w:t>
      </w:r>
    </w:p>
    <w:p w:rsidR="00442871" w:rsidRDefault="00442871" w:rsidP="00746E24">
      <w:pPr>
        <w:pStyle w:val="ARCADISStandaard"/>
        <w:rPr>
          <w:lang w:val="en-US"/>
        </w:rPr>
      </w:pPr>
    </w:p>
    <w:p w:rsidR="00442871" w:rsidRPr="00442871" w:rsidRDefault="00442871" w:rsidP="00442871">
      <w:pPr>
        <w:pStyle w:val="ARCADISStandaard"/>
        <w:rPr>
          <w:lang w:val="en-US"/>
        </w:rPr>
      </w:pPr>
      <w:r w:rsidRPr="00442871">
        <w:rPr>
          <w:lang w:val="en-US"/>
        </w:rPr>
        <w:t>DHV (2011). Measures for the Marine Strategy Framework Directive. First overview of potential measures, related costs and effects of implementing the Marine strategy</w:t>
      </w:r>
    </w:p>
    <w:p w:rsidR="00442871" w:rsidRDefault="00442871" w:rsidP="00442871">
      <w:pPr>
        <w:pStyle w:val="ARCADISStandaard"/>
        <w:rPr>
          <w:lang w:val="en-US"/>
        </w:rPr>
      </w:pPr>
    </w:p>
    <w:p w:rsidR="00442871" w:rsidRDefault="00442871" w:rsidP="00442871">
      <w:pPr>
        <w:pStyle w:val="ARCADISStandaard"/>
        <w:rPr>
          <w:lang w:val="en-US"/>
        </w:rPr>
      </w:pPr>
      <w:r w:rsidRPr="00442871">
        <w:rPr>
          <w:lang w:val="en-US"/>
        </w:rPr>
        <w:t>European Commission. (2009). Impact assessment guidelines. Available online: http://ec.europa.eu/smart-regulation/impact/commission_guidelines/commission_guidelines_en.htm</w:t>
      </w:r>
    </w:p>
    <w:p w:rsidR="00442871" w:rsidRDefault="00442871" w:rsidP="00746E24">
      <w:pPr>
        <w:pStyle w:val="ARCADISStandaard"/>
        <w:rPr>
          <w:lang w:val="en-US"/>
        </w:rPr>
      </w:pPr>
    </w:p>
    <w:p w:rsidR="00746E24" w:rsidRDefault="00746E24" w:rsidP="00746E24">
      <w:pPr>
        <w:pStyle w:val="ARCADISStandaard"/>
        <w:rPr>
          <w:lang w:val="en-US"/>
        </w:rPr>
      </w:pPr>
      <w:r w:rsidRPr="00746E24">
        <w:rPr>
          <w:lang w:val="en-US"/>
        </w:rPr>
        <w:t>Finding Sanctuary, Irish Seas Conservation Zones, Net Gain and Balanced Seas. 2012. Impact Assessment materials in support of the Regional Marine Conservation Zone Projects' Recommendations.</w:t>
      </w:r>
      <w:r w:rsidRPr="00746E24">
        <w:rPr>
          <w:lang w:val="en-US"/>
        </w:rPr>
        <w:tab/>
      </w:r>
      <w:r w:rsidRPr="00746E24">
        <w:rPr>
          <w:lang w:val="en-US"/>
        </w:rPr>
        <w:tab/>
      </w:r>
      <w:r w:rsidRPr="00746E24">
        <w:rPr>
          <w:lang w:val="en-US"/>
        </w:rPr>
        <w:tab/>
      </w:r>
      <w:r w:rsidRPr="00746E24">
        <w:rPr>
          <w:lang w:val="en-US"/>
        </w:rPr>
        <w:tab/>
      </w:r>
    </w:p>
    <w:p w:rsidR="00442871" w:rsidRDefault="00442871" w:rsidP="00442871">
      <w:pPr>
        <w:pStyle w:val="ARCADISStandaard"/>
        <w:rPr>
          <w:lang w:val="en-US"/>
        </w:rPr>
      </w:pPr>
    </w:p>
    <w:p w:rsidR="00442871" w:rsidRPr="00746E24" w:rsidRDefault="00442871" w:rsidP="00442871">
      <w:pPr>
        <w:pStyle w:val="ARCADISStandaard"/>
        <w:rPr>
          <w:lang w:val="en-US"/>
        </w:rPr>
      </w:pPr>
      <w:proofErr w:type="spellStart"/>
      <w:r w:rsidRPr="00746E24">
        <w:rPr>
          <w:lang w:val="en-US"/>
        </w:rPr>
        <w:t>Halkos</w:t>
      </w:r>
      <w:proofErr w:type="spellEnd"/>
      <w:r w:rsidRPr="00746E24">
        <w:rPr>
          <w:lang w:val="en-US"/>
        </w:rPr>
        <w:t>, George (2013): Cost-effectiveness analysis in reducing nutrient loading in Baltic and Black Seas: A review. http://mpra.ub.uni-muenchen.de/52296/</w:t>
      </w:r>
    </w:p>
    <w:p w:rsidR="00442871" w:rsidRDefault="00442871" w:rsidP="00442871">
      <w:pPr>
        <w:pStyle w:val="ARCADISStandaard"/>
        <w:rPr>
          <w:lang w:val="en-US"/>
        </w:rPr>
      </w:pPr>
    </w:p>
    <w:p w:rsidR="00A779AE" w:rsidRPr="00A779AE" w:rsidRDefault="00A779AE" w:rsidP="00442871">
      <w:pPr>
        <w:pStyle w:val="ARCADISStandaard"/>
        <w:rPr>
          <w:lang w:val="en-US"/>
        </w:rPr>
      </w:pPr>
      <w:r w:rsidRPr="00B36820">
        <w:rPr>
          <w:lang w:val="en-GB"/>
        </w:rPr>
        <w:t>HM Government. (2012) Marine Strategy Frame Directive consultation: UK Initial Assessment and Proposals for Good Environmental Status</w:t>
      </w:r>
    </w:p>
    <w:p w:rsidR="00A779AE" w:rsidRDefault="00A779AE" w:rsidP="00442871">
      <w:pPr>
        <w:pStyle w:val="ARCADISStandaard"/>
        <w:rPr>
          <w:lang w:val="en-US"/>
        </w:rPr>
      </w:pPr>
    </w:p>
    <w:p w:rsidR="00442871" w:rsidRDefault="00442871" w:rsidP="00442871">
      <w:pPr>
        <w:pStyle w:val="ARCADISStandaard"/>
        <w:rPr>
          <w:lang w:val="en-US"/>
        </w:rPr>
      </w:pPr>
      <w:proofErr w:type="spellStart"/>
      <w:r w:rsidRPr="00A15D79">
        <w:rPr>
          <w:lang w:val="fr-FR"/>
        </w:rPr>
        <w:t>Mangos</w:t>
      </w:r>
      <w:proofErr w:type="spellEnd"/>
      <w:r w:rsidRPr="00A15D79">
        <w:rPr>
          <w:lang w:val="fr-FR"/>
        </w:rPr>
        <w:t xml:space="preserve"> A., </w:t>
      </w:r>
      <w:proofErr w:type="spellStart"/>
      <w:r w:rsidRPr="00A15D79">
        <w:rPr>
          <w:lang w:val="fr-FR"/>
        </w:rPr>
        <w:t>Claudot</w:t>
      </w:r>
      <w:proofErr w:type="spellEnd"/>
      <w:r w:rsidRPr="00A15D79">
        <w:rPr>
          <w:lang w:val="fr-FR"/>
        </w:rPr>
        <w:t xml:space="preserve"> M.-A. (2013). </w:t>
      </w:r>
      <w:r w:rsidRPr="00442871">
        <w:rPr>
          <w:lang w:val="en-US"/>
        </w:rPr>
        <w:t xml:space="preserve">Economic study of the impacts of marine and coastal protected areas in the Mediterranean. Plan Bleu, </w:t>
      </w:r>
      <w:proofErr w:type="spellStart"/>
      <w:r w:rsidRPr="00442871">
        <w:rPr>
          <w:lang w:val="en-US"/>
        </w:rPr>
        <w:t>Valbonne</w:t>
      </w:r>
      <w:proofErr w:type="spellEnd"/>
    </w:p>
    <w:p w:rsidR="00442871" w:rsidRPr="00746E24" w:rsidRDefault="00442871" w:rsidP="00442871">
      <w:pPr>
        <w:pStyle w:val="ARCADISStandaard"/>
        <w:rPr>
          <w:lang w:val="en-US"/>
        </w:rPr>
      </w:pPr>
      <w:r w:rsidRPr="00746E24">
        <w:rPr>
          <w:lang w:val="en-US"/>
        </w:rPr>
        <w:t>MRAG Ltd., IDDRA and LAMANS Management Services S.A. (2013). Costs and benefits arising from the establishment of maritime zones in the Mediterranean Sea</w:t>
      </w:r>
    </w:p>
    <w:p w:rsidR="00442871" w:rsidRPr="00A15D79" w:rsidRDefault="00442871" w:rsidP="00442871">
      <w:pPr>
        <w:pStyle w:val="ARCADISStandaard"/>
        <w:rPr>
          <w:lang w:val="en-US"/>
        </w:rPr>
      </w:pPr>
    </w:p>
    <w:p w:rsidR="00442871" w:rsidRPr="00F14054" w:rsidRDefault="00442871" w:rsidP="00442871">
      <w:pPr>
        <w:pStyle w:val="ARCADISStandaard"/>
        <w:rPr>
          <w:lang w:val="en-US"/>
        </w:rPr>
      </w:pPr>
      <w:r>
        <w:t xml:space="preserve">Reinhard, S., A. de Blaeij, M.-J. </w:t>
      </w:r>
      <w:proofErr w:type="spellStart"/>
      <w:r>
        <w:t>Bogaardt</w:t>
      </w:r>
      <w:proofErr w:type="spellEnd"/>
      <w:r>
        <w:t xml:space="preserve">, A. </w:t>
      </w:r>
      <w:proofErr w:type="spellStart"/>
      <w:r>
        <w:t>Gaaff</w:t>
      </w:r>
      <w:proofErr w:type="spellEnd"/>
      <w:r>
        <w:t xml:space="preserve">, M. Leopold, M. </w:t>
      </w:r>
      <w:proofErr w:type="spellStart"/>
      <w:r>
        <w:t>Scholl</w:t>
      </w:r>
      <w:proofErr w:type="spellEnd"/>
      <w:r>
        <w:t xml:space="preserve">, D. Slijkerman, W.-J. </w:t>
      </w:r>
      <w:proofErr w:type="spellStart"/>
      <w:r>
        <w:t>Strietman</w:t>
      </w:r>
      <w:proofErr w:type="spellEnd"/>
      <w:r>
        <w:t xml:space="preserve"> </w:t>
      </w:r>
      <w:proofErr w:type="spellStart"/>
      <w:r>
        <w:t>and</w:t>
      </w:r>
      <w:proofErr w:type="spellEnd"/>
      <w:r>
        <w:t xml:space="preserve"> P. van der Wielen (2012). </w:t>
      </w:r>
      <w:r w:rsidRPr="00746E24">
        <w:rPr>
          <w:lang w:val="en-US"/>
        </w:rPr>
        <w:t xml:space="preserve">Cost-effectiveness and cost-benefit analysis for the MSFD – Framework for the Netherlands. </w:t>
      </w:r>
      <w:r w:rsidRPr="00F14054">
        <w:rPr>
          <w:lang w:val="en-US"/>
        </w:rPr>
        <w:t>Lei report.</w:t>
      </w:r>
    </w:p>
    <w:p w:rsidR="00442871" w:rsidRDefault="00442871" w:rsidP="00442871">
      <w:pPr>
        <w:pStyle w:val="ARCADISStandaard"/>
        <w:rPr>
          <w:lang w:val="en-US"/>
        </w:rPr>
      </w:pPr>
    </w:p>
    <w:p w:rsidR="00442871" w:rsidRDefault="00442871" w:rsidP="00442871">
      <w:pPr>
        <w:pStyle w:val="ARCADISStandaard"/>
        <w:rPr>
          <w:lang w:val="en-US"/>
        </w:rPr>
      </w:pPr>
      <w:r>
        <w:rPr>
          <w:lang w:val="en-US"/>
        </w:rPr>
        <w:t>U</w:t>
      </w:r>
      <w:r w:rsidRPr="00746E24">
        <w:rPr>
          <w:lang w:val="en-US"/>
        </w:rPr>
        <w:t>NEP/MAP (2013). Background Document on Marine Litter Regional Plan Measures and Indicative Cost Estimation of Measures Implementation</w:t>
      </w:r>
    </w:p>
    <w:p w:rsidR="00746E24" w:rsidRPr="00746E24" w:rsidRDefault="00746E24" w:rsidP="00746E24">
      <w:pPr>
        <w:pStyle w:val="ARCADISStandaard"/>
        <w:rPr>
          <w:lang w:val="en-US"/>
        </w:rPr>
      </w:pPr>
    </w:p>
    <w:p w:rsidR="00746E24" w:rsidRDefault="00746E24" w:rsidP="00746E24">
      <w:pPr>
        <w:pStyle w:val="ARCADISStandaard"/>
        <w:rPr>
          <w:lang w:val="en-US"/>
        </w:rPr>
      </w:pPr>
      <w:r w:rsidRPr="00746E24">
        <w:rPr>
          <w:lang w:val="en-US"/>
        </w:rPr>
        <w:t>UNEP MAP. (2014). Guidelines for updating National Action Plans for the implementation of the LBS Protocol and its Regional Plans in the framework of SAP MED to achieve Good Environmental Status for pollution related ECAP ecological objectives UNEP(DEPI)/MED WG.404/7 Annex IV (with Appendices)</w:t>
      </w:r>
    </w:p>
    <w:p w:rsidR="00442871" w:rsidRPr="00746E24" w:rsidRDefault="00442871">
      <w:pPr>
        <w:pStyle w:val="ARCADISStandaard"/>
        <w:rPr>
          <w:lang w:val="en-US"/>
        </w:rPr>
      </w:pPr>
    </w:p>
    <w:sectPr w:rsidR="00442871" w:rsidRPr="00746E24" w:rsidSect="00AA072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109" w:rsidRDefault="00DA3109" w:rsidP="00770759">
      <w:pPr>
        <w:spacing w:before="0" w:after="0" w:line="240" w:lineRule="auto"/>
      </w:pPr>
      <w:r>
        <w:separator/>
      </w:r>
    </w:p>
  </w:endnote>
  <w:endnote w:type="continuationSeparator" w:id="0">
    <w:p w:rsidR="00DA3109" w:rsidRDefault="00DA3109" w:rsidP="007707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613219"/>
      <w:docPartObj>
        <w:docPartGallery w:val="Page Numbers (Bottom of Page)"/>
        <w:docPartUnique/>
      </w:docPartObj>
    </w:sdtPr>
    <w:sdtEndPr/>
    <w:sdtContent>
      <w:p w:rsidR="0075552A" w:rsidRDefault="0075552A">
        <w:pPr>
          <w:pStyle w:val="Voettekst"/>
          <w:jc w:val="center"/>
        </w:pPr>
        <w:r>
          <w:fldChar w:fldCharType="begin"/>
        </w:r>
        <w:r>
          <w:instrText>PAGE   \* MERGEFORMAT</w:instrText>
        </w:r>
        <w:r>
          <w:fldChar w:fldCharType="separate"/>
        </w:r>
        <w:r w:rsidR="007A7283" w:rsidRPr="007A7283">
          <w:rPr>
            <w:noProof/>
            <w:lang w:val="nl-NL"/>
          </w:rPr>
          <w:t>11</w:t>
        </w:r>
        <w:r>
          <w:rPr>
            <w:noProof/>
            <w:lang w:val="nl-NL"/>
          </w:rPr>
          <w:fldChar w:fldCharType="end"/>
        </w:r>
      </w:p>
    </w:sdtContent>
  </w:sdt>
  <w:p w:rsidR="0075552A" w:rsidRDefault="0075552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109" w:rsidRDefault="00DA3109" w:rsidP="00770759">
      <w:pPr>
        <w:spacing w:before="0" w:after="0" w:line="240" w:lineRule="auto"/>
      </w:pPr>
      <w:r>
        <w:separator/>
      </w:r>
    </w:p>
  </w:footnote>
  <w:footnote w:type="continuationSeparator" w:id="0">
    <w:p w:rsidR="00DA3109" w:rsidRDefault="00DA3109" w:rsidP="00770759">
      <w:pPr>
        <w:spacing w:before="0" w:after="0" w:line="240" w:lineRule="auto"/>
      </w:pPr>
      <w:r>
        <w:continuationSeparator/>
      </w:r>
    </w:p>
  </w:footnote>
  <w:footnote w:id="1">
    <w:p w:rsidR="0075552A" w:rsidRPr="000B5266" w:rsidRDefault="0075552A">
      <w:pPr>
        <w:pStyle w:val="Voetnoottekst"/>
        <w:rPr>
          <w:lang w:val="en-US"/>
        </w:rPr>
      </w:pPr>
      <w:r>
        <w:rPr>
          <w:rStyle w:val="Voetnootmarkering"/>
        </w:rPr>
        <w:footnoteRef/>
      </w:r>
      <w:r w:rsidRPr="000B5266">
        <w:rPr>
          <w:lang w:val="en-US"/>
        </w:rPr>
        <w:t xml:space="preserve"> Most of these costs are costs of </w:t>
      </w:r>
      <w:proofErr w:type="spellStart"/>
      <w:r w:rsidRPr="000B5266">
        <w:rPr>
          <w:lang w:val="en-US"/>
        </w:rPr>
        <w:t>labour</w:t>
      </w:r>
      <w:proofErr w:type="spellEnd"/>
      <w:r w:rsidRPr="000B5266">
        <w:rPr>
          <w:lang w:val="en-US"/>
        </w:rPr>
        <w:t xml:space="preserve"> time for researchers, court staff, legislators, government staff etc.</w:t>
      </w:r>
    </w:p>
  </w:footnote>
  <w:footnote w:id="2">
    <w:p w:rsidR="0075552A" w:rsidRPr="00A15D79" w:rsidRDefault="0075552A">
      <w:pPr>
        <w:pStyle w:val="Voetnoottekst"/>
        <w:rPr>
          <w:lang w:val="en-US"/>
        </w:rPr>
      </w:pPr>
      <w:r>
        <w:rPr>
          <w:rStyle w:val="Voetnootmarkering"/>
        </w:rPr>
        <w:footnoteRef/>
      </w:r>
      <w:r w:rsidRPr="00A15D79">
        <w:rPr>
          <w:lang w:val="en-US"/>
        </w:rPr>
        <w:t xml:space="preserve"> These costs should be interpreted as one off </w:t>
      </w:r>
      <w:r>
        <w:rPr>
          <w:lang w:val="en-US"/>
        </w:rPr>
        <w:t>costs per Member State, with yearly costs being discounted for. Time period: 6 years (MSFD planning cycle)</w:t>
      </w:r>
    </w:p>
  </w:footnote>
  <w:footnote w:id="3">
    <w:p w:rsidR="00B36820" w:rsidRPr="00B36820" w:rsidRDefault="00B36820" w:rsidP="00B36820">
      <w:pPr>
        <w:pStyle w:val="Voetnoottekst"/>
        <w:rPr>
          <w:lang w:val="en-US"/>
        </w:rPr>
      </w:pPr>
      <w:r>
        <w:rPr>
          <w:rStyle w:val="Voetnootmarkering"/>
        </w:rPr>
        <w:footnoteRef/>
      </w:r>
      <w:r w:rsidRPr="00B36820">
        <w:rPr>
          <w:lang w:val="en-US"/>
        </w:rPr>
        <w:t xml:space="preserve"> This </w:t>
      </w:r>
      <w:r>
        <w:rPr>
          <w:lang w:val="en-US"/>
        </w:rPr>
        <w:t>method</w:t>
      </w:r>
      <w:r w:rsidRPr="00B36820">
        <w:rPr>
          <w:lang w:val="en-US"/>
        </w:rPr>
        <w:t xml:space="preserve"> is inspired by </w:t>
      </w:r>
      <w:r>
        <w:rPr>
          <w:lang w:val="en-US"/>
        </w:rPr>
        <w:t>the ‘</w:t>
      </w:r>
      <w:r w:rsidRPr="0022230A">
        <w:rPr>
          <w:lang w:val="en-US"/>
        </w:rPr>
        <w:t>Approach Used to Assign Certainty Terms</w:t>
      </w:r>
      <w:r>
        <w:rPr>
          <w:lang w:val="en-US"/>
        </w:rPr>
        <w:t xml:space="preserve">’ of </w:t>
      </w:r>
      <w:r w:rsidRPr="00B36820">
        <w:rPr>
          <w:lang w:val="en-US"/>
        </w:rPr>
        <w:t>The UK National Ecosystem Assessment</w:t>
      </w:r>
      <w:r>
        <w:rPr>
          <w:lang w:val="en-US"/>
        </w:rPr>
        <w:t xml:space="preserve"> (</w:t>
      </w:r>
      <w:r w:rsidRPr="007C2857">
        <w:rPr>
          <w:lang w:val="en-US"/>
        </w:rPr>
        <w:t>UNEP-WCMC, Cambridge. University</w:t>
      </w:r>
      <w:r>
        <w:rPr>
          <w:lang w:val="en-US"/>
        </w:rPr>
        <w:t xml:space="preserve">; </w:t>
      </w:r>
      <w:r w:rsidRPr="007C2857">
        <w:rPr>
          <w:lang w:val="en-US"/>
        </w:rPr>
        <w:t>2011)</w:t>
      </w:r>
      <w:r w:rsidRPr="00B36820">
        <w:rPr>
          <w:lang w:val="en-US"/>
        </w:rPr>
        <w:t>.</w:t>
      </w:r>
    </w:p>
  </w:footnote>
  <w:footnote w:id="4">
    <w:p w:rsidR="0075552A" w:rsidRPr="005D21D3" w:rsidRDefault="0075552A">
      <w:pPr>
        <w:pStyle w:val="Voetnoottekst"/>
        <w:rPr>
          <w:lang w:val="en-US"/>
        </w:rPr>
      </w:pPr>
      <w:r>
        <w:rPr>
          <w:rStyle w:val="Voetnootmarkering"/>
        </w:rPr>
        <w:footnoteRef/>
      </w:r>
      <w:r w:rsidRPr="005D21D3">
        <w:rPr>
          <w:lang w:val="en-US"/>
        </w:rPr>
        <w:t xml:space="preserve"> These scores are related to the first </w:t>
      </w:r>
      <w:r>
        <w:rPr>
          <w:lang w:val="en-US"/>
        </w:rPr>
        <w:t xml:space="preserve">rough assessment as follows: low </w:t>
      </w:r>
      <w:r w:rsidRPr="005D21D3">
        <w:rPr>
          <w:lang w:val="en-US"/>
        </w:rPr>
        <w:sym w:font="Wingdings" w:char="F0E0"/>
      </w:r>
      <w:r>
        <w:rPr>
          <w:lang w:val="en-US"/>
        </w:rPr>
        <w:t xml:space="preserve"> score 4,5; medium </w:t>
      </w:r>
      <w:r w:rsidRPr="005D21D3">
        <w:rPr>
          <w:lang w:val="en-US"/>
        </w:rPr>
        <w:sym w:font="Wingdings" w:char="F0E0"/>
      </w:r>
      <w:r>
        <w:rPr>
          <w:lang w:val="en-US"/>
        </w:rPr>
        <w:t xml:space="preserve"> score 2,3; high </w:t>
      </w:r>
      <w:r w:rsidRPr="005D21D3">
        <w:rPr>
          <w:lang w:val="en-US"/>
        </w:rPr>
        <w:sym w:font="Wingdings" w:char="F0E0"/>
      </w:r>
      <w:r>
        <w:rPr>
          <w:lang w:val="en-US"/>
        </w:rPr>
        <w:t xml:space="preserve"> score 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64D"/>
    <w:multiLevelType w:val="hybridMultilevel"/>
    <w:tmpl w:val="FA288312"/>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
    <w:nsid w:val="0FA9797F"/>
    <w:multiLevelType w:val="multilevel"/>
    <w:tmpl w:val="E56626CE"/>
    <w:lvl w:ilvl="0">
      <w:start w:val="1"/>
      <w:numFmt w:val="decimal"/>
      <w:pStyle w:val="OpsommingNummer"/>
      <w:lvlText w:val="%1."/>
      <w:lvlJc w:val="left"/>
      <w:pPr>
        <w:tabs>
          <w:tab w:val="num" w:pos="1985"/>
        </w:tabs>
        <w:ind w:left="1985" w:hanging="284"/>
      </w:pPr>
      <w:rPr>
        <w:rFonts w:hint="default"/>
      </w:rPr>
    </w:lvl>
    <w:lvl w:ilvl="1">
      <w:start w:val="1"/>
      <w:numFmt w:val="decimal"/>
      <w:lvlText w:val="%1.%2."/>
      <w:lvlJc w:val="left"/>
      <w:pPr>
        <w:tabs>
          <w:tab w:val="num" w:pos="2552"/>
        </w:tabs>
        <w:ind w:left="2552" w:hanging="851"/>
      </w:pPr>
      <w:rPr>
        <w:rFonts w:hint="default"/>
      </w:rPr>
    </w:lvl>
    <w:lvl w:ilvl="2">
      <w:start w:val="1"/>
      <w:numFmt w:val="decimal"/>
      <w:lvlText w:val="%1.%2.%3."/>
      <w:lvlJc w:val="left"/>
      <w:pPr>
        <w:tabs>
          <w:tab w:val="num" w:pos="2552"/>
        </w:tabs>
        <w:ind w:left="2552" w:hanging="851"/>
      </w:pPr>
      <w:rPr>
        <w:rFonts w:hint="default"/>
      </w:rPr>
    </w:lvl>
    <w:lvl w:ilvl="3">
      <w:start w:val="1"/>
      <w:numFmt w:val="none"/>
      <w:lvlText w:val=""/>
      <w:lvlJc w:val="left"/>
      <w:pPr>
        <w:tabs>
          <w:tab w:val="num" w:pos="2552"/>
        </w:tabs>
        <w:ind w:left="2552" w:firstLine="0"/>
      </w:pPr>
      <w:rPr>
        <w:rFonts w:hint="default"/>
      </w:rPr>
    </w:lvl>
    <w:lvl w:ilvl="4">
      <w:start w:val="1"/>
      <w:numFmt w:val="none"/>
      <w:lvlText w:val=""/>
      <w:lvlJc w:val="left"/>
      <w:pPr>
        <w:tabs>
          <w:tab w:val="num" w:pos="2552"/>
        </w:tabs>
        <w:ind w:left="2552" w:firstLine="0"/>
      </w:pPr>
      <w:rPr>
        <w:rFonts w:hint="default"/>
      </w:rPr>
    </w:lvl>
    <w:lvl w:ilvl="5">
      <w:start w:val="1"/>
      <w:numFmt w:val="none"/>
      <w:lvlText w:val=""/>
      <w:lvlJc w:val="left"/>
      <w:pPr>
        <w:tabs>
          <w:tab w:val="num" w:pos="2552"/>
        </w:tabs>
        <w:ind w:left="255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2552"/>
        </w:tabs>
        <w:ind w:left="2552" w:firstLine="0"/>
      </w:pPr>
      <w:rPr>
        <w:rFonts w:hint="default"/>
      </w:rPr>
    </w:lvl>
    <w:lvl w:ilvl="8">
      <w:start w:val="1"/>
      <w:numFmt w:val="none"/>
      <w:lvlText w:val=""/>
      <w:lvlJc w:val="left"/>
      <w:pPr>
        <w:tabs>
          <w:tab w:val="num" w:pos="2552"/>
        </w:tabs>
        <w:ind w:left="2552" w:firstLine="0"/>
      </w:pPr>
      <w:rPr>
        <w:rFonts w:hint="default"/>
      </w:rPr>
    </w:lvl>
  </w:abstractNum>
  <w:abstractNum w:abstractNumId="2">
    <w:nsid w:val="10E83D90"/>
    <w:multiLevelType w:val="multilevel"/>
    <w:tmpl w:val="336E851E"/>
    <w:lvl w:ilvl="0">
      <w:start w:val="1"/>
      <w:numFmt w:val="decimal"/>
      <w:pStyle w:val="OpsommingNummer0"/>
      <w:lvlText w:val="%1."/>
      <w:lvlJc w:val="left"/>
      <w:pPr>
        <w:tabs>
          <w:tab w:val="num" w:pos="567"/>
        </w:tabs>
        <w:ind w:left="567" w:hanging="567"/>
      </w:pPr>
      <w:rPr>
        <w:rFonts w:ascii="Arial" w:hAnsi="Arial" w:hint="default"/>
        <w:sz w:val="20"/>
      </w:rPr>
    </w:lvl>
    <w:lvl w:ilvl="1">
      <w:start w:val="1"/>
      <w:numFmt w:val="decimal"/>
      <w:lvlText w:val="%2.%1."/>
      <w:lvlJc w:val="left"/>
      <w:pPr>
        <w:tabs>
          <w:tab w:val="num" w:pos="1134"/>
        </w:tabs>
        <w:ind w:left="1134" w:hanging="567"/>
      </w:pPr>
      <w:rPr>
        <w:rFonts w:ascii="Arial" w:hAnsi="Arial" w:hint="default"/>
        <w:b w:val="0"/>
        <w:i w:val="0"/>
        <w:sz w:val="20"/>
      </w:rPr>
    </w:lvl>
    <w:lvl w:ilvl="2">
      <w:start w:val="1"/>
      <w:numFmt w:val="decimal"/>
      <w:lvlText w:val="%3.%1.%2."/>
      <w:lvlJc w:val="left"/>
      <w:pPr>
        <w:tabs>
          <w:tab w:val="num" w:pos="2268"/>
        </w:tabs>
        <w:ind w:left="2268" w:hanging="1134"/>
      </w:pPr>
      <w:rPr>
        <w:rFonts w:ascii="Arial" w:hAnsi="Arial" w:hint="default"/>
        <w:b w:val="0"/>
        <w:i w:val="0"/>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nsid w:val="12B1483F"/>
    <w:multiLevelType w:val="hybridMultilevel"/>
    <w:tmpl w:val="6F02302E"/>
    <w:lvl w:ilvl="0" w:tplc="04060001">
      <w:start w:val="1"/>
      <w:numFmt w:val="bullet"/>
      <w:lvlText w:val=""/>
      <w:lvlJc w:val="left"/>
      <w:pPr>
        <w:ind w:left="2421" w:hanging="360"/>
      </w:pPr>
      <w:rPr>
        <w:rFonts w:ascii="Symbol" w:hAnsi="Symbol" w:hint="default"/>
      </w:rPr>
    </w:lvl>
    <w:lvl w:ilvl="1" w:tplc="04060003" w:tentative="1">
      <w:start w:val="1"/>
      <w:numFmt w:val="bullet"/>
      <w:lvlText w:val="o"/>
      <w:lvlJc w:val="left"/>
      <w:pPr>
        <w:ind w:left="3141" w:hanging="360"/>
      </w:pPr>
      <w:rPr>
        <w:rFonts w:ascii="Courier New" w:hAnsi="Courier New" w:cs="Courier New" w:hint="default"/>
      </w:rPr>
    </w:lvl>
    <w:lvl w:ilvl="2" w:tplc="04060005" w:tentative="1">
      <w:start w:val="1"/>
      <w:numFmt w:val="bullet"/>
      <w:lvlText w:val=""/>
      <w:lvlJc w:val="left"/>
      <w:pPr>
        <w:ind w:left="3861" w:hanging="360"/>
      </w:pPr>
      <w:rPr>
        <w:rFonts w:ascii="Wingdings" w:hAnsi="Wingdings" w:hint="default"/>
      </w:rPr>
    </w:lvl>
    <w:lvl w:ilvl="3" w:tplc="04060001" w:tentative="1">
      <w:start w:val="1"/>
      <w:numFmt w:val="bullet"/>
      <w:lvlText w:val=""/>
      <w:lvlJc w:val="left"/>
      <w:pPr>
        <w:ind w:left="4581" w:hanging="360"/>
      </w:pPr>
      <w:rPr>
        <w:rFonts w:ascii="Symbol" w:hAnsi="Symbol" w:hint="default"/>
      </w:rPr>
    </w:lvl>
    <w:lvl w:ilvl="4" w:tplc="04060003" w:tentative="1">
      <w:start w:val="1"/>
      <w:numFmt w:val="bullet"/>
      <w:lvlText w:val="o"/>
      <w:lvlJc w:val="left"/>
      <w:pPr>
        <w:ind w:left="5301" w:hanging="360"/>
      </w:pPr>
      <w:rPr>
        <w:rFonts w:ascii="Courier New" w:hAnsi="Courier New" w:cs="Courier New" w:hint="default"/>
      </w:rPr>
    </w:lvl>
    <w:lvl w:ilvl="5" w:tplc="04060005" w:tentative="1">
      <w:start w:val="1"/>
      <w:numFmt w:val="bullet"/>
      <w:lvlText w:val=""/>
      <w:lvlJc w:val="left"/>
      <w:pPr>
        <w:ind w:left="6021" w:hanging="360"/>
      </w:pPr>
      <w:rPr>
        <w:rFonts w:ascii="Wingdings" w:hAnsi="Wingdings" w:hint="default"/>
      </w:rPr>
    </w:lvl>
    <w:lvl w:ilvl="6" w:tplc="04060001" w:tentative="1">
      <w:start w:val="1"/>
      <w:numFmt w:val="bullet"/>
      <w:lvlText w:val=""/>
      <w:lvlJc w:val="left"/>
      <w:pPr>
        <w:ind w:left="6741" w:hanging="360"/>
      </w:pPr>
      <w:rPr>
        <w:rFonts w:ascii="Symbol" w:hAnsi="Symbol" w:hint="default"/>
      </w:rPr>
    </w:lvl>
    <w:lvl w:ilvl="7" w:tplc="04060003" w:tentative="1">
      <w:start w:val="1"/>
      <w:numFmt w:val="bullet"/>
      <w:lvlText w:val="o"/>
      <w:lvlJc w:val="left"/>
      <w:pPr>
        <w:ind w:left="7461" w:hanging="360"/>
      </w:pPr>
      <w:rPr>
        <w:rFonts w:ascii="Courier New" w:hAnsi="Courier New" w:cs="Courier New" w:hint="default"/>
      </w:rPr>
    </w:lvl>
    <w:lvl w:ilvl="8" w:tplc="04060005" w:tentative="1">
      <w:start w:val="1"/>
      <w:numFmt w:val="bullet"/>
      <w:lvlText w:val=""/>
      <w:lvlJc w:val="left"/>
      <w:pPr>
        <w:ind w:left="8181" w:hanging="360"/>
      </w:pPr>
      <w:rPr>
        <w:rFonts w:ascii="Wingdings" w:hAnsi="Wingdings" w:hint="default"/>
      </w:rPr>
    </w:lvl>
  </w:abstractNum>
  <w:abstractNum w:abstractNumId="4">
    <w:nsid w:val="14471D35"/>
    <w:multiLevelType w:val="hybridMultilevel"/>
    <w:tmpl w:val="54A48B0A"/>
    <w:lvl w:ilvl="0" w:tplc="04060001">
      <w:start w:val="1"/>
      <w:numFmt w:val="bullet"/>
      <w:lvlText w:val=""/>
      <w:lvlJc w:val="left"/>
      <w:pPr>
        <w:ind w:left="2421" w:hanging="360"/>
      </w:pPr>
      <w:rPr>
        <w:rFonts w:ascii="Symbol" w:hAnsi="Symbol" w:hint="default"/>
      </w:rPr>
    </w:lvl>
    <w:lvl w:ilvl="1" w:tplc="04060003" w:tentative="1">
      <w:start w:val="1"/>
      <w:numFmt w:val="bullet"/>
      <w:lvlText w:val="o"/>
      <w:lvlJc w:val="left"/>
      <w:pPr>
        <w:ind w:left="3141" w:hanging="360"/>
      </w:pPr>
      <w:rPr>
        <w:rFonts w:ascii="Courier New" w:hAnsi="Courier New" w:cs="Courier New" w:hint="default"/>
      </w:rPr>
    </w:lvl>
    <w:lvl w:ilvl="2" w:tplc="04060005" w:tentative="1">
      <w:start w:val="1"/>
      <w:numFmt w:val="bullet"/>
      <w:lvlText w:val=""/>
      <w:lvlJc w:val="left"/>
      <w:pPr>
        <w:ind w:left="3861" w:hanging="360"/>
      </w:pPr>
      <w:rPr>
        <w:rFonts w:ascii="Wingdings" w:hAnsi="Wingdings" w:hint="default"/>
      </w:rPr>
    </w:lvl>
    <w:lvl w:ilvl="3" w:tplc="04060001" w:tentative="1">
      <w:start w:val="1"/>
      <w:numFmt w:val="bullet"/>
      <w:lvlText w:val=""/>
      <w:lvlJc w:val="left"/>
      <w:pPr>
        <w:ind w:left="4581" w:hanging="360"/>
      </w:pPr>
      <w:rPr>
        <w:rFonts w:ascii="Symbol" w:hAnsi="Symbol" w:hint="default"/>
      </w:rPr>
    </w:lvl>
    <w:lvl w:ilvl="4" w:tplc="04060003" w:tentative="1">
      <w:start w:val="1"/>
      <w:numFmt w:val="bullet"/>
      <w:lvlText w:val="o"/>
      <w:lvlJc w:val="left"/>
      <w:pPr>
        <w:ind w:left="5301" w:hanging="360"/>
      </w:pPr>
      <w:rPr>
        <w:rFonts w:ascii="Courier New" w:hAnsi="Courier New" w:cs="Courier New" w:hint="default"/>
      </w:rPr>
    </w:lvl>
    <w:lvl w:ilvl="5" w:tplc="04060005" w:tentative="1">
      <w:start w:val="1"/>
      <w:numFmt w:val="bullet"/>
      <w:lvlText w:val=""/>
      <w:lvlJc w:val="left"/>
      <w:pPr>
        <w:ind w:left="6021" w:hanging="360"/>
      </w:pPr>
      <w:rPr>
        <w:rFonts w:ascii="Wingdings" w:hAnsi="Wingdings" w:hint="default"/>
      </w:rPr>
    </w:lvl>
    <w:lvl w:ilvl="6" w:tplc="04060001" w:tentative="1">
      <w:start w:val="1"/>
      <w:numFmt w:val="bullet"/>
      <w:lvlText w:val=""/>
      <w:lvlJc w:val="left"/>
      <w:pPr>
        <w:ind w:left="6741" w:hanging="360"/>
      </w:pPr>
      <w:rPr>
        <w:rFonts w:ascii="Symbol" w:hAnsi="Symbol" w:hint="default"/>
      </w:rPr>
    </w:lvl>
    <w:lvl w:ilvl="7" w:tplc="04060003" w:tentative="1">
      <w:start w:val="1"/>
      <w:numFmt w:val="bullet"/>
      <w:lvlText w:val="o"/>
      <w:lvlJc w:val="left"/>
      <w:pPr>
        <w:ind w:left="7461" w:hanging="360"/>
      </w:pPr>
      <w:rPr>
        <w:rFonts w:ascii="Courier New" w:hAnsi="Courier New" w:cs="Courier New" w:hint="default"/>
      </w:rPr>
    </w:lvl>
    <w:lvl w:ilvl="8" w:tplc="04060005" w:tentative="1">
      <w:start w:val="1"/>
      <w:numFmt w:val="bullet"/>
      <w:lvlText w:val=""/>
      <w:lvlJc w:val="left"/>
      <w:pPr>
        <w:ind w:left="8181" w:hanging="360"/>
      </w:pPr>
      <w:rPr>
        <w:rFonts w:ascii="Wingdings" w:hAnsi="Wingdings" w:hint="default"/>
      </w:rPr>
    </w:lvl>
  </w:abstractNum>
  <w:abstractNum w:abstractNumId="5">
    <w:nsid w:val="201F7013"/>
    <w:multiLevelType w:val="multilevel"/>
    <w:tmpl w:val="3634E332"/>
    <w:lvl w:ilvl="0">
      <w:start w:val="1"/>
      <w:numFmt w:val="decimal"/>
      <w:pStyle w:val="Lijstnummering"/>
      <w:lvlText w:val="%1."/>
      <w:lvlJc w:val="left"/>
      <w:pPr>
        <w:tabs>
          <w:tab w:val="num" w:pos="1701"/>
        </w:tabs>
        <w:ind w:left="1985" w:hanging="284"/>
      </w:pPr>
      <w:rPr>
        <w:rFonts w:ascii="Arial" w:hAnsi="Arial" w:hint="default"/>
        <w:sz w:val="20"/>
      </w:rPr>
    </w:lvl>
    <w:lvl w:ilvl="1">
      <w:start w:val="1"/>
      <w:numFmt w:val="decimal"/>
      <w:lvlText w:val="%2.%1."/>
      <w:lvlJc w:val="left"/>
      <w:pPr>
        <w:tabs>
          <w:tab w:val="num" w:pos="2098"/>
        </w:tabs>
        <w:ind w:left="2495" w:hanging="397"/>
      </w:pPr>
      <w:rPr>
        <w:rFonts w:hint="default"/>
      </w:rPr>
    </w:lvl>
    <w:lvl w:ilvl="2">
      <w:start w:val="1"/>
      <w:numFmt w:val="decimal"/>
      <w:lvlText w:val="%3.%1.%2."/>
      <w:lvlJc w:val="left"/>
      <w:pPr>
        <w:ind w:left="2778" w:hanging="283"/>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nsid w:val="27C0197F"/>
    <w:multiLevelType w:val="multilevel"/>
    <w:tmpl w:val="E07CAEBC"/>
    <w:lvl w:ilvl="0">
      <w:start w:val="1"/>
      <w:numFmt w:val="bullet"/>
      <w:pStyle w:val="OpsommingSymbool"/>
      <w:lvlText w:val=""/>
      <w:lvlJc w:val="left"/>
      <w:pPr>
        <w:tabs>
          <w:tab w:val="num" w:pos="1985"/>
        </w:tabs>
        <w:ind w:left="1985" w:hanging="284"/>
      </w:pPr>
      <w:rPr>
        <w:rFonts w:ascii="Symbol" w:hAnsi="Symbol" w:hint="default"/>
      </w:rPr>
    </w:lvl>
    <w:lvl w:ilvl="1">
      <w:start w:val="1"/>
      <w:numFmt w:val="bullet"/>
      <w:lvlText w:val="-"/>
      <w:lvlJc w:val="left"/>
      <w:pPr>
        <w:tabs>
          <w:tab w:val="num" w:pos="2268"/>
        </w:tabs>
        <w:ind w:left="2268" w:hanging="283"/>
      </w:pPr>
      <w:rPr>
        <w:rFonts w:ascii="Times New Roman" w:hAnsi="Times New Roman" w:cs="Times New Roman" w:hint="default"/>
      </w:rPr>
    </w:lvl>
    <w:lvl w:ilvl="2">
      <w:start w:val="1"/>
      <w:numFmt w:val="bullet"/>
      <w:lvlText w:val=""/>
      <w:lvlJc w:val="left"/>
      <w:pPr>
        <w:tabs>
          <w:tab w:val="num" w:pos="2552"/>
        </w:tabs>
        <w:ind w:left="2552" w:hanging="284"/>
      </w:pPr>
      <w:rPr>
        <w:rFonts w:ascii="Wingdings" w:hAnsi="Wingdings" w:hint="default"/>
      </w:rPr>
    </w:lvl>
    <w:lvl w:ilvl="3">
      <w:start w:val="1"/>
      <w:numFmt w:val="none"/>
      <w:lvlText w:val=""/>
      <w:lvlJc w:val="left"/>
      <w:pPr>
        <w:tabs>
          <w:tab w:val="num" w:pos="1701"/>
        </w:tabs>
        <w:ind w:left="1701" w:firstLine="0"/>
      </w:pPr>
      <w:rPr>
        <w:rFonts w:hint="default"/>
      </w:rPr>
    </w:lvl>
    <w:lvl w:ilvl="4">
      <w:start w:val="1"/>
      <w:numFmt w:val="none"/>
      <w:lvlText w:val=""/>
      <w:lvlJc w:val="left"/>
      <w:pPr>
        <w:tabs>
          <w:tab w:val="num" w:pos="1701"/>
        </w:tabs>
        <w:ind w:left="1701" w:firstLine="0"/>
      </w:pPr>
      <w:rPr>
        <w:rFonts w:hint="default"/>
      </w:rPr>
    </w:lvl>
    <w:lvl w:ilvl="5">
      <w:start w:val="1"/>
      <w:numFmt w:val="none"/>
      <w:lvlText w:val=""/>
      <w:lvlJc w:val="left"/>
      <w:pPr>
        <w:tabs>
          <w:tab w:val="num" w:pos="1701"/>
        </w:tabs>
        <w:ind w:left="1701" w:firstLine="0"/>
      </w:pPr>
      <w:rPr>
        <w:rFonts w:hint="default"/>
      </w:rPr>
    </w:lvl>
    <w:lvl w:ilvl="6">
      <w:start w:val="1"/>
      <w:numFmt w:val="none"/>
      <w:lvlText w:val=""/>
      <w:lvlJc w:val="left"/>
      <w:pPr>
        <w:tabs>
          <w:tab w:val="num" w:pos="1701"/>
        </w:tabs>
        <w:ind w:left="1701"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1701"/>
        </w:tabs>
        <w:ind w:left="1701" w:firstLine="0"/>
      </w:pPr>
      <w:rPr>
        <w:rFonts w:hint="default"/>
      </w:rPr>
    </w:lvl>
  </w:abstractNum>
  <w:abstractNum w:abstractNumId="7">
    <w:nsid w:val="40B4772A"/>
    <w:multiLevelType w:val="multilevel"/>
    <w:tmpl w:val="89D8B1B0"/>
    <w:lvl w:ilvl="0">
      <w:start w:val="1"/>
      <w:numFmt w:val="decimal"/>
      <w:pStyle w:val="Artikel"/>
      <w:lvlText w:val="Art.%1."/>
      <w:lvlJc w:val="left"/>
      <w:pPr>
        <w:tabs>
          <w:tab w:val="num" w:pos="1701"/>
        </w:tabs>
        <w:ind w:left="1701" w:hanging="1701"/>
      </w:pPr>
      <w:rPr>
        <w:rFonts w:hint="default"/>
      </w:rPr>
    </w:lvl>
    <w:lvl w:ilvl="1">
      <w:start w:val="1"/>
      <w:numFmt w:val="decimal"/>
      <w:lvlText w:val="Art.%1.%2."/>
      <w:lvlJc w:val="left"/>
      <w:pPr>
        <w:tabs>
          <w:tab w:val="num" w:pos="1701"/>
        </w:tabs>
        <w:ind w:left="1701" w:hanging="1701"/>
      </w:pPr>
      <w:rPr>
        <w:rFonts w:hint="default"/>
      </w:rPr>
    </w:lvl>
    <w:lvl w:ilvl="2">
      <w:start w:val="1"/>
      <w:numFmt w:val="decimal"/>
      <w:lvlText w:val="Art.%1.%2.%3."/>
      <w:lvlJc w:val="left"/>
      <w:pPr>
        <w:tabs>
          <w:tab w:val="num" w:pos="1701"/>
        </w:tabs>
        <w:ind w:left="1701" w:hanging="1701"/>
      </w:pPr>
      <w:rPr>
        <w:rFonts w:hint="default"/>
      </w:rPr>
    </w:lvl>
    <w:lvl w:ilvl="3">
      <w:start w:val="1"/>
      <w:numFmt w:val="bullet"/>
      <w:lvlText w:val="§"/>
      <w:lvlJc w:val="left"/>
      <w:pPr>
        <w:tabs>
          <w:tab w:val="num" w:pos="1701"/>
        </w:tabs>
        <w:ind w:left="1701" w:firstLine="0"/>
      </w:pPr>
      <w:rPr>
        <w:rFonts w:ascii="Arial" w:hAnsi="Arial" w:cs="Times New Roman" w:hint="default"/>
        <w:b/>
        <w:i w:val="0"/>
      </w:rPr>
    </w:lvl>
    <w:lvl w:ilvl="4">
      <w:start w:val="1"/>
      <w:numFmt w:val="none"/>
      <w:lvlText w:val=""/>
      <w:lvlJc w:val="left"/>
      <w:pPr>
        <w:tabs>
          <w:tab w:val="num" w:pos="1418"/>
        </w:tabs>
        <w:ind w:left="1701" w:firstLine="0"/>
      </w:pPr>
      <w:rPr>
        <w:rFonts w:hint="default"/>
      </w:rPr>
    </w:lvl>
    <w:lvl w:ilvl="5">
      <w:start w:val="1"/>
      <w:numFmt w:val="none"/>
      <w:lvlText w:val=""/>
      <w:lvlJc w:val="left"/>
      <w:pPr>
        <w:tabs>
          <w:tab w:val="num" w:pos="1418"/>
        </w:tabs>
        <w:ind w:left="1701" w:firstLine="0"/>
      </w:pPr>
      <w:rPr>
        <w:rFonts w:hint="default"/>
      </w:rPr>
    </w:lvl>
    <w:lvl w:ilvl="6">
      <w:start w:val="1"/>
      <w:numFmt w:val="none"/>
      <w:lvlText w:val=""/>
      <w:lvlJc w:val="left"/>
      <w:pPr>
        <w:tabs>
          <w:tab w:val="num" w:pos="1418"/>
        </w:tabs>
        <w:ind w:left="1701" w:firstLine="0"/>
      </w:pPr>
      <w:rPr>
        <w:rFonts w:hint="default"/>
      </w:rPr>
    </w:lvl>
    <w:lvl w:ilvl="7">
      <w:start w:val="1"/>
      <w:numFmt w:val="none"/>
      <w:lvlText w:val=""/>
      <w:lvlJc w:val="left"/>
      <w:pPr>
        <w:tabs>
          <w:tab w:val="num" w:pos="1418"/>
        </w:tabs>
        <w:ind w:left="1701" w:firstLine="0"/>
      </w:pPr>
      <w:rPr>
        <w:rFonts w:hint="default"/>
      </w:rPr>
    </w:lvl>
    <w:lvl w:ilvl="8">
      <w:start w:val="1"/>
      <w:numFmt w:val="none"/>
      <w:lvlText w:val=""/>
      <w:lvlJc w:val="left"/>
      <w:pPr>
        <w:tabs>
          <w:tab w:val="num" w:pos="1418"/>
        </w:tabs>
        <w:ind w:left="1701" w:firstLine="0"/>
      </w:pPr>
      <w:rPr>
        <w:rFonts w:hint="default"/>
      </w:rPr>
    </w:lvl>
  </w:abstractNum>
  <w:abstractNum w:abstractNumId="8">
    <w:nsid w:val="56373D87"/>
    <w:multiLevelType w:val="multilevel"/>
    <w:tmpl w:val="6C7432BE"/>
    <w:lvl w:ilvl="0">
      <w:start w:val="1"/>
      <w:numFmt w:val="lowerLetter"/>
      <w:pStyle w:val="OpsommingLetter"/>
      <w:lvlText w:val="%1)"/>
      <w:lvlJc w:val="left"/>
      <w:pPr>
        <w:tabs>
          <w:tab w:val="num" w:pos="1985"/>
        </w:tabs>
        <w:ind w:left="1985" w:hanging="284"/>
      </w:pPr>
      <w:rPr>
        <w:rFonts w:hint="default"/>
      </w:rPr>
    </w:lvl>
    <w:lvl w:ilvl="1">
      <w:start w:val="1"/>
      <w:numFmt w:val="none"/>
      <w:lvlText w:val=""/>
      <w:lvlJc w:val="left"/>
      <w:pPr>
        <w:tabs>
          <w:tab w:val="num" w:pos="2552"/>
        </w:tabs>
        <w:ind w:left="2552" w:hanging="851"/>
      </w:pPr>
      <w:rPr>
        <w:rFonts w:hint="default"/>
      </w:rPr>
    </w:lvl>
    <w:lvl w:ilvl="2">
      <w:start w:val="1"/>
      <w:numFmt w:val="none"/>
      <w:lvlText w:val=""/>
      <w:lvlJc w:val="left"/>
      <w:pPr>
        <w:tabs>
          <w:tab w:val="num" w:pos="2552"/>
        </w:tabs>
        <w:ind w:left="2552" w:hanging="851"/>
      </w:pPr>
      <w:rPr>
        <w:rFonts w:hint="default"/>
      </w:rPr>
    </w:lvl>
    <w:lvl w:ilvl="3">
      <w:start w:val="1"/>
      <w:numFmt w:val="none"/>
      <w:lvlText w:val=""/>
      <w:lvlJc w:val="left"/>
      <w:pPr>
        <w:tabs>
          <w:tab w:val="num" w:pos="2552"/>
        </w:tabs>
        <w:ind w:left="2552" w:hanging="851"/>
      </w:pPr>
      <w:rPr>
        <w:rFonts w:hint="default"/>
      </w:rPr>
    </w:lvl>
    <w:lvl w:ilvl="4">
      <w:start w:val="1"/>
      <w:numFmt w:val="none"/>
      <w:lvlText w:val=""/>
      <w:lvlJc w:val="left"/>
      <w:pPr>
        <w:tabs>
          <w:tab w:val="num" w:pos="2552"/>
        </w:tabs>
        <w:ind w:left="2552" w:hanging="851"/>
      </w:pPr>
      <w:rPr>
        <w:rFonts w:hint="default"/>
      </w:rPr>
    </w:lvl>
    <w:lvl w:ilvl="5">
      <w:start w:val="1"/>
      <w:numFmt w:val="none"/>
      <w:lvlText w:val=""/>
      <w:lvlJc w:val="left"/>
      <w:pPr>
        <w:tabs>
          <w:tab w:val="num" w:pos="2552"/>
        </w:tabs>
        <w:ind w:left="2552" w:hanging="851"/>
      </w:pPr>
      <w:rPr>
        <w:rFonts w:hint="default"/>
      </w:rPr>
    </w:lvl>
    <w:lvl w:ilvl="6">
      <w:start w:val="1"/>
      <w:numFmt w:val="none"/>
      <w:lvlText w:val=""/>
      <w:lvlJc w:val="left"/>
      <w:pPr>
        <w:tabs>
          <w:tab w:val="num" w:pos="2552"/>
        </w:tabs>
        <w:ind w:left="2552" w:hanging="851"/>
      </w:pPr>
      <w:rPr>
        <w:rFonts w:hint="default"/>
      </w:rPr>
    </w:lvl>
    <w:lvl w:ilvl="7">
      <w:start w:val="1"/>
      <w:numFmt w:val="none"/>
      <w:lvlText w:val=""/>
      <w:lvlJc w:val="left"/>
      <w:pPr>
        <w:tabs>
          <w:tab w:val="num" w:pos="2552"/>
        </w:tabs>
        <w:ind w:left="2552" w:hanging="851"/>
      </w:pPr>
      <w:rPr>
        <w:rFonts w:hint="default"/>
      </w:rPr>
    </w:lvl>
    <w:lvl w:ilvl="8">
      <w:start w:val="1"/>
      <w:numFmt w:val="none"/>
      <w:lvlText w:val=""/>
      <w:lvlJc w:val="left"/>
      <w:pPr>
        <w:tabs>
          <w:tab w:val="num" w:pos="2552"/>
        </w:tabs>
        <w:ind w:left="2552" w:hanging="851"/>
      </w:pPr>
      <w:rPr>
        <w:rFonts w:hint="default"/>
      </w:rPr>
    </w:lvl>
  </w:abstractNum>
  <w:abstractNum w:abstractNumId="9">
    <w:nsid w:val="5DC643E7"/>
    <w:multiLevelType w:val="multilevel"/>
    <w:tmpl w:val="CD1EA594"/>
    <w:lvl w:ilvl="0">
      <w:start w:val="1"/>
      <w:numFmt w:val="bullet"/>
      <w:pStyle w:val="Opsommingsymbool0"/>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nsid w:val="61925D31"/>
    <w:multiLevelType w:val="hybridMultilevel"/>
    <w:tmpl w:val="FBE28F32"/>
    <w:lvl w:ilvl="0" w:tplc="D46EF6EE">
      <w:start w:val="1"/>
      <w:numFmt w:val="decimal"/>
      <w:pStyle w:val="Ondertitel"/>
      <w:lvlText w:val="DEEL %1"/>
      <w:lvlJc w:val="left"/>
      <w:pPr>
        <w:tabs>
          <w:tab w:val="num" w:pos="1701"/>
        </w:tabs>
        <w:ind w:left="1701" w:hanging="170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62D426CF"/>
    <w:multiLevelType w:val="multilevel"/>
    <w:tmpl w:val="157C7FC6"/>
    <w:lvl w:ilvl="0">
      <w:start w:val="1"/>
      <w:numFmt w:val="decimal"/>
      <w:pStyle w:val="Kop1"/>
      <w:lvlText w:val="%1"/>
      <w:lvlJc w:val="left"/>
      <w:pPr>
        <w:tabs>
          <w:tab w:val="num" w:pos="1701"/>
        </w:tabs>
        <w:ind w:left="1701" w:hanging="1701"/>
      </w:pPr>
      <w:rPr>
        <w:rFonts w:hint="default"/>
      </w:rPr>
    </w:lvl>
    <w:lvl w:ilvl="1">
      <w:start w:val="1"/>
      <w:numFmt w:val="decimal"/>
      <w:pStyle w:val="Kop2"/>
      <w:lvlText w:val="%1.%2"/>
      <w:lvlJc w:val="left"/>
      <w:pPr>
        <w:tabs>
          <w:tab w:val="num" w:pos="1701"/>
        </w:tabs>
        <w:ind w:left="1701" w:hanging="1701"/>
      </w:pPr>
      <w:rPr>
        <w:rFonts w:hint="default"/>
      </w:rPr>
    </w:lvl>
    <w:lvl w:ilvl="2">
      <w:start w:val="1"/>
      <w:numFmt w:val="decimal"/>
      <w:pStyle w:val="Kop3"/>
      <w:lvlText w:val="%1.%2.%3"/>
      <w:lvlJc w:val="left"/>
      <w:pPr>
        <w:tabs>
          <w:tab w:val="num" w:pos="1701"/>
        </w:tabs>
        <w:ind w:left="1701" w:hanging="1701"/>
      </w:pPr>
      <w:rPr>
        <w:rFonts w:hint="default"/>
      </w:rPr>
    </w:lvl>
    <w:lvl w:ilvl="3">
      <w:start w:val="1"/>
      <w:numFmt w:val="decimal"/>
      <w:pStyle w:val="Kop4"/>
      <w:lvlText w:val="%1.%2.%3.%4"/>
      <w:lvlJc w:val="left"/>
      <w:pPr>
        <w:tabs>
          <w:tab w:val="num" w:pos="1701"/>
        </w:tabs>
        <w:ind w:left="1701" w:hanging="1701"/>
      </w:pPr>
      <w:rPr>
        <w:rFonts w:hint="default"/>
      </w:rPr>
    </w:lvl>
    <w:lvl w:ilvl="4">
      <w:start w:val="1"/>
      <w:numFmt w:val="decimal"/>
      <w:pStyle w:val="Kop5"/>
      <w:lvlText w:val="%1.%2.%3.%4.%5"/>
      <w:lvlJc w:val="left"/>
      <w:pPr>
        <w:tabs>
          <w:tab w:val="num" w:pos="1701"/>
        </w:tabs>
        <w:ind w:left="1701" w:hanging="1701"/>
      </w:pPr>
      <w:rPr>
        <w:rFonts w:hint="default"/>
      </w:rPr>
    </w:lvl>
    <w:lvl w:ilvl="5">
      <w:start w:val="1"/>
      <w:numFmt w:val="decimal"/>
      <w:pStyle w:val="Kop6"/>
      <w:lvlText w:val="%1.%2.%3.%4.%5.%6"/>
      <w:lvlJc w:val="left"/>
      <w:pPr>
        <w:tabs>
          <w:tab w:val="num" w:pos="1701"/>
        </w:tabs>
        <w:ind w:left="1701" w:hanging="1701"/>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nsid w:val="63CA7BC3"/>
    <w:multiLevelType w:val="multilevel"/>
    <w:tmpl w:val="DE5E64DC"/>
    <w:lvl w:ilvl="0">
      <w:start w:val="1"/>
      <w:numFmt w:val="decimal"/>
      <w:pStyle w:val="Samenvatting-Niveau1"/>
      <w:lvlText w:val="%1"/>
      <w:lvlJc w:val="left"/>
      <w:pPr>
        <w:tabs>
          <w:tab w:val="num" w:pos="1701"/>
        </w:tabs>
        <w:ind w:left="1701" w:hanging="1701"/>
      </w:pPr>
      <w:rPr>
        <w:rFonts w:hint="default"/>
      </w:rPr>
    </w:lvl>
    <w:lvl w:ilvl="1">
      <w:start w:val="1"/>
      <w:numFmt w:val="decimal"/>
      <w:pStyle w:val="Samenvatting-Niveau2"/>
      <w:lvlText w:val="%1.%2"/>
      <w:lvlJc w:val="left"/>
      <w:pPr>
        <w:tabs>
          <w:tab w:val="num" w:pos="1701"/>
        </w:tabs>
        <w:ind w:left="1701" w:hanging="1701"/>
      </w:pPr>
      <w:rPr>
        <w:rFonts w:hint="default"/>
      </w:rPr>
    </w:lvl>
    <w:lvl w:ilvl="2">
      <w:start w:val="1"/>
      <w:numFmt w:val="decimal"/>
      <w:pStyle w:val="Samenvatting-Niveau3"/>
      <w:lvlText w:val="%1.%2.%3"/>
      <w:lvlJc w:val="left"/>
      <w:pPr>
        <w:tabs>
          <w:tab w:val="num" w:pos="1701"/>
        </w:tabs>
        <w:ind w:left="1701" w:hanging="1701"/>
      </w:pPr>
      <w:rPr>
        <w:rFonts w:hint="default"/>
      </w:rPr>
    </w:lvl>
    <w:lvl w:ilvl="3">
      <w:start w:val="1"/>
      <w:numFmt w:val="decimal"/>
      <w:pStyle w:val="Samenvatting-Niveau4"/>
      <w:lvlText w:val="%1.%2.%3.%4"/>
      <w:lvlJc w:val="left"/>
      <w:pPr>
        <w:tabs>
          <w:tab w:val="num" w:pos="1701"/>
        </w:tabs>
        <w:ind w:left="1701" w:hanging="1701"/>
      </w:pPr>
      <w:rPr>
        <w:rFonts w:hint="default"/>
      </w:rPr>
    </w:lvl>
    <w:lvl w:ilvl="4">
      <w:start w:val="1"/>
      <w:numFmt w:val="decimal"/>
      <w:pStyle w:val="Samenvatting-Niveau5"/>
      <w:lvlText w:val="%1.%2.%3.%4.%5"/>
      <w:lvlJc w:val="left"/>
      <w:pPr>
        <w:tabs>
          <w:tab w:val="num" w:pos="1701"/>
        </w:tabs>
        <w:ind w:left="1701" w:hanging="1701"/>
      </w:pPr>
      <w:rPr>
        <w:rFonts w:hint="default"/>
      </w:rPr>
    </w:lvl>
    <w:lvl w:ilvl="5">
      <w:start w:val="1"/>
      <w:numFmt w:val="decimal"/>
      <w:pStyle w:val="Samenvatting-Niveau6"/>
      <w:lvlText w:val="%1.%2.%3.%4.%5.%6"/>
      <w:lvlJc w:val="left"/>
      <w:pPr>
        <w:tabs>
          <w:tab w:val="num" w:pos="1701"/>
        </w:tabs>
        <w:ind w:left="1701" w:hanging="1701"/>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750769CD"/>
    <w:multiLevelType w:val="hybridMultilevel"/>
    <w:tmpl w:val="658C13FA"/>
    <w:lvl w:ilvl="0" w:tplc="399EB056">
      <w:start w:val="1"/>
      <w:numFmt w:val="decimal"/>
      <w:pStyle w:val="Subbijlage"/>
      <w:lvlText w:val="Bijlage %1"/>
      <w:lvlJc w:val="left"/>
      <w:pPr>
        <w:tabs>
          <w:tab w:val="num" w:pos="0"/>
        </w:tabs>
        <w:ind w:left="1701" w:hanging="170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75A57F3F"/>
    <w:multiLevelType w:val="hybridMultilevel"/>
    <w:tmpl w:val="44E223FC"/>
    <w:lvl w:ilvl="0" w:tplc="3E5816BA">
      <w:start w:val="1"/>
      <w:numFmt w:val="bullet"/>
      <w:lvlText w:val=""/>
      <w:lvlJc w:val="left"/>
      <w:pPr>
        <w:ind w:left="2345" w:hanging="360"/>
      </w:pPr>
      <w:rPr>
        <w:rFonts w:ascii="Wingdings" w:eastAsiaTheme="minorHAnsi" w:hAnsi="Wingdings" w:cstheme="minorBidi"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5">
    <w:nsid w:val="778B5ECB"/>
    <w:multiLevelType w:val="multilevel"/>
    <w:tmpl w:val="6E181BEA"/>
    <w:lvl w:ilvl="0">
      <w:start w:val="1"/>
      <w:numFmt w:val="lowerLetter"/>
      <w:pStyle w:val="OpsommingLetter0"/>
      <w:lvlText w:val="%1)"/>
      <w:lvlJc w:val="left"/>
      <w:pPr>
        <w:ind w:left="284" w:hanging="284"/>
      </w:pPr>
      <w:rPr>
        <w:rFonts w:hint="default"/>
      </w:rPr>
    </w:lvl>
    <w:lvl w:ilvl="1">
      <w:start w:val="1"/>
      <w:numFmt w:val="none"/>
      <w:lvlText w:val="%2."/>
      <w:lvlJc w:val="left"/>
      <w:pPr>
        <w:ind w:left="284" w:hanging="284"/>
      </w:pPr>
      <w:rPr>
        <w:rFonts w:hint="default"/>
      </w:rPr>
    </w:lvl>
    <w:lvl w:ilvl="2">
      <w:start w:val="1"/>
      <w:numFmt w:val="none"/>
      <w:lvlText w:val="%3."/>
      <w:lvlJc w:val="right"/>
      <w:pPr>
        <w:ind w:left="284" w:hanging="284"/>
      </w:pPr>
      <w:rPr>
        <w:rFonts w:hint="default"/>
      </w:rPr>
    </w:lvl>
    <w:lvl w:ilvl="3">
      <w:start w:val="1"/>
      <w:numFmt w:val="none"/>
      <w:lvlText w:val="%4."/>
      <w:lvlJc w:val="left"/>
      <w:pPr>
        <w:ind w:left="284" w:hanging="284"/>
      </w:pPr>
      <w:rPr>
        <w:rFonts w:hint="default"/>
      </w:rPr>
    </w:lvl>
    <w:lvl w:ilvl="4">
      <w:start w:val="1"/>
      <w:numFmt w:val="none"/>
      <w:lvlText w:val="%5."/>
      <w:lvlJc w:val="left"/>
      <w:pPr>
        <w:ind w:left="284" w:hanging="284"/>
      </w:pPr>
      <w:rPr>
        <w:rFonts w:hint="default"/>
      </w:rPr>
    </w:lvl>
    <w:lvl w:ilvl="5">
      <w:start w:val="1"/>
      <w:numFmt w:val="none"/>
      <w:lvlText w:val="%6."/>
      <w:lvlJc w:val="right"/>
      <w:pPr>
        <w:ind w:left="284" w:hanging="284"/>
      </w:pPr>
      <w:rPr>
        <w:rFonts w:hint="default"/>
      </w:rPr>
    </w:lvl>
    <w:lvl w:ilvl="6">
      <w:start w:val="1"/>
      <w:numFmt w:val="none"/>
      <w:lvlText w:val="%7."/>
      <w:lvlJc w:val="left"/>
      <w:pPr>
        <w:ind w:left="284" w:hanging="284"/>
      </w:pPr>
      <w:rPr>
        <w:rFonts w:hint="default"/>
      </w:rPr>
    </w:lvl>
    <w:lvl w:ilvl="7">
      <w:start w:val="1"/>
      <w:numFmt w:val="none"/>
      <w:lvlText w:val="%8."/>
      <w:lvlJc w:val="left"/>
      <w:pPr>
        <w:ind w:left="284" w:hanging="284"/>
      </w:pPr>
      <w:rPr>
        <w:rFonts w:hint="default"/>
      </w:rPr>
    </w:lvl>
    <w:lvl w:ilvl="8">
      <w:start w:val="1"/>
      <w:numFmt w:val="none"/>
      <w:lvlText w:val="%9."/>
      <w:lvlJc w:val="right"/>
      <w:pPr>
        <w:ind w:left="284" w:hanging="284"/>
      </w:pPr>
      <w:rPr>
        <w:rFonts w:hint="default"/>
      </w:rPr>
    </w:lvl>
  </w:abstractNum>
  <w:num w:numId="1">
    <w:abstractNumId w:val="7"/>
  </w:num>
  <w:num w:numId="2">
    <w:abstractNumId w:val="11"/>
  </w:num>
  <w:num w:numId="3">
    <w:abstractNumId w:val="5"/>
  </w:num>
  <w:num w:numId="4">
    <w:abstractNumId w:val="8"/>
  </w:num>
  <w:num w:numId="5">
    <w:abstractNumId w:val="1"/>
  </w:num>
  <w:num w:numId="6">
    <w:abstractNumId w:val="6"/>
  </w:num>
  <w:num w:numId="7">
    <w:abstractNumId w:val="12"/>
  </w:num>
  <w:num w:numId="8">
    <w:abstractNumId w:val="13"/>
  </w:num>
  <w:num w:numId="9">
    <w:abstractNumId w:val="10"/>
  </w:num>
  <w:num w:numId="10">
    <w:abstractNumId w:val="9"/>
  </w:num>
  <w:num w:numId="11">
    <w:abstractNumId w:val="15"/>
  </w:num>
  <w:num w:numId="12">
    <w:abstractNumId w:val="2"/>
  </w:num>
  <w:num w:numId="13">
    <w:abstractNumId w:val="0"/>
  </w:num>
  <w:num w:numId="14">
    <w:abstractNumId w:val="3"/>
  </w:num>
  <w:num w:numId="15">
    <w:abstractNumId w:val="4"/>
  </w:num>
  <w:num w:numId="16">
    <w:abstractNumId w:val="14"/>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a van Breugel">
    <w15:presenceInfo w15:providerId="AD" w15:userId="S-1-5-21-1086523440-118754835-1136263860-1245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59"/>
    <w:rsid w:val="000066FC"/>
    <w:rsid w:val="000146C0"/>
    <w:rsid w:val="00016EE2"/>
    <w:rsid w:val="00031D0D"/>
    <w:rsid w:val="00054C49"/>
    <w:rsid w:val="00055943"/>
    <w:rsid w:val="00063BC5"/>
    <w:rsid w:val="00071D84"/>
    <w:rsid w:val="00074CD5"/>
    <w:rsid w:val="0008280E"/>
    <w:rsid w:val="00091DE3"/>
    <w:rsid w:val="00096CD9"/>
    <w:rsid w:val="00097928"/>
    <w:rsid w:val="000B4206"/>
    <w:rsid w:val="000B5266"/>
    <w:rsid w:val="000D7FBE"/>
    <w:rsid w:val="000F5040"/>
    <w:rsid w:val="0011171B"/>
    <w:rsid w:val="001176D9"/>
    <w:rsid w:val="00132CFC"/>
    <w:rsid w:val="00145374"/>
    <w:rsid w:val="00181E39"/>
    <w:rsid w:val="001A5BD5"/>
    <w:rsid w:val="001E0C58"/>
    <w:rsid w:val="001F037F"/>
    <w:rsid w:val="001F2D56"/>
    <w:rsid w:val="001F659A"/>
    <w:rsid w:val="0022230A"/>
    <w:rsid w:val="0022765A"/>
    <w:rsid w:val="0023061B"/>
    <w:rsid w:val="002475BD"/>
    <w:rsid w:val="002634F6"/>
    <w:rsid w:val="00265A16"/>
    <w:rsid w:val="00267C1E"/>
    <w:rsid w:val="002820B0"/>
    <w:rsid w:val="00282FAB"/>
    <w:rsid w:val="002C6352"/>
    <w:rsid w:val="002D789E"/>
    <w:rsid w:val="002E2E2E"/>
    <w:rsid w:val="002E67F5"/>
    <w:rsid w:val="0032332B"/>
    <w:rsid w:val="00367024"/>
    <w:rsid w:val="00372D59"/>
    <w:rsid w:val="00393F5C"/>
    <w:rsid w:val="003B7434"/>
    <w:rsid w:val="003B7449"/>
    <w:rsid w:val="003C7E4E"/>
    <w:rsid w:val="003D3810"/>
    <w:rsid w:val="003E62D6"/>
    <w:rsid w:val="004019F0"/>
    <w:rsid w:val="00422A5F"/>
    <w:rsid w:val="00440FCE"/>
    <w:rsid w:val="00442051"/>
    <w:rsid w:val="00442871"/>
    <w:rsid w:val="00464CE4"/>
    <w:rsid w:val="00473FF0"/>
    <w:rsid w:val="004913C6"/>
    <w:rsid w:val="004A0FC4"/>
    <w:rsid w:val="004B0CC4"/>
    <w:rsid w:val="004B351A"/>
    <w:rsid w:val="004E38B1"/>
    <w:rsid w:val="004E3C8F"/>
    <w:rsid w:val="004F0D8E"/>
    <w:rsid w:val="00506899"/>
    <w:rsid w:val="00525D79"/>
    <w:rsid w:val="00565D4B"/>
    <w:rsid w:val="00573A57"/>
    <w:rsid w:val="005800A7"/>
    <w:rsid w:val="005821F0"/>
    <w:rsid w:val="005926CC"/>
    <w:rsid w:val="005A2841"/>
    <w:rsid w:val="005A439E"/>
    <w:rsid w:val="005A5DDB"/>
    <w:rsid w:val="005C6447"/>
    <w:rsid w:val="005D21D3"/>
    <w:rsid w:val="005E00D6"/>
    <w:rsid w:val="006036E7"/>
    <w:rsid w:val="00616D57"/>
    <w:rsid w:val="00625ED1"/>
    <w:rsid w:val="00627590"/>
    <w:rsid w:val="00627D9B"/>
    <w:rsid w:val="00640ADA"/>
    <w:rsid w:val="00646A28"/>
    <w:rsid w:val="00661D9E"/>
    <w:rsid w:val="006620B9"/>
    <w:rsid w:val="00663773"/>
    <w:rsid w:val="00691FFC"/>
    <w:rsid w:val="00696E94"/>
    <w:rsid w:val="006A1A2A"/>
    <w:rsid w:val="006B41B9"/>
    <w:rsid w:val="006C6A77"/>
    <w:rsid w:val="006F1951"/>
    <w:rsid w:val="00702BF2"/>
    <w:rsid w:val="0071133F"/>
    <w:rsid w:val="00712774"/>
    <w:rsid w:val="0073671C"/>
    <w:rsid w:val="00742FF8"/>
    <w:rsid w:val="00746E24"/>
    <w:rsid w:val="0075552A"/>
    <w:rsid w:val="00770759"/>
    <w:rsid w:val="007A7283"/>
    <w:rsid w:val="007C6DA2"/>
    <w:rsid w:val="007C76BB"/>
    <w:rsid w:val="007E1994"/>
    <w:rsid w:val="007E3324"/>
    <w:rsid w:val="007E74D1"/>
    <w:rsid w:val="007F7FA0"/>
    <w:rsid w:val="00804FCA"/>
    <w:rsid w:val="00805384"/>
    <w:rsid w:val="00805D77"/>
    <w:rsid w:val="0081589A"/>
    <w:rsid w:val="00817913"/>
    <w:rsid w:val="008252A7"/>
    <w:rsid w:val="00827553"/>
    <w:rsid w:val="00827C24"/>
    <w:rsid w:val="008469F6"/>
    <w:rsid w:val="0085305C"/>
    <w:rsid w:val="00854950"/>
    <w:rsid w:val="00884ABF"/>
    <w:rsid w:val="008A5618"/>
    <w:rsid w:val="008A6538"/>
    <w:rsid w:val="008B78B8"/>
    <w:rsid w:val="008C149F"/>
    <w:rsid w:val="00926152"/>
    <w:rsid w:val="00940BE1"/>
    <w:rsid w:val="00945925"/>
    <w:rsid w:val="009947B0"/>
    <w:rsid w:val="009A5391"/>
    <w:rsid w:val="009D5146"/>
    <w:rsid w:val="009D754B"/>
    <w:rsid w:val="009D7DED"/>
    <w:rsid w:val="009F4EA9"/>
    <w:rsid w:val="00A020B3"/>
    <w:rsid w:val="00A10278"/>
    <w:rsid w:val="00A15D79"/>
    <w:rsid w:val="00A56263"/>
    <w:rsid w:val="00A63A27"/>
    <w:rsid w:val="00A779AE"/>
    <w:rsid w:val="00A8678C"/>
    <w:rsid w:val="00A94805"/>
    <w:rsid w:val="00AA0728"/>
    <w:rsid w:val="00AC3EDC"/>
    <w:rsid w:val="00AE24C1"/>
    <w:rsid w:val="00AE2A30"/>
    <w:rsid w:val="00B0343E"/>
    <w:rsid w:val="00B2466B"/>
    <w:rsid w:val="00B32A8A"/>
    <w:rsid w:val="00B35EEC"/>
    <w:rsid w:val="00B36820"/>
    <w:rsid w:val="00B618F0"/>
    <w:rsid w:val="00B76C0A"/>
    <w:rsid w:val="00B87DA5"/>
    <w:rsid w:val="00BA49E0"/>
    <w:rsid w:val="00BC6E71"/>
    <w:rsid w:val="00BE5E1E"/>
    <w:rsid w:val="00BE5F6F"/>
    <w:rsid w:val="00BF65A4"/>
    <w:rsid w:val="00C12E90"/>
    <w:rsid w:val="00C165C3"/>
    <w:rsid w:val="00C22CDE"/>
    <w:rsid w:val="00C32F93"/>
    <w:rsid w:val="00C33FAC"/>
    <w:rsid w:val="00C40E5C"/>
    <w:rsid w:val="00C532E8"/>
    <w:rsid w:val="00C728D6"/>
    <w:rsid w:val="00C74FD2"/>
    <w:rsid w:val="00CC0B18"/>
    <w:rsid w:val="00CC3B0B"/>
    <w:rsid w:val="00CD1DFD"/>
    <w:rsid w:val="00CD38D4"/>
    <w:rsid w:val="00CE5A6E"/>
    <w:rsid w:val="00CF190F"/>
    <w:rsid w:val="00CF5A02"/>
    <w:rsid w:val="00D5079D"/>
    <w:rsid w:val="00D65A2A"/>
    <w:rsid w:val="00D760F4"/>
    <w:rsid w:val="00D87833"/>
    <w:rsid w:val="00D95D49"/>
    <w:rsid w:val="00DA3109"/>
    <w:rsid w:val="00DA4999"/>
    <w:rsid w:val="00DA6BA1"/>
    <w:rsid w:val="00DB7EF9"/>
    <w:rsid w:val="00DC5690"/>
    <w:rsid w:val="00DC6654"/>
    <w:rsid w:val="00DC7BD4"/>
    <w:rsid w:val="00DC7E05"/>
    <w:rsid w:val="00E008F5"/>
    <w:rsid w:val="00E119AA"/>
    <w:rsid w:val="00E14D6D"/>
    <w:rsid w:val="00E779BF"/>
    <w:rsid w:val="00E850FB"/>
    <w:rsid w:val="00EA7A90"/>
    <w:rsid w:val="00EB1C73"/>
    <w:rsid w:val="00EB325E"/>
    <w:rsid w:val="00EB3E70"/>
    <w:rsid w:val="00EB7954"/>
    <w:rsid w:val="00ED5138"/>
    <w:rsid w:val="00EF5350"/>
    <w:rsid w:val="00F06742"/>
    <w:rsid w:val="00F14054"/>
    <w:rsid w:val="00F46B1B"/>
    <w:rsid w:val="00F642E9"/>
    <w:rsid w:val="00F6435F"/>
    <w:rsid w:val="00F741E6"/>
    <w:rsid w:val="00F85260"/>
    <w:rsid w:val="00F85721"/>
    <w:rsid w:val="00F86B04"/>
    <w:rsid w:val="00FB714A"/>
    <w:rsid w:val="00FD35B6"/>
    <w:rsid w:val="00FE48DC"/>
    <w:rsid w:val="00FF14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qFormat="1"/>
    <w:lsdException w:name="caption" w:uiPriority="0" w:qFormat="1"/>
    <w:lsdException w:name="table of figures"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A94805"/>
    <w:pPr>
      <w:spacing w:before="60" w:after="60" w:line="280" w:lineRule="atLeast"/>
    </w:pPr>
    <w:rPr>
      <w:rFonts w:ascii="Arial" w:hAnsi="Arial"/>
      <w:sz w:val="20"/>
    </w:rPr>
  </w:style>
  <w:style w:type="paragraph" w:styleId="Kop1">
    <w:name w:val="heading 1"/>
    <w:aliases w:val="- Niveau 1"/>
    <w:basedOn w:val="Standaard"/>
    <w:next w:val="ARCADISStandaard"/>
    <w:link w:val="Kop1Char"/>
    <w:qFormat/>
    <w:rsid w:val="009D754B"/>
    <w:pPr>
      <w:keepNext/>
      <w:numPr>
        <w:numId w:val="2"/>
      </w:numPr>
      <w:spacing w:before="320" w:after="240"/>
      <w:outlineLvl w:val="0"/>
    </w:pPr>
    <w:rPr>
      <w:rFonts w:cs="Arial"/>
      <w:b/>
      <w:bCs/>
      <w:color w:val="0079A2"/>
      <w:kern w:val="32"/>
      <w:sz w:val="28"/>
      <w:szCs w:val="32"/>
    </w:rPr>
  </w:style>
  <w:style w:type="paragraph" w:styleId="Kop2">
    <w:name w:val="heading 2"/>
    <w:aliases w:val="- Niveau 2"/>
    <w:basedOn w:val="Standaard"/>
    <w:next w:val="ARCADISStandaard"/>
    <w:link w:val="Kop2Char"/>
    <w:qFormat/>
    <w:rsid w:val="009D754B"/>
    <w:pPr>
      <w:keepNext/>
      <w:numPr>
        <w:ilvl w:val="1"/>
        <w:numId w:val="2"/>
      </w:numPr>
      <w:spacing w:before="180" w:after="120"/>
      <w:outlineLvl w:val="1"/>
    </w:pPr>
    <w:rPr>
      <w:rFonts w:cs="Arial"/>
      <w:b/>
      <w:bCs/>
      <w:iCs/>
      <w:color w:val="0079A2"/>
      <w:sz w:val="24"/>
      <w:szCs w:val="28"/>
    </w:rPr>
  </w:style>
  <w:style w:type="paragraph" w:styleId="Kop3">
    <w:name w:val="heading 3"/>
    <w:aliases w:val="- Niveau 3"/>
    <w:basedOn w:val="Standaard"/>
    <w:next w:val="ARCADISStandaard"/>
    <w:link w:val="Kop3Char"/>
    <w:qFormat/>
    <w:rsid w:val="009D754B"/>
    <w:pPr>
      <w:keepNext/>
      <w:numPr>
        <w:ilvl w:val="2"/>
        <w:numId w:val="2"/>
      </w:numPr>
      <w:spacing w:before="120"/>
      <w:outlineLvl w:val="2"/>
    </w:pPr>
    <w:rPr>
      <w:rFonts w:cs="Arial"/>
      <w:b/>
      <w:bCs/>
      <w:color w:val="0079A2"/>
      <w:szCs w:val="26"/>
    </w:rPr>
  </w:style>
  <w:style w:type="paragraph" w:styleId="Kop4">
    <w:name w:val="heading 4"/>
    <w:aliases w:val="- Niveau 4"/>
    <w:basedOn w:val="Standaard"/>
    <w:next w:val="ARCADISStandaard"/>
    <w:link w:val="Kop4Char"/>
    <w:qFormat/>
    <w:rsid w:val="009D754B"/>
    <w:pPr>
      <w:keepNext/>
      <w:numPr>
        <w:ilvl w:val="3"/>
        <w:numId w:val="2"/>
      </w:numPr>
      <w:outlineLvl w:val="3"/>
    </w:pPr>
    <w:rPr>
      <w:bCs/>
      <w:color w:val="0079A2"/>
      <w:szCs w:val="28"/>
    </w:rPr>
  </w:style>
  <w:style w:type="paragraph" w:styleId="Kop5">
    <w:name w:val="heading 5"/>
    <w:aliases w:val="- Niveau 5"/>
    <w:basedOn w:val="Standaard"/>
    <w:next w:val="ARCADISStandaard"/>
    <w:link w:val="Kop5Char"/>
    <w:qFormat/>
    <w:rsid w:val="009D754B"/>
    <w:pPr>
      <w:keepNext/>
      <w:numPr>
        <w:ilvl w:val="4"/>
        <w:numId w:val="2"/>
      </w:numPr>
      <w:outlineLvl w:val="4"/>
    </w:pPr>
    <w:rPr>
      <w:bCs/>
      <w:iCs/>
      <w:color w:val="0079A2"/>
      <w:szCs w:val="26"/>
    </w:rPr>
  </w:style>
  <w:style w:type="paragraph" w:styleId="Kop6">
    <w:name w:val="heading 6"/>
    <w:aliases w:val="- Niveau 6"/>
    <w:basedOn w:val="Standaard"/>
    <w:next w:val="ARCADISStandaard"/>
    <w:link w:val="Kop6Char"/>
    <w:qFormat/>
    <w:rsid w:val="009D754B"/>
    <w:pPr>
      <w:keepNext/>
      <w:numPr>
        <w:ilvl w:val="5"/>
        <w:numId w:val="2"/>
      </w:numPr>
      <w:outlineLvl w:val="5"/>
    </w:pPr>
    <w:rPr>
      <w:bCs/>
      <w:color w:val="0079A2"/>
    </w:rPr>
  </w:style>
  <w:style w:type="paragraph" w:styleId="Kop7">
    <w:name w:val="heading 7"/>
    <w:aliases w:val="Niveau 7"/>
    <w:basedOn w:val="ARCADISStandaard"/>
    <w:next w:val="ARCADISStandaard"/>
    <w:link w:val="Kop7Char"/>
    <w:uiPriority w:val="9"/>
    <w:qFormat/>
    <w:rsid w:val="009D754B"/>
    <w:pPr>
      <w:keepNext/>
      <w:keepLines/>
      <w:outlineLvl w:val="6"/>
    </w:pPr>
    <w:rPr>
      <w:rFonts w:eastAsiaTheme="majorEastAsia" w:cstheme="majorBidi"/>
      <w:b/>
      <w:iCs/>
      <w:color w:val="404040" w:themeColor="text1" w:themeTint="BF"/>
      <w:u w:val="single"/>
    </w:rPr>
  </w:style>
  <w:style w:type="paragraph" w:styleId="Kop8">
    <w:name w:val="heading 8"/>
    <w:aliases w:val="Niveau 8"/>
    <w:basedOn w:val="Kop7"/>
    <w:next w:val="ARCADISStandaard"/>
    <w:link w:val="Kop8Char"/>
    <w:uiPriority w:val="9"/>
    <w:qFormat/>
    <w:rsid w:val="009D754B"/>
    <w:pPr>
      <w:outlineLvl w:val="7"/>
    </w:pPr>
    <w:rPr>
      <w:szCs w:val="20"/>
      <w:u w:val="none"/>
    </w:rPr>
  </w:style>
  <w:style w:type="paragraph" w:styleId="Kop9">
    <w:name w:val="heading 9"/>
    <w:aliases w:val="Niveau 9"/>
    <w:basedOn w:val="Kop8"/>
    <w:next w:val="ARCADISStandaard"/>
    <w:link w:val="Kop9Char"/>
    <w:uiPriority w:val="9"/>
    <w:qFormat/>
    <w:rsid w:val="009D754B"/>
    <w:pPr>
      <w:outlineLvl w:val="8"/>
    </w:pPr>
    <w:rPr>
      <w:b w:val="0"/>
      <w:i/>
      <w:i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CADISStandaard">
    <w:name w:val="ARCADIS Standaard"/>
    <w:basedOn w:val="Standaard"/>
    <w:qFormat/>
    <w:rsid w:val="009D754B"/>
    <w:pPr>
      <w:ind w:left="1701"/>
    </w:pPr>
  </w:style>
  <w:style w:type="table" w:customStyle="1" w:styleId="ARCADIStab1">
    <w:name w:val="ARCADIS_tab1"/>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tblStylePr w:type="lastRow">
      <w:tblPr/>
      <w:tcPr>
        <w:shd w:val="clear" w:color="auto" w:fill="BFBFBF" w:themeFill="background1" w:themeFillShade="BF"/>
      </w:tcPr>
    </w:tblStylePr>
    <w:tblStylePr w:type="firstCol">
      <w:rPr>
        <w:b/>
      </w:rPr>
      <w:tblPr/>
      <w:tcPr>
        <w:shd w:val="clear" w:color="auto" w:fill="BFBFBF" w:themeFill="background1" w:themeFillShade="BF"/>
      </w:tcPr>
    </w:tblStylePr>
  </w:style>
  <w:style w:type="table" w:customStyle="1" w:styleId="ARCADIStab2">
    <w:name w:val="ARCADIS_tab2"/>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A6A6A6" w:themeFill="background1" w:themeFillShade="A6"/>
      </w:tcPr>
    </w:tblStylePr>
  </w:style>
  <w:style w:type="table" w:customStyle="1" w:styleId="ARCADIStab3">
    <w:name w:val="ARCADIS_tab3"/>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079A3"/>
      </w:tcPr>
    </w:tblStylePr>
  </w:style>
  <w:style w:type="table" w:customStyle="1" w:styleId="ARCADIStab4">
    <w:name w:val="ARCADIS_tab4"/>
    <w:basedOn w:val="Standaardtabel"/>
    <w:uiPriority w:val="99"/>
    <w:qFormat/>
    <w:rsid w:val="009D754B"/>
    <w:pPr>
      <w:spacing w:after="0" w:line="240" w:lineRule="auto"/>
    </w:pPr>
    <w:rPr>
      <w:rFonts w:ascii="Arial" w:hAnsi="Arial"/>
      <w:sz w:val="18"/>
    </w:rPr>
    <w:tblPr>
      <w:tblStyleRowBandSize w:val="1"/>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Pr>
    <w:tblStylePr w:type="firstRow">
      <w:rPr>
        <w:rFonts w:ascii="Arial" w:hAnsi="Arial"/>
        <w:b/>
        <w:color w:val="FFFFFF" w:themeColor="background1"/>
        <w:sz w:val="18"/>
      </w:rPr>
      <w:tblPr/>
      <w:tcPr>
        <w:shd w:val="clear" w:color="auto" w:fill="0079A3"/>
      </w:tcPr>
    </w:tblStylePr>
    <w:tblStylePr w:type="band2Horz">
      <w:rPr>
        <w:color w:val="FFFFFF" w:themeColor="background1"/>
      </w:rPr>
      <w:tblPr/>
      <w:tcPr>
        <w:shd w:val="clear" w:color="auto" w:fill="0079A3"/>
      </w:tcPr>
    </w:tblStylePr>
  </w:style>
  <w:style w:type="table" w:customStyle="1" w:styleId="ARCADIStab5">
    <w:name w:val="ARCADIS_tab5"/>
    <w:basedOn w:val="Standaardtabel"/>
    <w:uiPriority w:val="99"/>
    <w:qFormat/>
    <w:rsid w:val="009D754B"/>
    <w:pPr>
      <w:spacing w:after="0" w:line="240" w:lineRule="auto"/>
    </w:pPr>
    <w:rPr>
      <w:rFonts w:ascii="Arial" w:hAnsi="Arial"/>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tblStylePr w:type="band2Horz">
      <w:pPr>
        <w:jc w:val="left"/>
      </w:pPr>
      <w:rPr>
        <w:b w:val="0"/>
      </w:rPr>
      <w:tblPr/>
      <w:tcPr>
        <w:shd w:val="clear" w:color="auto" w:fill="BFBFBF" w:themeFill="background1" w:themeFillShade="BF"/>
      </w:tcPr>
    </w:tblStylePr>
  </w:style>
  <w:style w:type="table" w:customStyle="1" w:styleId="ARCADIStab6">
    <w:name w:val="ARCADIS_tab6"/>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079A2"/>
      </w:tcPr>
    </w:tblStylePr>
    <w:tblStylePr w:type="firstCol">
      <w:rPr>
        <w:b/>
        <w:color w:val="FFFFFF" w:themeColor="background1"/>
      </w:rPr>
      <w:tblPr/>
      <w:tcPr>
        <w:shd w:val="clear" w:color="auto" w:fill="0079A2"/>
      </w:tcPr>
    </w:tblStylePr>
  </w:style>
  <w:style w:type="paragraph" w:customStyle="1" w:styleId="Artikel">
    <w:name w:val="Artikel"/>
    <w:basedOn w:val="Standaard"/>
    <w:next w:val="Standaard"/>
    <w:qFormat/>
    <w:rsid w:val="009D754B"/>
    <w:pPr>
      <w:numPr>
        <w:numId w:val="1"/>
      </w:numPr>
    </w:pPr>
    <w:rPr>
      <w:b/>
    </w:rPr>
  </w:style>
  <w:style w:type="paragraph" w:styleId="Ballontekst">
    <w:name w:val="Balloon Text"/>
    <w:basedOn w:val="Standaard"/>
    <w:link w:val="BallontekstChar"/>
    <w:uiPriority w:val="99"/>
    <w:semiHidden/>
    <w:rsid w:val="009D75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754B"/>
    <w:rPr>
      <w:rFonts w:ascii="Tahoma" w:hAnsi="Tahoma" w:cs="Tahoma"/>
      <w:sz w:val="16"/>
      <w:szCs w:val="16"/>
    </w:rPr>
  </w:style>
  <w:style w:type="character" w:customStyle="1" w:styleId="Kop1Char">
    <w:name w:val="Kop 1 Char"/>
    <w:aliases w:val="- Niveau 1 Char"/>
    <w:basedOn w:val="Standaardalinea-lettertype"/>
    <w:link w:val="Kop1"/>
    <w:rsid w:val="009D754B"/>
    <w:rPr>
      <w:rFonts w:ascii="Arial" w:hAnsi="Arial" w:cs="Arial"/>
      <w:b/>
      <w:bCs/>
      <w:color w:val="0079A2"/>
      <w:kern w:val="32"/>
      <w:sz w:val="28"/>
      <w:szCs w:val="32"/>
    </w:rPr>
  </w:style>
  <w:style w:type="character" w:customStyle="1" w:styleId="Kop2Char">
    <w:name w:val="Kop 2 Char"/>
    <w:aliases w:val="- Niveau 2 Char"/>
    <w:basedOn w:val="Standaardalinea-lettertype"/>
    <w:link w:val="Kop2"/>
    <w:rsid w:val="009D754B"/>
    <w:rPr>
      <w:rFonts w:ascii="Arial" w:hAnsi="Arial" w:cs="Arial"/>
      <w:b/>
      <w:bCs/>
      <w:iCs/>
      <w:color w:val="0079A2"/>
      <w:sz w:val="24"/>
      <w:szCs w:val="28"/>
    </w:rPr>
  </w:style>
  <w:style w:type="character" w:customStyle="1" w:styleId="Kop3Char">
    <w:name w:val="Kop 3 Char"/>
    <w:aliases w:val="- Niveau 3 Char"/>
    <w:basedOn w:val="Standaardalinea-lettertype"/>
    <w:link w:val="Kop3"/>
    <w:rsid w:val="009D754B"/>
    <w:rPr>
      <w:rFonts w:ascii="Arial" w:hAnsi="Arial" w:cs="Arial"/>
      <w:b/>
      <w:bCs/>
      <w:color w:val="0079A2"/>
      <w:sz w:val="20"/>
      <w:szCs w:val="26"/>
    </w:rPr>
  </w:style>
  <w:style w:type="character" w:customStyle="1" w:styleId="Kop4Char">
    <w:name w:val="Kop 4 Char"/>
    <w:aliases w:val="- Niveau 4 Char"/>
    <w:basedOn w:val="Standaardalinea-lettertype"/>
    <w:link w:val="Kop4"/>
    <w:rsid w:val="009D754B"/>
    <w:rPr>
      <w:rFonts w:ascii="Arial" w:hAnsi="Arial"/>
      <w:bCs/>
      <w:color w:val="0079A2"/>
      <w:sz w:val="20"/>
      <w:szCs w:val="28"/>
    </w:rPr>
  </w:style>
  <w:style w:type="character" w:customStyle="1" w:styleId="Kop5Char">
    <w:name w:val="Kop 5 Char"/>
    <w:aliases w:val="- Niveau 5 Char"/>
    <w:basedOn w:val="Standaardalinea-lettertype"/>
    <w:link w:val="Kop5"/>
    <w:rsid w:val="009D754B"/>
    <w:rPr>
      <w:rFonts w:ascii="Arial" w:hAnsi="Arial"/>
      <w:bCs/>
      <w:iCs/>
      <w:color w:val="0079A2"/>
      <w:sz w:val="20"/>
      <w:szCs w:val="26"/>
    </w:rPr>
  </w:style>
  <w:style w:type="character" w:customStyle="1" w:styleId="Kop6Char">
    <w:name w:val="Kop 6 Char"/>
    <w:aliases w:val="- Niveau 6 Char"/>
    <w:basedOn w:val="Standaardalinea-lettertype"/>
    <w:link w:val="Kop6"/>
    <w:rsid w:val="009D754B"/>
    <w:rPr>
      <w:rFonts w:ascii="Arial" w:hAnsi="Arial"/>
      <w:bCs/>
      <w:color w:val="0079A2"/>
      <w:sz w:val="20"/>
    </w:rPr>
  </w:style>
  <w:style w:type="character" w:customStyle="1" w:styleId="Kop7Char">
    <w:name w:val="Kop 7 Char"/>
    <w:aliases w:val="Niveau 7 Char"/>
    <w:basedOn w:val="Standaardalinea-lettertype"/>
    <w:link w:val="Kop7"/>
    <w:uiPriority w:val="9"/>
    <w:rsid w:val="009D754B"/>
    <w:rPr>
      <w:rFonts w:ascii="Arial" w:eastAsiaTheme="majorEastAsia" w:hAnsi="Arial" w:cstheme="majorBidi"/>
      <w:b/>
      <w:iCs/>
      <w:color w:val="404040" w:themeColor="text1" w:themeTint="BF"/>
      <w:sz w:val="20"/>
      <w:u w:val="single"/>
    </w:rPr>
  </w:style>
  <w:style w:type="character" w:customStyle="1" w:styleId="Kop8Char">
    <w:name w:val="Kop 8 Char"/>
    <w:aliases w:val="Niveau 8 Char"/>
    <w:basedOn w:val="Standaardalinea-lettertype"/>
    <w:link w:val="Kop8"/>
    <w:uiPriority w:val="9"/>
    <w:rsid w:val="009D754B"/>
    <w:rPr>
      <w:rFonts w:ascii="Arial" w:eastAsiaTheme="majorEastAsia" w:hAnsi="Arial" w:cstheme="majorBidi"/>
      <w:b/>
      <w:iCs/>
      <w:color w:val="404040" w:themeColor="text1" w:themeTint="BF"/>
      <w:sz w:val="20"/>
      <w:szCs w:val="20"/>
    </w:rPr>
  </w:style>
  <w:style w:type="character" w:customStyle="1" w:styleId="Kop9Char">
    <w:name w:val="Kop 9 Char"/>
    <w:aliases w:val="Niveau 9 Char"/>
    <w:basedOn w:val="Standaardalinea-lettertype"/>
    <w:link w:val="Kop9"/>
    <w:uiPriority w:val="9"/>
    <w:rsid w:val="009D754B"/>
    <w:rPr>
      <w:rFonts w:ascii="Arial" w:eastAsiaTheme="majorEastAsia" w:hAnsi="Arial" w:cstheme="majorBidi"/>
      <w:i/>
      <w:color w:val="404040" w:themeColor="text1" w:themeTint="BF"/>
      <w:sz w:val="20"/>
      <w:szCs w:val="20"/>
    </w:rPr>
  </w:style>
  <w:style w:type="character" w:styleId="Eindnootmarkering">
    <w:name w:val="endnote reference"/>
    <w:basedOn w:val="Standaardalinea-lettertype"/>
    <w:uiPriority w:val="99"/>
    <w:rsid w:val="00CC3B0B"/>
    <w:rPr>
      <w:sz w:val="16"/>
      <w:vertAlign w:val="superscript"/>
    </w:rPr>
  </w:style>
  <w:style w:type="paragraph" w:styleId="Eindnoottekst">
    <w:name w:val="endnote text"/>
    <w:basedOn w:val="Standaard"/>
    <w:link w:val="EindnoottekstChar"/>
    <w:autoRedefine/>
    <w:uiPriority w:val="99"/>
    <w:rsid w:val="00CC3B0B"/>
    <w:pPr>
      <w:spacing w:after="0" w:line="240" w:lineRule="auto"/>
    </w:pPr>
    <w:rPr>
      <w:sz w:val="16"/>
      <w:szCs w:val="20"/>
    </w:rPr>
  </w:style>
  <w:style w:type="character" w:customStyle="1" w:styleId="EindnoottekstChar">
    <w:name w:val="Eindnoottekst Char"/>
    <w:basedOn w:val="Standaardalinea-lettertype"/>
    <w:link w:val="Eindnoottekst"/>
    <w:uiPriority w:val="99"/>
    <w:rsid w:val="00CC3B0B"/>
    <w:rPr>
      <w:rFonts w:ascii="Arial" w:hAnsi="Arial"/>
      <w:sz w:val="16"/>
      <w:szCs w:val="20"/>
    </w:rPr>
  </w:style>
  <w:style w:type="character" w:styleId="GevolgdeHyperlink">
    <w:name w:val="FollowedHyperlink"/>
    <w:basedOn w:val="Standaardalinea-lettertype"/>
    <w:semiHidden/>
    <w:rsid w:val="007C6DA2"/>
    <w:rPr>
      <w:color w:val="0079A2"/>
      <w:u w:val="single"/>
    </w:rPr>
  </w:style>
  <w:style w:type="character" w:styleId="Hyperlink">
    <w:name w:val="Hyperlink"/>
    <w:basedOn w:val="Standaardalinea-lettertype"/>
    <w:uiPriority w:val="99"/>
    <w:rsid w:val="007C6DA2"/>
    <w:rPr>
      <w:color w:val="0079A2"/>
      <w:u w:val="single"/>
    </w:rPr>
  </w:style>
  <w:style w:type="paragraph" w:styleId="Inhopg1">
    <w:name w:val="toc 1"/>
    <w:basedOn w:val="Standaard"/>
    <w:next w:val="Standaard"/>
    <w:autoRedefine/>
    <w:uiPriority w:val="39"/>
    <w:rsid w:val="00F741E6"/>
    <w:pPr>
      <w:tabs>
        <w:tab w:val="left" w:pos="1701"/>
        <w:tab w:val="right" w:leader="dot" w:pos="9072"/>
      </w:tabs>
      <w:spacing w:line="240" w:lineRule="auto"/>
    </w:pPr>
    <w:rPr>
      <w:b/>
      <w:color w:val="0079A3"/>
    </w:rPr>
  </w:style>
  <w:style w:type="paragraph" w:styleId="Inhopg2">
    <w:name w:val="toc 2"/>
    <w:basedOn w:val="Standaard"/>
    <w:next w:val="Standaard"/>
    <w:autoRedefine/>
    <w:uiPriority w:val="39"/>
    <w:rsid w:val="00E779BF"/>
    <w:pPr>
      <w:spacing w:line="240" w:lineRule="auto"/>
    </w:pPr>
    <w:rPr>
      <w:color w:val="0079A3"/>
    </w:rPr>
  </w:style>
  <w:style w:type="paragraph" w:styleId="Inhopg3">
    <w:name w:val="toc 3"/>
    <w:basedOn w:val="Standaard"/>
    <w:next w:val="Standaard"/>
    <w:autoRedefine/>
    <w:uiPriority w:val="39"/>
    <w:rsid w:val="00E779BF"/>
    <w:pPr>
      <w:spacing w:line="240" w:lineRule="auto"/>
    </w:pPr>
    <w:rPr>
      <w:color w:val="0079A3"/>
    </w:rPr>
  </w:style>
  <w:style w:type="paragraph" w:styleId="Inhopg4">
    <w:name w:val="toc 4"/>
    <w:basedOn w:val="Standaard"/>
    <w:next w:val="Standaard"/>
    <w:autoRedefine/>
    <w:semiHidden/>
    <w:rsid w:val="00E779BF"/>
    <w:pPr>
      <w:spacing w:line="240" w:lineRule="auto"/>
      <w:ind w:left="1701" w:hanging="1701"/>
    </w:pPr>
    <w:rPr>
      <w:color w:val="0079A2"/>
      <w:sz w:val="18"/>
      <w:szCs w:val="18"/>
    </w:rPr>
  </w:style>
  <w:style w:type="paragraph" w:styleId="Inhopg5">
    <w:name w:val="toc 5"/>
    <w:basedOn w:val="Standaard"/>
    <w:next w:val="Standaard"/>
    <w:autoRedefine/>
    <w:semiHidden/>
    <w:rsid w:val="00E779BF"/>
    <w:pPr>
      <w:spacing w:line="240" w:lineRule="auto"/>
      <w:ind w:left="1701" w:hanging="1701"/>
    </w:pPr>
    <w:rPr>
      <w:color w:val="0079A2"/>
      <w:sz w:val="18"/>
      <w:szCs w:val="18"/>
    </w:rPr>
  </w:style>
  <w:style w:type="paragraph" w:styleId="Inhopg6">
    <w:name w:val="toc 6"/>
    <w:basedOn w:val="Standaard"/>
    <w:next w:val="Standaard"/>
    <w:autoRedefine/>
    <w:semiHidden/>
    <w:rsid w:val="00E779BF"/>
    <w:pPr>
      <w:spacing w:line="240" w:lineRule="auto"/>
      <w:ind w:left="1701" w:hanging="1701"/>
    </w:pPr>
    <w:rPr>
      <w:color w:val="0079A2"/>
      <w:sz w:val="18"/>
    </w:rPr>
  </w:style>
  <w:style w:type="paragraph" w:styleId="Inhopg7">
    <w:name w:val="toc 7"/>
    <w:basedOn w:val="Standaard"/>
    <w:next w:val="Standaard"/>
    <w:autoRedefine/>
    <w:semiHidden/>
    <w:rsid w:val="00E779BF"/>
    <w:pPr>
      <w:spacing w:line="240" w:lineRule="auto"/>
      <w:ind w:left="1701" w:hanging="1701"/>
    </w:pPr>
    <w:rPr>
      <w:color w:val="0079A2"/>
      <w:sz w:val="18"/>
    </w:rPr>
  </w:style>
  <w:style w:type="paragraph" w:styleId="Inhopg8">
    <w:name w:val="toc 8"/>
    <w:basedOn w:val="Standaard"/>
    <w:next w:val="Standaard"/>
    <w:autoRedefine/>
    <w:semiHidden/>
    <w:rsid w:val="00E779BF"/>
    <w:pPr>
      <w:spacing w:line="240" w:lineRule="auto"/>
      <w:ind w:left="1701" w:hanging="1701"/>
    </w:pPr>
    <w:rPr>
      <w:color w:val="0079A2"/>
      <w:sz w:val="18"/>
    </w:rPr>
  </w:style>
  <w:style w:type="paragraph" w:styleId="Inhopg9">
    <w:name w:val="toc 9"/>
    <w:basedOn w:val="Standaard"/>
    <w:next w:val="Standaard"/>
    <w:autoRedefine/>
    <w:semiHidden/>
    <w:rsid w:val="00E779BF"/>
    <w:pPr>
      <w:spacing w:line="240" w:lineRule="auto"/>
      <w:ind w:left="1701" w:hanging="1701"/>
    </w:pPr>
    <w:rPr>
      <w:color w:val="0079A2"/>
      <w:sz w:val="18"/>
    </w:rPr>
  </w:style>
  <w:style w:type="paragraph" w:styleId="Kopvaninhoudsopgave">
    <w:name w:val="TOC Heading"/>
    <w:basedOn w:val="Standaard"/>
    <w:next w:val="ARCADISStandaard"/>
    <w:uiPriority w:val="39"/>
    <w:qFormat/>
    <w:rsid w:val="00BC6E71"/>
    <w:pPr>
      <w:spacing w:before="480" w:after="480"/>
    </w:pPr>
    <w:rPr>
      <w:b/>
      <w:color w:val="0079A3"/>
      <w:sz w:val="32"/>
    </w:rPr>
  </w:style>
  <w:style w:type="paragraph" w:styleId="Koptekst">
    <w:name w:val="header"/>
    <w:basedOn w:val="Standaard"/>
    <w:link w:val="KoptekstChar"/>
    <w:uiPriority w:val="99"/>
    <w:qFormat/>
    <w:rsid w:val="00BC6E71"/>
    <w:pPr>
      <w:tabs>
        <w:tab w:val="center" w:pos="4820"/>
        <w:tab w:val="right" w:pos="9639"/>
      </w:tabs>
      <w:spacing w:after="0" w:line="240" w:lineRule="auto"/>
    </w:pPr>
    <w:rPr>
      <w:color w:val="0079A3"/>
      <w:sz w:val="16"/>
    </w:rPr>
  </w:style>
  <w:style w:type="character" w:customStyle="1" w:styleId="KoptekstChar">
    <w:name w:val="Koptekst Char"/>
    <w:basedOn w:val="Standaardalinea-lettertype"/>
    <w:link w:val="Koptekst"/>
    <w:uiPriority w:val="99"/>
    <w:rsid w:val="00BC6E71"/>
    <w:rPr>
      <w:rFonts w:ascii="Arial" w:hAnsi="Arial"/>
      <w:color w:val="0079A3"/>
      <w:sz w:val="16"/>
    </w:rPr>
  </w:style>
  <w:style w:type="paragraph" w:styleId="Lijstmetafbeeldingen">
    <w:name w:val="table of figures"/>
    <w:basedOn w:val="Standaard"/>
    <w:next w:val="Standaard"/>
    <w:semiHidden/>
    <w:rsid w:val="00BC6E71"/>
    <w:rPr>
      <w:color w:val="0079A2"/>
    </w:rPr>
  </w:style>
  <w:style w:type="paragraph" w:styleId="Lijstalinea">
    <w:name w:val="List Paragraph"/>
    <w:aliases w:val="Heading 2_sj,List Paragraph1,Listenabsatz1"/>
    <w:basedOn w:val="Standaard"/>
    <w:link w:val="LijstalineaChar"/>
    <w:uiPriority w:val="34"/>
    <w:qFormat/>
    <w:rsid w:val="00BC6E71"/>
    <w:pPr>
      <w:ind w:left="720"/>
      <w:contextualSpacing/>
    </w:pPr>
  </w:style>
  <w:style w:type="paragraph" w:styleId="Lijstnummering">
    <w:name w:val="List Number"/>
    <w:basedOn w:val="Standaard"/>
    <w:uiPriority w:val="99"/>
    <w:semiHidden/>
    <w:rsid w:val="00BC6E71"/>
    <w:pPr>
      <w:numPr>
        <w:numId w:val="3"/>
      </w:numPr>
      <w:contextualSpacing/>
    </w:pPr>
  </w:style>
  <w:style w:type="paragraph" w:customStyle="1" w:styleId="OpsommingLetter">
    <w:name w:val="Opsomming Letter"/>
    <w:basedOn w:val="Standaard"/>
    <w:qFormat/>
    <w:rsid w:val="00BC6E71"/>
    <w:pPr>
      <w:numPr>
        <w:numId w:val="4"/>
      </w:numPr>
    </w:pPr>
  </w:style>
  <w:style w:type="paragraph" w:customStyle="1" w:styleId="OpsommingNummer">
    <w:name w:val="Opsomming Nummer"/>
    <w:basedOn w:val="Standaard"/>
    <w:qFormat/>
    <w:rsid w:val="00BC6E71"/>
    <w:pPr>
      <w:numPr>
        <w:numId w:val="5"/>
      </w:numPr>
    </w:pPr>
  </w:style>
  <w:style w:type="paragraph" w:customStyle="1" w:styleId="OpsommingSymbool">
    <w:name w:val="Opsomming Symbool"/>
    <w:basedOn w:val="Standaard"/>
    <w:qFormat/>
    <w:rsid w:val="00BC6E71"/>
    <w:pPr>
      <w:numPr>
        <w:numId w:val="6"/>
      </w:numPr>
    </w:pPr>
  </w:style>
  <w:style w:type="paragraph" w:customStyle="1" w:styleId="Samenvatting-Niveau1">
    <w:name w:val="Samenvatting - Niveau 1"/>
    <w:basedOn w:val="Standaard"/>
    <w:next w:val="ARCADISStandaard"/>
    <w:qFormat/>
    <w:rsid w:val="00CD38D4"/>
    <w:pPr>
      <w:numPr>
        <w:numId w:val="7"/>
      </w:numPr>
      <w:spacing w:before="240" w:after="320"/>
    </w:pPr>
    <w:rPr>
      <w:b/>
      <w:color w:val="0079A2"/>
      <w:sz w:val="28"/>
    </w:rPr>
  </w:style>
  <w:style w:type="paragraph" w:customStyle="1" w:styleId="Samenvatting-Niveau2">
    <w:name w:val="Samenvatting - Niveau 2"/>
    <w:basedOn w:val="Standaard"/>
    <w:next w:val="ARCADISStandaard"/>
    <w:qFormat/>
    <w:rsid w:val="00CD38D4"/>
    <w:pPr>
      <w:numPr>
        <w:ilvl w:val="1"/>
        <w:numId w:val="7"/>
      </w:numPr>
      <w:spacing w:before="120" w:after="180"/>
    </w:pPr>
    <w:rPr>
      <w:b/>
      <w:color w:val="0079A2"/>
      <w:sz w:val="24"/>
    </w:rPr>
  </w:style>
  <w:style w:type="paragraph" w:customStyle="1" w:styleId="Samenvatting-Niveau3">
    <w:name w:val="Samenvatting - Niveau 3"/>
    <w:basedOn w:val="Standaard"/>
    <w:next w:val="ARCADISStandaard"/>
    <w:qFormat/>
    <w:rsid w:val="00CD38D4"/>
    <w:pPr>
      <w:numPr>
        <w:ilvl w:val="2"/>
        <w:numId w:val="7"/>
      </w:numPr>
      <w:spacing w:after="120"/>
    </w:pPr>
    <w:rPr>
      <w:b/>
      <w:color w:val="0079A2"/>
    </w:rPr>
  </w:style>
  <w:style w:type="paragraph" w:customStyle="1" w:styleId="Samenvatting-Niveau4">
    <w:name w:val="Samenvatting - Niveau 4"/>
    <w:basedOn w:val="Standaard"/>
    <w:next w:val="ARCADISStandaard"/>
    <w:qFormat/>
    <w:rsid w:val="00CD38D4"/>
    <w:pPr>
      <w:numPr>
        <w:ilvl w:val="3"/>
        <w:numId w:val="7"/>
      </w:numPr>
    </w:pPr>
    <w:rPr>
      <w:color w:val="0079A2"/>
    </w:rPr>
  </w:style>
  <w:style w:type="paragraph" w:customStyle="1" w:styleId="Samenvatting-Niveau5">
    <w:name w:val="Samenvatting - Niveau 5"/>
    <w:basedOn w:val="Standaard"/>
    <w:next w:val="ARCADISStandaard"/>
    <w:qFormat/>
    <w:rsid w:val="00CD38D4"/>
    <w:pPr>
      <w:keepNext/>
      <w:numPr>
        <w:ilvl w:val="4"/>
        <w:numId w:val="7"/>
      </w:numPr>
    </w:pPr>
    <w:rPr>
      <w:color w:val="0079A2"/>
    </w:rPr>
  </w:style>
  <w:style w:type="paragraph" w:customStyle="1" w:styleId="Samenvatting-Niveau6">
    <w:name w:val="Samenvatting - Niveau 6"/>
    <w:basedOn w:val="Standaard"/>
    <w:next w:val="ARCADISStandaard"/>
    <w:qFormat/>
    <w:rsid w:val="00CD38D4"/>
    <w:pPr>
      <w:keepNext/>
      <w:numPr>
        <w:ilvl w:val="5"/>
        <w:numId w:val="7"/>
      </w:numPr>
    </w:pPr>
    <w:rPr>
      <w:color w:val="0079A2"/>
    </w:rPr>
  </w:style>
  <w:style w:type="paragraph" w:customStyle="1" w:styleId="Samenvatting-Titel">
    <w:name w:val="Samenvatting - Titel"/>
    <w:basedOn w:val="Standaard"/>
    <w:next w:val="ARCADISStandaard"/>
    <w:qFormat/>
    <w:rsid w:val="00CD38D4"/>
    <w:pPr>
      <w:keepNext/>
      <w:spacing w:before="240" w:after="320"/>
    </w:pPr>
    <w:rPr>
      <w:b/>
      <w:color w:val="0079A2"/>
      <w:sz w:val="40"/>
      <w:szCs w:val="40"/>
    </w:rPr>
  </w:style>
  <w:style w:type="paragraph" w:customStyle="1" w:styleId="Samenvattingssubtitel">
    <w:name w:val="Samenvattingssubtitel"/>
    <w:basedOn w:val="Standaard"/>
    <w:next w:val="Standaard"/>
    <w:qFormat/>
    <w:rsid w:val="00CD38D4"/>
    <w:pPr>
      <w:keepNext/>
      <w:spacing w:before="240" w:after="240"/>
    </w:pPr>
    <w:rPr>
      <w:b/>
      <w:color w:val="0079A3"/>
      <w:spacing w:val="15"/>
      <w:kern w:val="28"/>
      <w:sz w:val="32"/>
    </w:rPr>
  </w:style>
  <w:style w:type="paragraph" w:customStyle="1" w:styleId="Subbijlage">
    <w:name w:val="Subbijlage"/>
    <w:basedOn w:val="Standaard"/>
    <w:next w:val="ARCADISStandaard"/>
    <w:qFormat/>
    <w:rsid w:val="00CD38D4"/>
    <w:pPr>
      <w:keepNext/>
      <w:numPr>
        <w:numId w:val="8"/>
      </w:numPr>
      <w:spacing w:before="320" w:after="180"/>
    </w:pPr>
    <w:rPr>
      <w:b/>
      <w:color w:val="0079A3"/>
      <w:sz w:val="32"/>
    </w:rPr>
  </w:style>
  <w:style w:type="paragraph" w:styleId="Ondertitel">
    <w:name w:val="Subtitle"/>
    <w:basedOn w:val="Standaard"/>
    <w:next w:val="ARCADISStandaard"/>
    <w:link w:val="OndertitelChar"/>
    <w:qFormat/>
    <w:rsid w:val="00CD38D4"/>
    <w:pPr>
      <w:keepNext/>
      <w:numPr>
        <w:numId w:val="9"/>
      </w:numPr>
      <w:spacing w:before="120"/>
      <w:outlineLvl w:val="1"/>
    </w:pPr>
    <w:rPr>
      <w:rFonts w:cs="Arial"/>
      <w:b/>
      <w:color w:val="0079A2"/>
      <w:sz w:val="32"/>
      <w:szCs w:val="32"/>
    </w:rPr>
  </w:style>
  <w:style w:type="character" w:customStyle="1" w:styleId="OndertitelChar">
    <w:name w:val="Ondertitel Char"/>
    <w:basedOn w:val="Standaardalinea-lettertype"/>
    <w:link w:val="Ondertitel"/>
    <w:rsid w:val="00CD38D4"/>
    <w:rPr>
      <w:rFonts w:ascii="Arial" w:hAnsi="Arial" w:cs="Arial"/>
      <w:b/>
      <w:color w:val="0079A2"/>
      <w:sz w:val="32"/>
      <w:szCs w:val="32"/>
    </w:rPr>
  </w:style>
  <w:style w:type="table" w:styleId="Tabelraster">
    <w:name w:val="Table Grid"/>
    <w:basedOn w:val="Standaardtabel"/>
    <w:rsid w:val="00CD38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ard"/>
    <w:next w:val="ARCADISStandaard"/>
    <w:link w:val="TitelChar"/>
    <w:qFormat/>
    <w:rsid w:val="00CD38D4"/>
    <w:pPr>
      <w:keepNext/>
      <w:spacing w:before="240" w:after="100"/>
      <w:outlineLvl w:val="0"/>
    </w:pPr>
    <w:rPr>
      <w:rFonts w:cs="Arial"/>
      <w:b/>
      <w:bCs/>
      <w:color w:val="0079A2"/>
      <w:kern w:val="28"/>
      <w:sz w:val="40"/>
      <w:szCs w:val="40"/>
    </w:rPr>
  </w:style>
  <w:style w:type="character" w:customStyle="1" w:styleId="TitelChar">
    <w:name w:val="Titel Char"/>
    <w:basedOn w:val="Standaardalinea-lettertype"/>
    <w:link w:val="Titel"/>
    <w:rsid w:val="00464CE4"/>
    <w:rPr>
      <w:rFonts w:ascii="Arial" w:hAnsi="Arial" w:cs="Arial"/>
      <w:b/>
      <w:bCs/>
      <w:color w:val="0079A2"/>
      <w:kern w:val="28"/>
      <w:sz w:val="40"/>
      <w:szCs w:val="40"/>
    </w:rPr>
  </w:style>
  <w:style w:type="character" w:styleId="Verwijzingopmerking">
    <w:name w:val="annotation reference"/>
    <w:basedOn w:val="Standaardalinea-lettertype"/>
    <w:uiPriority w:val="99"/>
    <w:rsid w:val="00CD38D4"/>
    <w:rPr>
      <w:rFonts w:ascii="Arial" w:hAnsi="Arial"/>
      <w:sz w:val="16"/>
      <w:szCs w:val="16"/>
    </w:rPr>
  </w:style>
  <w:style w:type="character" w:styleId="Voetnootmarkering">
    <w:name w:val="footnote reference"/>
    <w:basedOn w:val="Standaardalinea-lettertype"/>
    <w:uiPriority w:val="99"/>
    <w:rsid w:val="00CD38D4"/>
    <w:rPr>
      <w:rFonts w:ascii="Arial" w:hAnsi="Arial"/>
      <w:sz w:val="16"/>
      <w:vertAlign w:val="superscript"/>
    </w:rPr>
  </w:style>
  <w:style w:type="paragraph" w:styleId="Voetnoottekst">
    <w:name w:val="footnote text"/>
    <w:basedOn w:val="Standaard"/>
    <w:link w:val="VoetnoottekstChar"/>
    <w:autoRedefine/>
    <w:rsid w:val="00CD38D4"/>
    <w:pPr>
      <w:spacing w:before="20" w:after="20" w:line="240" w:lineRule="auto"/>
    </w:pPr>
    <w:rPr>
      <w:sz w:val="16"/>
      <w:szCs w:val="20"/>
    </w:rPr>
  </w:style>
  <w:style w:type="character" w:customStyle="1" w:styleId="VoetnoottekstChar">
    <w:name w:val="Voetnoottekst Char"/>
    <w:basedOn w:val="Standaardalinea-lettertype"/>
    <w:link w:val="Voetnoottekst"/>
    <w:rsid w:val="00CD38D4"/>
    <w:rPr>
      <w:rFonts w:ascii="Arial" w:hAnsi="Arial"/>
      <w:sz w:val="16"/>
      <w:szCs w:val="20"/>
    </w:rPr>
  </w:style>
  <w:style w:type="paragraph" w:styleId="Voettekst">
    <w:name w:val="footer"/>
    <w:basedOn w:val="Standaard"/>
    <w:link w:val="VoettekstChar"/>
    <w:uiPriority w:val="99"/>
    <w:rsid w:val="00CD38D4"/>
    <w:pPr>
      <w:keepNext/>
      <w:tabs>
        <w:tab w:val="center" w:pos="4820"/>
        <w:tab w:val="right" w:pos="9639"/>
      </w:tabs>
      <w:spacing w:after="0" w:line="0" w:lineRule="atLeast"/>
    </w:pPr>
    <w:rPr>
      <w:color w:val="0079A3"/>
      <w:sz w:val="16"/>
    </w:rPr>
  </w:style>
  <w:style w:type="character" w:customStyle="1" w:styleId="VoettekstChar">
    <w:name w:val="Voettekst Char"/>
    <w:basedOn w:val="Standaardalinea-lettertype"/>
    <w:link w:val="Voettekst"/>
    <w:uiPriority w:val="99"/>
    <w:rsid w:val="00CD38D4"/>
    <w:rPr>
      <w:rFonts w:ascii="Arial" w:hAnsi="Arial"/>
      <w:color w:val="0079A3"/>
      <w:sz w:val="16"/>
    </w:rPr>
  </w:style>
  <w:style w:type="paragraph" w:styleId="Bijschrift">
    <w:name w:val="caption"/>
    <w:basedOn w:val="Standaard"/>
    <w:next w:val="Standaard"/>
    <w:autoRedefine/>
    <w:rsid w:val="00F46B1B"/>
    <w:pPr>
      <w:keepNext/>
      <w:spacing w:line="280" w:lineRule="exact"/>
      <w:ind w:left="1701"/>
    </w:pPr>
    <w:rPr>
      <w:bCs/>
      <w:color w:val="0079A3"/>
      <w:sz w:val="18"/>
      <w:szCs w:val="20"/>
      <w:lang w:val="fr-FR"/>
    </w:rPr>
  </w:style>
  <w:style w:type="paragraph" w:customStyle="1" w:styleId="Opsommingsymbool0">
    <w:name w:val="Opsomming symbool 0"/>
    <w:basedOn w:val="Lijstalinea"/>
    <w:qFormat/>
    <w:rsid w:val="003B7434"/>
    <w:pPr>
      <w:numPr>
        <w:numId w:val="10"/>
      </w:numPr>
    </w:pPr>
  </w:style>
  <w:style w:type="paragraph" w:customStyle="1" w:styleId="OpsommingLetter0">
    <w:name w:val="Opsomming Letter 0"/>
    <w:basedOn w:val="Lijstalinea"/>
    <w:qFormat/>
    <w:rsid w:val="003B7434"/>
    <w:pPr>
      <w:numPr>
        <w:numId w:val="11"/>
      </w:numPr>
    </w:pPr>
  </w:style>
  <w:style w:type="paragraph" w:customStyle="1" w:styleId="OpsommingNummer0">
    <w:name w:val="Opsomming Nummer 0"/>
    <w:basedOn w:val="Lijstalinea"/>
    <w:qFormat/>
    <w:rsid w:val="003B7434"/>
    <w:pPr>
      <w:numPr>
        <w:numId w:val="12"/>
      </w:numPr>
    </w:pPr>
  </w:style>
  <w:style w:type="table" w:customStyle="1" w:styleId="ARCADIStab7">
    <w:name w:val="ARCADIS_tab7"/>
    <w:basedOn w:val="ARCADIStab3"/>
    <w:uiPriority w:val="99"/>
    <w:qFormat/>
    <w:rsid w:val="00091DE3"/>
    <w:tblPr>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Pr>
    <w:tblStylePr w:type="firstRow">
      <w:rPr>
        <w:b/>
        <w:color w:val="FFFFFF" w:themeColor="background1"/>
      </w:rPr>
      <w:tblPr/>
      <w:tcPr>
        <w:shd w:val="clear" w:color="auto" w:fill="0079A3"/>
      </w:tcPr>
    </w:tblStylePr>
  </w:style>
  <w:style w:type="paragraph" w:styleId="Tekstopmerking">
    <w:name w:val="annotation text"/>
    <w:basedOn w:val="Standaard"/>
    <w:link w:val="TekstopmerkingChar"/>
    <w:uiPriority w:val="99"/>
    <w:semiHidden/>
    <w:unhideWhenUsed/>
    <w:rsid w:val="00F14054"/>
    <w:pPr>
      <w:spacing w:line="240" w:lineRule="auto"/>
    </w:pPr>
    <w:rPr>
      <w:szCs w:val="20"/>
    </w:rPr>
  </w:style>
  <w:style w:type="character" w:customStyle="1" w:styleId="TekstopmerkingChar">
    <w:name w:val="Tekst opmerking Char"/>
    <w:basedOn w:val="Standaardalinea-lettertype"/>
    <w:link w:val="Tekstopmerking"/>
    <w:uiPriority w:val="99"/>
    <w:semiHidden/>
    <w:rsid w:val="00F14054"/>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F14054"/>
    <w:rPr>
      <w:b/>
      <w:bCs/>
    </w:rPr>
  </w:style>
  <w:style w:type="character" w:customStyle="1" w:styleId="OnderwerpvanopmerkingChar">
    <w:name w:val="Onderwerp van opmerking Char"/>
    <w:basedOn w:val="TekstopmerkingChar"/>
    <w:link w:val="Onderwerpvanopmerking"/>
    <w:uiPriority w:val="99"/>
    <w:semiHidden/>
    <w:rsid w:val="00F14054"/>
    <w:rPr>
      <w:rFonts w:ascii="Arial" w:hAnsi="Arial"/>
      <w:b/>
      <w:bCs/>
      <w:sz w:val="20"/>
      <w:szCs w:val="20"/>
    </w:rPr>
  </w:style>
  <w:style w:type="character" w:customStyle="1" w:styleId="LijstalineaChar">
    <w:name w:val="Lijstalinea Char"/>
    <w:aliases w:val="Heading 2_sj Char,List Paragraph1 Char,Listenabsatz1 Char"/>
    <w:link w:val="Lijstalinea"/>
    <w:uiPriority w:val="34"/>
    <w:locked/>
    <w:rsid w:val="00702BF2"/>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qFormat="1"/>
    <w:lsdException w:name="caption" w:uiPriority="0" w:qFormat="1"/>
    <w:lsdException w:name="table of figures"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A94805"/>
    <w:pPr>
      <w:spacing w:before="60" w:after="60" w:line="280" w:lineRule="atLeast"/>
    </w:pPr>
    <w:rPr>
      <w:rFonts w:ascii="Arial" w:hAnsi="Arial"/>
      <w:sz w:val="20"/>
    </w:rPr>
  </w:style>
  <w:style w:type="paragraph" w:styleId="Kop1">
    <w:name w:val="heading 1"/>
    <w:aliases w:val="- Niveau 1"/>
    <w:basedOn w:val="Standaard"/>
    <w:next w:val="ARCADISStandaard"/>
    <w:link w:val="Kop1Char"/>
    <w:qFormat/>
    <w:rsid w:val="009D754B"/>
    <w:pPr>
      <w:keepNext/>
      <w:numPr>
        <w:numId w:val="2"/>
      </w:numPr>
      <w:spacing w:before="320" w:after="240"/>
      <w:outlineLvl w:val="0"/>
    </w:pPr>
    <w:rPr>
      <w:rFonts w:cs="Arial"/>
      <w:b/>
      <w:bCs/>
      <w:color w:val="0079A2"/>
      <w:kern w:val="32"/>
      <w:sz w:val="28"/>
      <w:szCs w:val="32"/>
    </w:rPr>
  </w:style>
  <w:style w:type="paragraph" w:styleId="Kop2">
    <w:name w:val="heading 2"/>
    <w:aliases w:val="- Niveau 2"/>
    <w:basedOn w:val="Standaard"/>
    <w:next w:val="ARCADISStandaard"/>
    <w:link w:val="Kop2Char"/>
    <w:qFormat/>
    <w:rsid w:val="009D754B"/>
    <w:pPr>
      <w:keepNext/>
      <w:numPr>
        <w:ilvl w:val="1"/>
        <w:numId w:val="2"/>
      </w:numPr>
      <w:spacing w:before="180" w:after="120"/>
      <w:outlineLvl w:val="1"/>
    </w:pPr>
    <w:rPr>
      <w:rFonts w:cs="Arial"/>
      <w:b/>
      <w:bCs/>
      <w:iCs/>
      <w:color w:val="0079A2"/>
      <w:sz w:val="24"/>
      <w:szCs w:val="28"/>
    </w:rPr>
  </w:style>
  <w:style w:type="paragraph" w:styleId="Kop3">
    <w:name w:val="heading 3"/>
    <w:aliases w:val="- Niveau 3"/>
    <w:basedOn w:val="Standaard"/>
    <w:next w:val="ARCADISStandaard"/>
    <w:link w:val="Kop3Char"/>
    <w:qFormat/>
    <w:rsid w:val="009D754B"/>
    <w:pPr>
      <w:keepNext/>
      <w:numPr>
        <w:ilvl w:val="2"/>
        <w:numId w:val="2"/>
      </w:numPr>
      <w:spacing w:before="120"/>
      <w:outlineLvl w:val="2"/>
    </w:pPr>
    <w:rPr>
      <w:rFonts w:cs="Arial"/>
      <w:b/>
      <w:bCs/>
      <w:color w:val="0079A2"/>
      <w:szCs w:val="26"/>
    </w:rPr>
  </w:style>
  <w:style w:type="paragraph" w:styleId="Kop4">
    <w:name w:val="heading 4"/>
    <w:aliases w:val="- Niveau 4"/>
    <w:basedOn w:val="Standaard"/>
    <w:next w:val="ARCADISStandaard"/>
    <w:link w:val="Kop4Char"/>
    <w:qFormat/>
    <w:rsid w:val="009D754B"/>
    <w:pPr>
      <w:keepNext/>
      <w:numPr>
        <w:ilvl w:val="3"/>
        <w:numId w:val="2"/>
      </w:numPr>
      <w:outlineLvl w:val="3"/>
    </w:pPr>
    <w:rPr>
      <w:bCs/>
      <w:color w:val="0079A2"/>
      <w:szCs w:val="28"/>
    </w:rPr>
  </w:style>
  <w:style w:type="paragraph" w:styleId="Kop5">
    <w:name w:val="heading 5"/>
    <w:aliases w:val="- Niveau 5"/>
    <w:basedOn w:val="Standaard"/>
    <w:next w:val="ARCADISStandaard"/>
    <w:link w:val="Kop5Char"/>
    <w:qFormat/>
    <w:rsid w:val="009D754B"/>
    <w:pPr>
      <w:keepNext/>
      <w:numPr>
        <w:ilvl w:val="4"/>
        <w:numId w:val="2"/>
      </w:numPr>
      <w:outlineLvl w:val="4"/>
    </w:pPr>
    <w:rPr>
      <w:bCs/>
      <w:iCs/>
      <w:color w:val="0079A2"/>
      <w:szCs w:val="26"/>
    </w:rPr>
  </w:style>
  <w:style w:type="paragraph" w:styleId="Kop6">
    <w:name w:val="heading 6"/>
    <w:aliases w:val="- Niveau 6"/>
    <w:basedOn w:val="Standaard"/>
    <w:next w:val="ARCADISStandaard"/>
    <w:link w:val="Kop6Char"/>
    <w:qFormat/>
    <w:rsid w:val="009D754B"/>
    <w:pPr>
      <w:keepNext/>
      <w:numPr>
        <w:ilvl w:val="5"/>
        <w:numId w:val="2"/>
      </w:numPr>
      <w:outlineLvl w:val="5"/>
    </w:pPr>
    <w:rPr>
      <w:bCs/>
      <w:color w:val="0079A2"/>
    </w:rPr>
  </w:style>
  <w:style w:type="paragraph" w:styleId="Kop7">
    <w:name w:val="heading 7"/>
    <w:aliases w:val="Niveau 7"/>
    <w:basedOn w:val="ARCADISStandaard"/>
    <w:next w:val="ARCADISStandaard"/>
    <w:link w:val="Kop7Char"/>
    <w:uiPriority w:val="9"/>
    <w:qFormat/>
    <w:rsid w:val="009D754B"/>
    <w:pPr>
      <w:keepNext/>
      <w:keepLines/>
      <w:outlineLvl w:val="6"/>
    </w:pPr>
    <w:rPr>
      <w:rFonts w:eastAsiaTheme="majorEastAsia" w:cstheme="majorBidi"/>
      <w:b/>
      <w:iCs/>
      <w:color w:val="404040" w:themeColor="text1" w:themeTint="BF"/>
      <w:u w:val="single"/>
    </w:rPr>
  </w:style>
  <w:style w:type="paragraph" w:styleId="Kop8">
    <w:name w:val="heading 8"/>
    <w:aliases w:val="Niveau 8"/>
    <w:basedOn w:val="Kop7"/>
    <w:next w:val="ARCADISStandaard"/>
    <w:link w:val="Kop8Char"/>
    <w:uiPriority w:val="9"/>
    <w:qFormat/>
    <w:rsid w:val="009D754B"/>
    <w:pPr>
      <w:outlineLvl w:val="7"/>
    </w:pPr>
    <w:rPr>
      <w:szCs w:val="20"/>
      <w:u w:val="none"/>
    </w:rPr>
  </w:style>
  <w:style w:type="paragraph" w:styleId="Kop9">
    <w:name w:val="heading 9"/>
    <w:aliases w:val="Niveau 9"/>
    <w:basedOn w:val="Kop8"/>
    <w:next w:val="ARCADISStandaard"/>
    <w:link w:val="Kop9Char"/>
    <w:uiPriority w:val="9"/>
    <w:qFormat/>
    <w:rsid w:val="009D754B"/>
    <w:pPr>
      <w:outlineLvl w:val="8"/>
    </w:pPr>
    <w:rPr>
      <w:b w:val="0"/>
      <w:i/>
      <w:i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CADISStandaard">
    <w:name w:val="ARCADIS Standaard"/>
    <w:basedOn w:val="Standaard"/>
    <w:qFormat/>
    <w:rsid w:val="009D754B"/>
    <w:pPr>
      <w:ind w:left="1701"/>
    </w:pPr>
  </w:style>
  <w:style w:type="table" w:customStyle="1" w:styleId="ARCADIStab1">
    <w:name w:val="ARCADIS_tab1"/>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tblStylePr w:type="lastRow">
      <w:tblPr/>
      <w:tcPr>
        <w:shd w:val="clear" w:color="auto" w:fill="BFBFBF" w:themeFill="background1" w:themeFillShade="BF"/>
      </w:tcPr>
    </w:tblStylePr>
    <w:tblStylePr w:type="firstCol">
      <w:rPr>
        <w:b/>
      </w:rPr>
      <w:tblPr/>
      <w:tcPr>
        <w:shd w:val="clear" w:color="auto" w:fill="BFBFBF" w:themeFill="background1" w:themeFillShade="BF"/>
      </w:tcPr>
    </w:tblStylePr>
  </w:style>
  <w:style w:type="table" w:customStyle="1" w:styleId="ARCADIStab2">
    <w:name w:val="ARCADIS_tab2"/>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A6A6A6" w:themeFill="background1" w:themeFillShade="A6"/>
      </w:tcPr>
    </w:tblStylePr>
  </w:style>
  <w:style w:type="table" w:customStyle="1" w:styleId="ARCADIStab3">
    <w:name w:val="ARCADIS_tab3"/>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079A3"/>
      </w:tcPr>
    </w:tblStylePr>
  </w:style>
  <w:style w:type="table" w:customStyle="1" w:styleId="ARCADIStab4">
    <w:name w:val="ARCADIS_tab4"/>
    <w:basedOn w:val="Standaardtabel"/>
    <w:uiPriority w:val="99"/>
    <w:qFormat/>
    <w:rsid w:val="009D754B"/>
    <w:pPr>
      <w:spacing w:after="0" w:line="240" w:lineRule="auto"/>
    </w:pPr>
    <w:rPr>
      <w:rFonts w:ascii="Arial" w:hAnsi="Arial"/>
      <w:sz w:val="18"/>
    </w:rPr>
    <w:tblPr>
      <w:tblStyleRowBandSize w:val="1"/>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Pr>
    <w:tblStylePr w:type="firstRow">
      <w:rPr>
        <w:rFonts w:ascii="Arial" w:hAnsi="Arial"/>
        <w:b/>
        <w:color w:val="FFFFFF" w:themeColor="background1"/>
        <w:sz w:val="18"/>
      </w:rPr>
      <w:tblPr/>
      <w:tcPr>
        <w:shd w:val="clear" w:color="auto" w:fill="0079A3"/>
      </w:tcPr>
    </w:tblStylePr>
    <w:tblStylePr w:type="band2Horz">
      <w:rPr>
        <w:color w:val="FFFFFF" w:themeColor="background1"/>
      </w:rPr>
      <w:tblPr/>
      <w:tcPr>
        <w:shd w:val="clear" w:color="auto" w:fill="0079A3"/>
      </w:tcPr>
    </w:tblStylePr>
  </w:style>
  <w:style w:type="table" w:customStyle="1" w:styleId="ARCADIStab5">
    <w:name w:val="ARCADIS_tab5"/>
    <w:basedOn w:val="Standaardtabel"/>
    <w:uiPriority w:val="99"/>
    <w:qFormat/>
    <w:rsid w:val="009D754B"/>
    <w:pPr>
      <w:spacing w:after="0" w:line="240" w:lineRule="auto"/>
    </w:pPr>
    <w:rPr>
      <w:rFonts w:ascii="Arial" w:hAnsi="Arial"/>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tblStylePr w:type="band2Horz">
      <w:pPr>
        <w:jc w:val="left"/>
      </w:pPr>
      <w:rPr>
        <w:b w:val="0"/>
      </w:rPr>
      <w:tblPr/>
      <w:tcPr>
        <w:shd w:val="clear" w:color="auto" w:fill="BFBFBF" w:themeFill="background1" w:themeFillShade="BF"/>
      </w:tcPr>
    </w:tblStylePr>
  </w:style>
  <w:style w:type="table" w:customStyle="1" w:styleId="ARCADIStab6">
    <w:name w:val="ARCADIS_tab6"/>
    <w:basedOn w:val="Standaardtabel"/>
    <w:uiPriority w:val="99"/>
    <w:qFormat/>
    <w:rsid w:val="009D754B"/>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0079A2"/>
      </w:tcPr>
    </w:tblStylePr>
    <w:tblStylePr w:type="firstCol">
      <w:rPr>
        <w:b/>
        <w:color w:val="FFFFFF" w:themeColor="background1"/>
      </w:rPr>
      <w:tblPr/>
      <w:tcPr>
        <w:shd w:val="clear" w:color="auto" w:fill="0079A2"/>
      </w:tcPr>
    </w:tblStylePr>
  </w:style>
  <w:style w:type="paragraph" w:customStyle="1" w:styleId="Artikel">
    <w:name w:val="Artikel"/>
    <w:basedOn w:val="Standaard"/>
    <w:next w:val="Standaard"/>
    <w:qFormat/>
    <w:rsid w:val="009D754B"/>
    <w:pPr>
      <w:numPr>
        <w:numId w:val="1"/>
      </w:numPr>
    </w:pPr>
    <w:rPr>
      <w:b/>
    </w:rPr>
  </w:style>
  <w:style w:type="paragraph" w:styleId="Ballontekst">
    <w:name w:val="Balloon Text"/>
    <w:basedOn w:val="Standaard"/>
    <w:link w:val="BallontekstChar"/>
    <w:uiPriority w:val="99"/>
    <w:semiHidden/>
    <w:rsid w:val="009D754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754B"/>
    <w:rPr>
      <w:rFonts w:ascii="Tahoma" w:hAnsi="Tahoma" w:cs="Tahoma"/>
      <w:sz w:val="16"/>
      <w:szCs w:val="16"/>
    </w:rPr>
  </w:style>
  <w:style w:type="character" w:customStyle="1" w:styleId="Kop1Char">
    <w:name w:val="Kop 1 Char"/>
    <w:aliases w:val="- Niveau 1 Char"/>
    <w:basedOn w:val="Standaardalinea-lettertype"/>
    <w:link w:val="Kop1"/>
    <w:rsid w:val="009D754B"/>
    <w:rPr>
      <w:rFonts w:ascii="Arial" w:hAnsi="Arial" w:cs="Arial"/>
      <w:b/>
      <w:bCs/>
      <w:color w:val="0079A2"/>
      <w:kern w:val="32"/>
      <w:sz w:val="28"/>
      <w:szCs w:val="32"/>
    </w:rPr>
  </w:style>
  <w:style w:type="character" w:customStyle="1" w:styleId="Kop2Char">
    <w:name w:val="Kop 2 Char"/>
    <w:aliases w:val="- Niveau 2 Char"/>
    <w:basedOn w:val="Standaardalinea-lettertype"/>
    <w:link w:val="Kop2"/>
    <w:rsid w:val="009D754B"/>
    <w:rPr>
      <w:rFonts w:ascii="Arial" w:hAnsi="Arial" w:cs="Arial"/>
      <w:b/>
      <w:bCs/>
      <w:iCs/>
      <w:color w:val="0079A2"/>
      <w:sz w:val="24"/>
      <w:szCs w:val="28"/>
    </w:rPr>
  </w:style>
  <w:style w:type="character" w:customStyle="1" w:styleId="Kop3Char">
    <w:name w:val="Kop 3 Char"/>
    <w:aliases w:val="- Niveau 3 Char"/>
    <w:basedOn w:val="Standaardalinea-lettertype"/>
    <w:link w:val="Kop3"/>
    <w:rsid w:val="009D754B"/>
    <w:rPr>
      <w:rFonts w:ascii="Arial" w:hAnsi="Arial" w:cs="Arial"/>
      <w:b/>
      <w:bCs/>
      <w:color w:val="0079A2"/>
      <w:sz w:val="20"/>
      <w:szCs w:val="26"/>
    </w:rPr>
  </w:style>
  <w:style w:type="character" w:customStyle="1" w:styleId="Kop4Char">
    <w:name w:val="Kop 4 Char"/>
    <w:aliases w:val="- Niveau 4 Char"/>
    <w:basedOn w:val="Standaardalinea-lettertype"/>
    <w:link w:val="Kop4"/>
    <w:rsid w:val="009D754B"/>
    <w:rPr>
      <w:rFonts w:ascii="Arial" w:hAnsi="Arial"/>
      <w:bCs/>
      <w:color w:val="0079A2"/>
      <w:sz w:val="20"/>
      <w:szCs w:val="28"/>
    </w:rPr>
  </w:style>
  <w:style w:type="character" w:customStyle="1" w:styleId="Kop5Char">
    <w:name w:val="Kop 5 Char"/>
    <w:aliases w:val="- Niveau 5 Char"/>
    <w:basedOn w:val="Standaardalinea-lettertype"/>
    <w:link w:val="Kop5"/>
    <w:rsid w:val="009D754B"/>
    <w:rPr>
      <w:rFonts w:ascii="Arial" w:hAnsi="Arial"/>
      <w:bCs/>
      <w:iCs/>
      <w:color w:val="0079A2"/>
      <w:sz w:val="20"/>
      <w:szCs w:val="26"/>
    </w:rPr>
  </w:style>
  <w:style w:type="character" w:customStyle="1" w:styleId="Kop6Char">
    <w:name w:val="Kop 6 Char"/>
    <w:aliases w:val="- Niveau 6 Char"/>
    <w:basedOn w:val="Standaardalinea-lettertype"/>
    <w:link w:val="Kop6"/>
    <w:rsid w:val="009D754B"/>
    <w:rPr>
      <w:rFonts w:ascii="Arial" w:hAnsi="Arial"/>
      <w:bCs/>
      <w:color w:val="0079A2"/>
      <w:sz w:val="20"/>
    </w:rPr>
  </w:style>
  <w:style w:type="character" w:customStyle="1" w:styleId="Kop7Char">
    <w:name w:val="Kop 7 Char"/>
    <w:aliases w:val="Niveau 7 Char"/>
    <w:basedOn w:val="Standaardalinea-lettertype"/>
    <w:link w:val="Kop7"/>
    <w:uiPriority w:val="9"/>
    <w:rsid w:val="009D754B"/>
    <w:rPr>
      <w:rFonts w:ascii="Arial" w:eastAsiaTheme="majorEastAsia" w:hAnsi="Arial" w:cstheme="majorBidi"/>
      <w:b/>
      <w:iCs/>
      <w:color w:val="404040" w:themeColor="text1" w:themeTint="BF"/>
      <w:sz w:val="20"/>
      <w:u w:val="single"/>
    </w:rPr>
  </w:style>
  <w:style w:type="character" w:customStyle="1" w:styleId="Kop8Char">
    <w:name w:val="Kop 8 Char"/>
    <w:aliases w:val="Niveau 8 Char"/>
    <w:basedOn w:val="Standaardalinea-lettertype"/>
    <w:link w:val="Kop8"/>
    <w:uiPriority w:val="9"/>
    <w:rsid w:val="009D754B"/>
    <w:rPr>
      <w:rFonts w:ascii="Arial" w:eastAsiaTheme="majorEastAsia" w:hAnsi="Arial" w:cstheme="majorBidi"/>
      <w:b/>
      <w:iCs/>
      <w:color w:val="404040" w:themeColor="text1" w:themeTint="BF"/>
      <w:sz w:val="20"/>
      <w:szCs w:val="20"/>
    </w:rPr>
  </w:style>
  <w:style w:type="character" w:customStyle="1" w:styleId="Kop9Char">
    <w:name w:val="Kop 9 Char"/>
    <w:aliases w:val="Niveau 9 Char"/>
    <w:basedOn w:val="Standaardalinea-lettertype"/>
    <w:link w:val="Kop9"/>
    <w:uiPriority w:val="9"/>
    <w:rsid w:val="009D754B"/>
    <w:rPr>
      <w:rFonts w:ascii="Arial" w:eastAsiaTheme="majorEastAsia" w:hAnsi="Arial" w:cstheme="majorBidi"/>
      <w:i/>
      <w:color w:val="404040" w:themeColor="text1" w:themeTint="BF"/>
      <w:sz w:val="20"/>
      <w:szCs w:val="20"/>
    </w:rPr>
  </w:style>
  <w:style w:type="character" w:styleId="Eindnootmarkering">
    <w:name w:val="endnote reference"/>
    <w:basedOn w:val="Standaardalinea-lettertype"/>
    <w:uiPriority w:val="99"/>
    <w:rsid w:val="00CC3B0B"/>
    <w:rPr>
      <w:sz w:val="16"/>
      <w:vertAlign w:val="superscript"/>
    </w:rPr>
  </w:style>
  <w:style w:type="paragraph" w:styleId="Eindnoottekst">
    <w:name w:val="endnote text"/>
    <w:basedOn w:val="Standaard"/>
    <w:link w:val="EindnoottekstChar"/>
    <w:autoRedefine/>
    <w:uiPriority w:val="99"/>
    <w:rsid w:val="00CC3B0B"/>
    <w:pPr>
      <w:spacing w:after="0" w:line="240" w:lineRule="auto"/>
    </w:pPr>
    <w:rPr>
      <w:sz w:val="16"/>
      <w:szCs w:val="20"/>
    </w:rPr>
  </w:style>
  <w:style w:type="character" w:customStyle="1" w:styleId="EindnoottekstChar">
    <w:name w:val="Eindnoottekst Char"/>
    <w:basedOn w:val="Standaardalinea-lettertype"/>
    <w:link w:val="Eindnoottekst"/>
    <w:uiPriority w:val="99"/>
    <w:rsid w:val="00CC3B0B"/>
    <w:rPr>
      <w:rFonts w:ascii="Arial" w:hAnsi="Arial"/>
      <w:sz w:val="16"/>
      <w:szCs w:val="20"/>
    </w:rPr>
  </w:style>
  <w:style w:type="character" w:styleId="GevolgdeHyperlink">
    <w:name w:val="FollowedHyperlink"/>
    <w:basedOn w:val="Standaardalinea-lettertype"/>
    <w:semiHidden/>
    <w:rsid w:val="007C6DA2"/>
    <w:rPr>
      <w:color w:val="0079A2"/>
      <w:u w:val="single"/>
    </w:rPr>
  </w:style>
  <w:style w:type="character" w:styleId="Hyperlink">
    <w:name w:val="Hyperlink"/>
    <w:basedOn w:val="Standaardalinea-lettertype"/>
    <w:uiPriority w:val="99"/>
    <w:rsid w:val="007C6DA2"/>
    <w:rPr>
      <w:color w:val="0079A2"/>
      <w:u w:val="single"/>
    </w:rPr>
  </w:style>
  <w:style w:type="paragraph" w:styleId="Inhopg1">
    <w:name w:val="toc 1"/>
    <w:basedOn w:val="Standaard"/>
    <w:next w:val="Standaard"/>
    <w:autoRedefine/>
    <w:uiPriority w:val="39"/>
    <w:rsid w:val="00F741E6"/>
    <w:pPr>
      <w:tabs>
        <w:tab w:val="left" w:pos="1701"/>
        <w:tab w:val="right" w:leader="dot" w:pos="9072"/>
      </w:tabs>
      <w:spacing w:line="240" w:lineRule="auto"/>
    </w:pPr>
    <w:rPr>
      <w:b/>
      <w:color w:val="0079A3"/>
    </w:rPr>
  </w:style>
  <w:style w:type="paragraph" w:styleId="Inhopg2">
    <w:name w:val="toc 2"/>
    <w:basedOn w:val="Standaard"/>
    <w:next w:val="Standaard"/>
    <w:autoRedefine/>
    <w:uiPriority w:val="39"/>
    <w:rsid w:val="00E779BF"/>
    <w:pPr>
      <w:spacing w:line="240" w:lineRule="auto"/>
    </w:pPr>
    <w:rPr>
      <w:color w:val="0079A3"/>
    </w:rPr>
  </w:style>
  <w:style w:type="paragraph" w:styleId="Inhopg3">
    <w:name w:val="toc 3"/>
    <w:basedOn w:val="Standaard"/>
    <w:next w:val="Standaard"/>
    <w:autoRedefine/>
    <w:uiPriority w:val="39"/>
    <w:rsid w:val="00E779BF"/>
    <w:pPr>
      <w:spacing w:line="240" w:lineRule="auto"/>
    </w:pPr>
    <w:rPr>
      <w:color w:val="0079A3"/>
    </w:rPr>
  </w:style>
  <w:style w:type="paragraph" w:styleId="Inhopg4">
    <w:name w:val="toc 4"/>
    <w:basedOn w:val="Standaard"/>
    <w:next w:val="Standaard"/>
    <w:autoRedefine/>
    <w:semiHidden/>
    <w:rsid w:val="00E779BF"/>
    <w:pPr>
      <w:spacing w:line="240" w:lineRule="auto"/>
      <w:ind w:left="1701" w:hanging="1701"/>
    </w:pPr>
    <w:rPr>
      <w:color w:val="0079A2"/>
      <w:sz w:val="18"/>
      <w:szCs w:val="18"/>
    </w:rPr>
  </w:style>
  <w:style w:type="paragraph" w:styleId="Inhopg5">
    <w:name w:val="toc 5"/>
    <w:basedOn w:val="Standaard"/>
    <w:next w:val="Standaard"/>
    <w:autoRedefine/>
    <w:semiHidden/>
    <w:rsid w:val="00E779BF"/>
    <w:pPr>
      <w:spacing w:line="240" w:lineRule="auto"/>
      <w:ind w:left="1701" w:hanging="1701"/>
    </w:pPr>
    <w:rPr>
      <w:color w:val="0079A2"/>
      <w:sz w:val="18"/>
      <w:szCs w:val="18"/>
    </w:rPr>
  </w:style>
  <w:style w:type="paragraph" w:styleId="Inhopg6">
    <w:name w:val="toc 6"/>
    <w:basedOn w:val="Standaard"/>
    <w:next w:val="Standaard"/>
    <w:autoRedefine/>
    <w:semiHidden/>
    <w:rsid w:val="00E779BF"/>
    <w:pPr>
      <w:spacing w:line="240" w:lineRule="auto"/>
      <w:ind w:left="1701" w:hanging="1701"/>
    </w:pPr>
    <w:rPr>
      <w:color w:val="0079A2"/>
      <w:sz w:val="18"/>
    </w:rPr>
  </w:style>
  <w:style w:type="paragraph" w:styleId="Inhopg7">
    <w:name w:val="toc 7"/>
    <w:basedOn w:val="Standaard"/>
    <w:next w:val="Standaard"/>
    <w:autoRedefine/>
    <w:semiHidden/>
    <w:rsid w:val="00E779BF"/>
    <w:pPr>
      <w:spacing w:line="240" w:lineRule="auto"/>
      <w:ind w:left="1701" w:hanging="1701"/>
    </w:pPr>
    <w:rPr>
      <w:color w:val="0079A2"/>
      <w:sz w:val="18"/>
    </w:rPr>
  </w:style>
  <w:style w:type="paragraph" w:styleId="Inhopg8">
    <w:name w:val="toc 8"/>
    <w:basedOn w:val="Standaard"/>
    <w:next w:val="Standaard"/>
    <w:autoRedefine/>
    <w:semiHidden/>
    <w:rsid w:val="00E779BF"/>
    <w:pPr>
      <w:spacing w:line="240" w:lineRule="auto"/>
      <w:ind w:left="1701" w:hanging="1701"/>
    </w:pPr>
    <w:rPr>
      <w:color w:val="0079A2"/>
      <w:sz w:val="18"/>
    </w:rPr>
  </w:style>
  <w:style w:type="paragraph" w:styleId="Inhopg9">
    <w:name w:val="toc 9"/>
    <w:basedOn w:val="Standaard"/>
    <w:next w:val="Standaard"/>
    <w:autoRedefine/>
    <w:semiHidden/>
    <w:rsid w:val="00E779BF"/>
    <w:pPr>
      <w:spacing w:line="240" w:lineRule="auto"/>
      <w:ind w:left="1701" w:hanging="1701"/>
    </w:pPr>
    <w:rPr>
      <w:color w:val="0079A2"/>
      <w:sz w:val="18"/>
    </w:rPr>
  </w:style>
  <w:style w:type="paragraph" w:styleId="Kopvaninhoudsopgave">
    <w:name w:val="TOC Heading"/>
    <w:basedOn w:val="Standaard"/>
    <w:next w:val="ARCADISStandaard"/>
    <w:uiPriority w:val="39"/>
    <w:qFormat/>
    <w:rsid w:val="00BC6E71"/>
    <w:pPr>
      <w:spacing w:before="480" w:after="480"/>
    </w:pPr>
    <w:rPr>
      <w:b/>
      <w:color w:val="0079A3"/>
      <w:sz w:val="32"/>
    </w:rPr>
  </w:style>
  <w:style w:type="paragraph" w:styleId="Koptekst">
    <w:name w:val="header"/>
    <w:basedOn w:val="Standaard"/>
    <w:link w:val="KoptekstChar"/>
    <w:uiPriority w:val="99"/>
    <w:qFormat/>
    <w:rsid w:val="00BC6E71"/>
    <w:pPr>
      <w:tabs>
        <w:tab w:val="center" w:pos="4820"/>
        <w:tab w:val="right" w:pos="9639"/>
      </w:tabs>
      <w:spacing w:after="0" w:line="240" w:lineRule="auto"/>
    </w:pPr>
    <w:rPr>
      <w:color w:val="0079A3"/>
      <w:sz w:val="16"/>
    </w:rPr>
  </w:style>
  <w:style w:type="character" w:customStyle="1" w:styleId="KoptekstChar">
    <w:name w:val="Koptekst Char"/>
    <w:basedOn w:val="Standaardalinea-lettertype"/>
    <w:link w:val="Koptekst"/>
    <w:uiPriority w:val="99"/>
    <w:rsid w:val="00BC6E71"/>
    <w:rPr>
      <w:rFonts w:ascii="Arial" w:hAnsi="Arial"/>
      <w:color w:val="0079A3"/>
      <w:sz w:val="16"/>
    </w:rPr>
  </w:style>
  <w:style w:type="paragraph" w:styleId="Lijstmetafbeeldingen">
    <w:name w:val="table of figures"/>
    <w:basedOn w:val="Standaard"/>
    <w:next w:val="Standaard"/>
    <w:semiHidden/>
    <w:rsid w:val="00BC6E71"/>
    <w:rPr>
      <w:color w:val="0079A2"/>
    </w:rPr>
  </w:style>
  <w:style w:type="paragraph" w:styleId="Lijstalinea">
    <w:name w:val="List Paragraph"/>
    <w:aliases w:val="Heading 2_sj,List Paragraph1,Listenabsatz1"/>
    <w:basedOn w:val="Standaard"/>
    <w:link w:val="LijstalineaChar"/>
    <w:uiPriority w:val="34"/>
    <w:qFormat/>
    <w:rsid w:val="00BC6E71"/>
    <w:pPr>
      <w:ind w:left="720"/>
      <w:contextualSpacing/>
    </w:pPr>
  </w:style>
  <w:style w:type="paragraph" w:styleId="Lijstnummering">
    <w:name w:val="List Number"/>
    <w:basedOn w:val="Standaard"/>
    <w:uiPriority w:val="99"/>
    <w:semiHidden/>
    <w:rsid w:val="00BC6E71"/>
    <w:pPr>
      <w:numPr>
        <w:numId w:val="3"/>
      </w:numPr>
      <w:contextualSpacing/>
    </w:pPr>
  </w:style>
  <w:style w:type="paragraph" w:customStyle="1" w:styleId="OpsommingLetter">
    <w:name w:val="Opsomming Letter"/>
    <w:basedOn w:val="Standaard"/>
    <w:qFormat/>
    <w:rsid w:val="00BC6E71"/>
    <w:pPr>
      <w:numPr>
        <w:numId w:val="4"/>
      </w:numPr>
    </w:pPr>
  </w:style>
  <w:style w:type="paragraph" w:customStyle="1" w:styleId="OpsommingNummer">
    <w:name w:val="Opsomming Nummer"/>
    <w:basedOn w:val="Standaard"/>
    <w:qFormat/>
    <w:rsid w:val="00BC6E71"/>
    <w:pPr>
      <w:numPr>
        <w:numId w:val="5"/>
      </w:numPr>
    </w:pPr>
  </w:style>
  <w:style w:type="paragraph" w:customStyle="1" w:styleId="OpsommingSymbool">
    <w:name w:val="Opsomming Symbool"/>
    <w:basedOn w:val="Standaard"/>
    <w:qFormat/>
    <w:rsid w:val="00BC6E71"/>
    <w:pPr>
      <w:numPr>
        <w:numId w:val="6"/>
      </w:numPr>
    </w:pPr>
  </w:style>
  <w:style w:type="paragraph" w:customStyle="1" w:styleId="Samenvatting-Niveau1">
    <w:name w:val="Samenvatting - Niveau 1"/>
    <w:basedOn w:val="Standaard"/>
    <w:next w:val="ARCADISStandaard"/>
    <w:qFormat/>
    <w:rsid w:val="00CD38D4"/>
    <w:pPr>
      <w:numPr>
        <w:numId w:val="7"/>
      </w:numPr>
      <w:spacing w:before="240" w:after="320"/>
    </w:pPr>
    <w:rPr>
      <w:b/>
      <w:color w:val="0079A2"/>
      <w:sz w:val="28"/>
    </w:rPr>
  </w:style>
  <w:style w:type="paragraph" w:customStyle="1" w:styleId="Samenvatting-Niveau2">
    <w:name w:val="Samenvatting - Niveau 2"/>
    <w:basedOn w:val="Standaard"/>
    <w:next w:val="ARCADISStandaard"/>
    <w:qFormat/>
    <w:rsid w:val="00CD38D4"/>
    <w:pPr>
      <w:numPr>
        <w:ilvl w:val="1"/>
        <w:numId w:val="7"/>
      </w:numPr>
      <w:spacing w:before="120" w:after="180"/>
    </w:pPr>
    <w:rPr>
      <w:b/>
      <w:color w:val="0079A2"/>
      <w:sz w:val="24"/>
    </w:rPr>
  </w:style>
  <w:style w:type="paragraph" w:customStyle="1" w:styleId="Samenvatting-Niveau3">
    <w:name w:val="Samenvatting - Niveau 3"/>
    <w:basedOn w:val="Standaard"/>
    <w:next w:val="ARCADISStandaard"/>
    <w:qFormat/>
    <w:rsid w:val="00CD38D4"/>
    <w:pPr>
      <w:numPr>
        <w:ilvl w:val="2"/>
        <w:numId w:val="7"/>
      </w:numPr>
      <w:spacing w:after="120"/>
    </w:pPr>
    <w:rPr>
      <w:b/>
      <w:color w:val="0079A2"/>
    </w:rPr>
  </w:style>
  <w:style w:type="paragraph" w:customStyle="1" w:styleId="Samenvatting-Niveau4">
    <w:name w:val="Samenvatting - Niveau 4"/>
    <w:basedOn w:val="Standaard"/>
    <w:next w:val="ARCADISStandaard"/>
    <w:qFormat/>
    <w:rsid w:val="00CD38D4"/>
    <w:pPr>
      <w:numPr>
        <w:ilvl w:val="3"/>
        <w:numId w:val="7"/>
      </w:numPr>
    </w:pPr>
    <w:rPr>
      <w:color w:val="0079A2"/>
    </w:rPr>
  </w:style>
  <w:style w:type="paragraph" w:customStyle="1" w:styleId="Samenvatting-Niveau5">
    <w:name w:val="Samenvatting - Niveau 5"/>
    <w:basedOn w:val="Standaard"/>
    <w:next w:val="ARCADISStandaard"/>
    <w:qFormat/>
    <w:rsid w:val="00CD38D4"/>
    <w:pPr>
      <w:keepNext/>
      <w:numPr>
        <w:ilvl w:val="4"/>
        <w:numId w:val="7"/>
      </w:numPr>
    </w:pPr>
    <w:rPr>
      <w:color w:val="0079A2"/>
    </w:rPr>
  </w:style>
  <w:style w:type="paragraph" w:customStyle="1" w:styleId="Samenvatting-Niveau6">
    <w:name w:val="Samenvatting - Niveau 6"/>
    <w:basedOn w:val="Standaard"/>
    <w:next w:val="ARCADISStandaard"/>
    <w:qFormat/>
    <w:rsid w:val="00CD38D4"/>
    <w:pPr>
      <w:keepNext/>
      <w:numPr>
        <w:ilvl w:val="5"/>
        <w:numId w:val="7"/>
      </w:numPr>
    </w:pPr>
    <w:rPr>
      <w:color w:val="0079A2"/>
    </w:rPr>
  </w:style>
  <w:style w:type="paragraph" w:customStyle="1" w:styleId="Samenvatting-Titel">
    <w:name w:val="Samenvatting - Titel"/>
    <w:basedOn w:val="Standaard"/>
    <w:next w:val="ARCADISStandaard"/>
    <w:qFormat/>
    <w:rsid w:val="00CD38D4"/>
    <w:pPr>
      <w:keepNext/>
      <w:spacing w:before="240" w:after="320"/>
    </w:pPr>
    <w:rPr>
      <w:b/>
      <w:color w:val="0079A2"/>
      <w:sz w:val="40"/>
      <w:szCs w:val="40"/>
    </w:rPr>
  </w:style>
  <w:style w:type="paragraph" w:customStyle="1" w:styleId="Samenvattingssubtitel">
    <w:name w:val="Samenvattingssubtitel"/>
    <w:basedOn w:val="Standaard"/>
    <w:next w:val="Standaard"/>
    <w:qFormat/>
    <w:rsid w:val="00CD38D4"/>
    <w:pPr>
      <w:keepNext/>
      <w:spacing w:before="240" w:after="240"/>
    </w:pPr>
    <w:rPr>
      <w:b/>
      <w:color w:val="0079A3"/>
      <w:spacing w:val="15"/>
      <w:kern w:val="28"/>
      <w:sz w:val="32"/>
    </w:rPr>
  </w:style>
  <w:style w:type="paragraph" w:customStyle="1" w:styleId="Subbijlage">
    <w:name w:val="Subbijlage"/>
    <w:basedOn w:val="Standaard"/>
    <w:next w:val="ARCADISStandaard"/>
    <w:qFormat/>
    <w:rsid w:val="00CD38D4"/>
    <w:pPr>
      <w:keepNext/>
      <w:numPr>
        <w:numId w:val="8"/>
      </w:numPr>
      <w:spacing w:before="320" w:after="180"/>
    </w:pPr>
    <w:rPr>
      <w:b/>
      <w:color w:val="0079A3"/>
      <w:sz w:val="32"/>
    </w:rPr>
  </w:style>
  <w:style w:type="paragraph" w:styleId="Ondertitel">
    <w:name w:val="Subtitle"/>
    <w:basedOn w:val="Standaard"/>
    <w:next w:val="ARCADISStandaard"/>
    <w:link w:val="OndertitelChar"/>
    <w:qFormat/>
    <w:rsid w:val="00CD38D4"/>
    <w:pPr>
      <w:keepNext/>
      <w:numPr>
        <w:numId w:val="9"/>
      </w:numPr>
      <w:spacing w:before="120"/>
      <w:outlineLvl w:val="1"/>
    </w:pPr>
    <w:rPr>
      <w:rFonts w:cs="Arial"/>
      <w:b/>
      <w:color w:val="0079A2"/>
      <w:sz w:val="32"/>
      <w:szCs w:val="32"/>
    </w:rPr>
  </w:style>
  <w:style w:type="character" w:customStyle="1" w:styleId="OndertitelChar">
    <w:name w:val="Ondertitel Char"/>
    <w:basedOn w:val="Standaardalinea-lettertype"/>
    <w:link w:val="Ondertitel"/>
    <w:rsid w:val="00CD38D4"/>
    <w:rPr>
      <w:rFonts w:ascii="Arial" w:hAnsi="Arial" w:cs="Arial"/>
      <w:b/>
      <w:color w:val="0079A2"/>
      <w:sz w:val="32"/>
      <w:szCs w:val="32"/>
    </w:rPr>
  </w:style>
  <w:style w:type="table" w:styleId="Tabelraster">
    <w:name w:val="Table Grid"/>
    <w:basedOn w:val="Standaardtabel"/>
    <w:rsid w:val="00CD38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ard"/>
    <w:next w:val="ARCADISStandaard"/>
    <w:link w:val="TitelChar"/>
    <w:qFormat/>
    <w:rsid w:val="00CD38D4"/>
    <w:pPr>
      <w:keepNext/>
      <w:spacing w:before="240" w:after="100"/>
      <w:outlineLvl w:val="0"/>
    </w:pPr>
    <w:rPr>
      <w:rFonts w:cs="Arial"/>
      <w:b/>
      <w:bCs/>
      <w:color w:val="0079A2"/>
      <w:kern w:val="28"/>
      <w:sz w:val="40"/>
      <w:szCs w:val="40"/>
    </w:rPr>
  </w:style>
  <w:style w:type="character" w:customStyle="1" w:styleId="TitelChar">
    <w:name w:val="Titel Char"/>
    <w:basedOn w:val="Standaardalinea-lettertype"/>
    <w:link w:val="Titel"/>
    <w:rsid w:val="00464CE4"/>
    <w:rPr>
      <w:rFonts w:ascii="Arial" w:hAnsi="Arial" w:cs="Arial"/>
      <w:b/>
      <w:bCs/>
      <w:color w:val="0079A2"/>
      <w:kern w:val="28"/>
      <w:sz w:val="40"/>
      <w:szCs w:val="40"/>
    </w:rPr>
  </w:style>
  <w:style w:type="character" w:styleId="Verwijzingopmerking">
    <w:name w:val="annotation reference"/>
    <w:basedOn w:val="Standaardalinea-lettertype"/>
    <w:uiPriority w:val="99"/>
    <w:rsid w:val="00CD38D4"/>
    <w:rPr>
      <w:rFonts w:ascii="Arial" w:hAnsi="Arial"/>
      <w:sz w:val="16"/>
      <w:szCs w:val="16"/>
    </w:rPr>
  </w:style>
  <w:style w:type="character" w:styleId="Voetnootmarkering">
    <w:name w:val="footnote reference"/>
    <w:basedOn w:val="Standaardalinea-lettertype"/>
    <w:uiPriority w:val="99"/>
    <w:rsid w:val="00CD38D4"/>
    <w:rPr>
      <w:rFonts w:ascii="Arial" w:hAnsi="Arial"/>
      <w:sz w:val="16"/>
      <w:vertAlign w:val="superscript"/>
    </w:rPr>
  </w:style>
  <w:style w:type="paragraph" w:styleId="Voetnoottekst">
    <w:name w:val="footnote text"/>
    <w:basedOn w:val="Standaard"/>
    <w:link w:val="VoetnoottekstChar"/>
    <w:autoRedefine/>
    <w:rsid w:val="00CD38D4"/>
    <w:pPr>
      <w:spacing w:before="20" w:after="20" w:line="240" w:lineRule="auto"/>
    </w:pPr>
    <w:rPr>
      <w:sz w:val="16"/>
      <w:szCs w:val="20"/>
    </w:rPr>
  </w:style>
  <w:style w:type="character" w:customStyle="1" w:styleId="VoetnoottekstChar">
    <w:name w:val="Voetnoottekst Char"/>
    <w:basedOn w:val="Standaardalinea-lettertype"/>
    <w:link w:val="Voetnoottekst"/>
    <w:rsid w:val="00CD38D4"/>
    <w:rPr>
      <w:rFonts w:ascii="Arial" w:hAnsi="Arial"/>
      <w:sz w:val="16"/>
      <w:szCs w:val="20"/>
    </w:rPr>
  </w:style>
  <w:style w:type="paragraph" w:styleId="Voettekst">
    <w:name w:val="footer"/>
    <w:basedOn w:val="Standaard"/>
    <w:link w:val="VoettekstChar"/>
    <w:uiPriority w:val="99"/>
    <w:rsid w:val="00CD38D4"/>
    <w:pPr>
      <w:keepNext/>
      <w:tabs>
        <w:tab w:val="center" w:pos="4820"/>
        <w:tab w:val="right" w:pos="9639"/>
      </w:tabs>
      <w:spacing w:after="0" w:line="0" w:lineRule="atLeast"/>
    </w:pPr>
    <w:rPr>
      <w:color w:val="0079A3"/>
      <w:sz w:val="16"/>
    </w:rPr>
  </w:style>
  <w:style w:type="character" w:customStyle="1" w:styleId="VoettekstChar">
    <w:name w:val="Voettekst Char"/>
    <w:basedOn w:val="Standaardalinea-lettertype"/>
    <w:link w:val="Voettekst"/>
    <w:uiPriority w:val="99"/>
    <w:rsid w:val="00CD38D4"/>
    <w:rPr>
      <w:rFonts w:ascii="Arial" w:hAnsi="Arial"/>
      <w:color w:val="0079A3"/>
      <w:sz w:val="16"/>
    </w:rPr>
  </w:style>
  <w:style w:type="paragraph" w:styleId="Bijschrift">
    <w:name w:val="caption"/>
    <w:basedOn w:val="Standaard"/>
    <w:next w:val="Standaard"/>
    <w:autoRedefine/>
    <w:rsid w:val="00F46B1B"/>
    <w:pPr>
      <w:keepNext/>
      <w:spacing w:line="280" w:lineRule="exact"/>
      <w:ind w:left="1701"/>
    </w:pPr>
    <w:rPr>
      <w:bCs/>
      <w:color w:val="0079A3"/>
      <w:sz w:val="18"/>
      <w:szCs w:val="20"/>
      <w:lang w:val="fr-FR"/>
    </w:rPr>
  </w:style>
  <w:style w:type="paragraph" w:customStyle="1" w:styleId="Opsommingsymbool0">
    <w:name w:val="Opsomming symbool 0"/>
    <w:basedOn w:val="Lijstalinea"/>
    <w:qFormat/>
    <w:rsid w:val="003B7434"/>
    <w:pPr>
      <w:numPr>
        <w:numId w:val="10"/>
      </w:numPr>
    </w:pPr>
  </w:style>
  <w:style w:type="paragraph" w:customStyle="1" w:styleId="OpsommingLetter0">
    <w:name w:val="Opsomming Letter 0"/>
    <w:basedOn w:val="Lijstalinea"/>
    <w:qFormat/>
    <w:rsid w:val="003B7434"/>
    <w:pPr>
      <w:numPr>
        <w:numId w:val="11"/>
      </w:numPr>
    </w:pPr>
  </w:style>
  <w:style w:type="paragraph" w:customStyle="1" w:styleId="OpsommingNummer0">
    <w:name w:val="Opsomming Nummer 0"/>
    <w:basedOn w:val="Lijstalinea"/>
    <w:qFormat/>
    <w:rsid w:val="003B7434"/>
    <w:pPr>
      <w:numPr>
        <w:numId w:val="12"/>
      </w:numPr>
    </w:pPr>
  </w:style>
  <w:style w:type="table" w:customStyle="1" w:styleId="ARCADIStab7">
    <w:name w:val="ARCADIS_tab7"/>
    <w:basedOn w:val="ARCADIStab3"/>
    <w:uiPriority w:val="99"/>
    <w:qFormat/>
    <w:rsid w:val="00091DE3"/>
    <w:tblPr>
      <w:tblBorders>
        <w:top w:val="single" w:sz="4" w:space="0" w:color="0079A3"/>
        <w:left w:val="single" w:sz="4" w:space="0" w:color="0079A3"/>
        <w:bottom w:val="single" w:sz="4" w:space="0" w:color="0079A3"/>
        <w:right w:val="single" w:sz="4" w:space="0" w:color="0079A3"/>
        <w:insideH w:val="single" w:sz="4" w:space="0" w:color="0079A3"/>
        <w:insideV w:val="single" w:sz="4" w:space="0" w:color="0079A3"/>
      </w:tblBorders>
    </w:tblPr>
    <w:tblStylePr w:type="firstRow">
      <w:rPr>
        <w:b/>
        <w:color w:val="FFFFFF" w:themeColor="background1"/>
      </w:rPr>
      <w:tblPr/>
      <w:tcPr>
        <w:shd w:val="clear" w:color="auto" w:fill="0079A3"/>
      </w:tcPr>
    </w:tblStylePr>
  </w:style>
  <w:style w:type="paragraph" w:styleId="Tekstopmerking">
    <w:name w:val="annotation text"/>
    <w:basedOn w:val="Standaard"/>
    <w:link w:val="TekstopmerkingChar"/>
    <w:uiPriority w:val="99"/>
    <w:semiHidden/>
    <w:unhideWhenUsed/>
    <w:rsid w:val="00F14054"/>
    <w:pPr>
      <w:spacing w:line="240" w:lineRule="auto"/>
    </w:pPr>
    <w:rPr>
      <w:szCs w:val="20"/>
    </w:rPr>
  </w:style>
  <w:style w:type="character" w:customStyle="1" w:styleId="TekstopmerkingChar">
    <w:name w:val="Tekst opmerking Char"/>
    <w:basedOn w:val="Standaardalinea-lettertype"/>
    <w:link w:val="Tekstopmerking"/>
    <w:uiPriority w:val="99"/>
    <w:semiHidden/>
    <w:rsid w:val="00F14054"/>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F14054"/>
    <w:rPr>
      <w:b/>
      <w:bCs/>
    </w:rPr>
  </w:style>
  <w:style w:type="character" w:customStyle="1" w:styleId="OnderwerpvanopmerkingChar">
    <w:name w:val="Onderwerp van opmerking Char"/>
    <w:basedOn w:val="TekstopmerkingChar"/>
    <w:link w:val="Onderwerpvanopmerking"/>
    <w:uiPriority w:val="99"/>
    <w:semiHidden/>
    <w:rsid w:val="00F14054"/>
    <w:rPr>
      <w:rFonts w:ascii="Arial" w:hAnsi="Arial"/>
      <w:b/>
      <w:bCs/>
      <w:sz w:val="20"/>
      <w:szCs w:val="20"/>
    </w:rPr>
  </w:style>
  <w:style w:type="character" w:customStyle="1" w:styleId="LijstalineaChar">
    <w:name w:val="Lijstalinea Char"/>
    <w:aliases w:val="Heading 2_sj Char,List Paragraph1 Char,Listenabsatz1 Char"/>
    <w:link w:val="Lijstalinea"/>
    <w:uiPriority w:val="34"/>
    <w:locked/>
    <w:rsid w:val="00702BF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6976">
      <w:bodyDiv w:val="1"/>
      <w:marLeft w:val="0"/>
      <w:marRight w:val="0"/>
      <w:marTop w:val="0"/>
      <w:marBottom w:val="0"/>
      <w:divBdr>
        <w:top w:val="none" w:sz="0" w:space="0" w:color="auto"/>
        <w:left w:val="none" w:sz="0" w:space="0" w:color="auto"/>
        <w:bottom w:val="none" w:sz="0" w:space="0" w:color="auto"/>
        <w:right w:val="none" w:sz="0" w:space="0" w:color="auto"/>
      </w:divBdr>
    </w:div>
    <w:div w:id="146479618">
      <w:bodyDiv w:val="1"/>
      <w:marLeft w:val="0"/>
      <w:marRight w:val="0"/>
      <w:marTop w:val="0"/>
      <w:marBottom w:val="0"/>
      <w:divBdr>
        <w:top w:val="none" w:sz="0" w:space="0" w:color="auto"/>
        <w:left w:val="none" w:sz="0" w:space="0" w:color="auto"/>
        <w:bottom w:val="none" w:sz="0" w:space="0" w:color="auto"/>
        <w:right w:val="none" w:sz="0" w:space="0" w:color="auto"/>
      </w:divBdr>
    </w:div>
    <w:div w:id="152793058">
      <w:bodyDiv w:val="1"/>
      <w:marLeft w:val="0"/>
      <w:marRight w:val="0"/>
      <w:marTop w:val="0"/>
      <w:marBottom w:val="0"/>
      <w:divBdr>
        <w:top w:val="none" w:sz="0" w:space="0" w:color="auto"/>
        <w:left w:val="none" w:sz="0" w:space="0" w:color="auto"/>
        <w:bottom w:val="none" w:sz="0" w:space="0" w:color="auto"/>
        <w:right w:val="none" w:sz="0" w:space="0" w:color="auto"/>
      </w:divBdr>
    </w:div>
    <w:div w:id="342434912">
      <w:bodyDiv w:val="1"/>
      <w:marLeft w:val="0"/>
      <w:marRight w:val="0"/>
      <w:marTop w:val="0"/>
      <w:marBottom w:val="0"/>
      <w:divBdr>
        <w:top w:val="none" w:sz="0" w:space="0" w:color="auto"/>
        <w:left w:val="none" w:sz="0" w:space="0" w:color="auto"/>
        <w:bottom w:val="none" w:sz="0" w:space="0" w:color="auto"/>
        <w:right w:val="none" w:sz="0" w:space="0" w:color="auto"/>
      </w:divBdr>
    </w:div>
    <w:div w:id="493375083">
      <w:bodyDiv w:val="1"/>
      <w:marLeft w:val="0"/>
      <w:marRight w:val="0"/>
      <w:marTop w:val="0"/>
      <w:marBottom w:val="0"/>
      <w:divBdr>
        <w:top w:val="none" w:sz="0" w:space="0" w:color="auto"/>
        <w:left w:val="none" w:sz="0" w:space="0" w:color="auto"/>
        <w:bottom w:val="none" w:sz="0" w:space="0" w:color="auto"/>
        <w:right w:val="none" w:sz="0" w:space="0" w:color="auto"/>
      </w:divBdr>
    </w:div>
    <w:div w:id="815727673">
      <w:bodyDiv w:val="1"/>
      <w:marLeft w:val="0"/>
      <w:marRight w:val="0"/>
      <w:marTop w:val="0"/>
      <w:marBottom w:val="0"/>
      <w:divBdr>
        <w:top w:val="none" w:sz="0" w:space="0" w:color="auto"/>
        <w:left w:val="none" w:sz="0" w:space="0" w:color="auto"/>
        <w:bottom w:val="none" w:sz="0" w:space="0" w:color="auto"/>
        <w:right w:val="none" w:sz="0" w:space="0" w:color="auto"/>
      </w:divBdr>
    </w:div>
    <w:div w:id="915937562">
      <w:bodyDiv w:val="1"/>
      <w:marLeft w:val="0"/>
      <w:marRight w:val="0"/>
      <w:marTop w:val="0"/>
      <w:marBottom w:val="0"/>
      <w:divBdr>
        <w:top w:val="none" w:sz="0" w:space="0" w:color="auto"/>
        <w:left w:val="none" w:sz="0" w:space="0" w:color="auto"/>
        <w:bottom w:val="none" w:sz="0" w:space="0" w:color="auto"/>
        <w:right w:val="none" w:sz="0" w:space="0" w:color="auto"/>
      </w:divBdr>
    </w:div>
    <w:div w:id="951404283">
      <w:bodyDiv w:val="1"/>
      <w:marLeft w:val="0"/>
      <w:marRight w:val="0"/>
      <w:marTop w:val="0"/>
      <w:marBottom w:val="0"/>
      <w:divBdr>
        <w:top w:val="none" w:sz="0" w:space="0" w:color="auto"/>
        <w:left w:val="none" w:sz="0" w:space="0" w:color="auto"/>
        <w:bottom w:val="none" w:sz="0" w:space="0" w:color="auto"/>
        <w:right w:val="none" w:sz="0" w:space="0" w:color="auto"/>
      </w:divBdr>
    </w:div>
    <w:div w:id="1045180054">
      <w:bodyDiv w:val="1"/>
      <w:marLeft w:val="0"/>
      <w:marRight w:val="0"/>
      <w:marTop w:val="0"/>
      <w:marBottom w:val="0"/>
      <w:divBdr>
        <w:top w:val="none" w:sz="0" w:space="0" w:color="auto"/>
        <w:left w:val="none" w:sz="0" w:space="0" w:color="auto"/>
        <w:bottom w:val="none" w:sz="0" w:space="0" w:color="auto"/>
        <w:right w:val="none" w:sz="0" w:space="0" w:color="auto"/>
      </w:divBdr>
    </w:div>
    <w:div w:id="1053584162">
      <w:bodyDiv w:val="1"/>
      <w:marLeft w:val="0"/>
      <w:marRight w:val="0"/>
      <w:marTop w:val="0"/>
      <w:marBottom w:val="0"/>
      <w:divBdr>
        <w:top w:val="none" w:sz="0" w:space="0" w:color="auto"/>
        <w:left w:val="none" w:sz="0" w:space="0" w:color="auto"/>
        <w:bottom w:val="none" w:sz="0" w:space="0" w:color="auto"/>
        <w:right w:val="none" w:sz="0" w:space="0" w:color="auto"/>
      </w:divBdr>
    </w:div>
    <w:div w:id="1114206357">
      <w:bodyDiv w:val="1"/>
      <w:marLeft w:val="0"/>
      <w:marRight w:val="0"/>
      <w:marTop w:val="0"/>
      <w:marBottom w:val="0"/>
      <w:divBdr>
        <w:top w:val="none" w:sz="0" w:space="0" w:color="auto"/>
        <w:left w:val="none" w:sz="0" w:space="0" w:color="auto"/>
        <w:bottom w:val="none" w:sz="0" w:space="0" w:color="auto"/>
        <w:right w:val="none" w:sz="0" w:space="0" w:color="auto"/>
      </w:divBdr>
    </w:div>
    <w:div w:id="1227762272">
      <w:bodyDiv w:val="1"/>
      <w:marLeft w:val="0"/>
      <w:marRight w:val="0"/>
      <w:marTop w:val="0"/>
      <w:marBottom w:val="0"/>
      <w:divBdr>
        <w:top w:val="none" w:sz="0" w:space="0" w:color="auto"/>
        <w:left w:val="none" w:sz="0" w:space="0" w:color="auto"/>
        <w:bottom w:val="none" w:sz="0" w:space="0" w:color="auto"/>
        <w:right w:val="none" w:sz="0" w:space="0" w:color="auto"/>
      </w:divBdr>
    </w:div>
    <w:div w:id="1270775635">
      <w:bodyDiv w:val="1"/>
      <w:marLeft w:val="0"/>
      <w:marRight w:val="0"/>
      <w:marTop w:val="0"/>
      <w:marBottom w:val="0"/>
      <w:divBdr>
        <w:top w:val="none" w:sz="0" w:space="0" w:color="auto"/>
        <w:left w:val="none" w:sz="0" w:space="0" w:color="auto"/>
        <w:bottom w:val="none" w:sz="0" w:space="0" w:color="auto"/>
        <w:right w:val="none" w:sz="0" w:space="0" w:color="auto"/>
      </w:divBdr>
    </w:div>
    <w:div w:id="1474520623">
      <w:bodyDiv w:val="1"/>
      <w:marLeft w:val="0"/>
      <w:marRight w:val="0"/>
      <w:marTop w:val="0"/>
      <w:marBottom w:val="0"/>
      <w:divBdr>
        <w:top w:val="none" w:sz="0" w:space="0" w:color="auto"/>
        <w:left w:val="none" w:sz="0" w:space="0" w:color="auto"/>
        <w:bottom w:val="none" w:sz="0" w:space="0" w:color="auto"/>
        <w:right w:val="none" w:sz="0" w:space="0" w:color="auto"/>
      </w:divBdr>
    </w:div>
    <w:div w:id="1488086662">
      <w:bodyDiv w:val="1"/>
      <w:marLeft w:val="0"/>
      <w:marRight w:val="0"/>
      <w:marTop w:val="0"/>
      <w:marBottom w:val="0"/>
      <w:divBdr>
        <w:top w:val="none" w:sz="0" w:space="0" w:color="auto"/>
        <w:left w:val="none" w:sz="0" w:space="0" w:color="auto"/>
        <w:bottom w:val="none" w:sz="0" w:space="0" w:color="auto"/>
        <w:right w:val="none" w:sz="0" w:space="0" w:color="auto"/>
      </w:divBdr>
    </w:div>
    <w:div w:id="1556698200">
      <w:bodyDiv w:val="1"/>
      <w:marLeft w:val="0"/>
      <w:marRight w:val="0"/>
      <w:marTop w:val="0"/>
      <w:marBottom w:val="0"/>
      <w:divBdr>
        <w:top w:val="none" w:sz="0" w:space="0" w:color="auto"/>
        <w:left w:val="none" w:sz="0" w:space="0" w:color="auto"/>
        <w:bottom w:val="none" w:sz="0" w:space="0" w:color="auto"/>
        <w:right w:val="none" w:sz="0" w:space="0" w:color="auto"/>
      </w:divBdr>
    </w:div>
    <w:div w:id="1642034620">
      <w:bodyDiv w:val="1"/>
      <w:marLeft w:val="0"/>
      <w:marRight w:val="0"/>
      <w:marTop w:val="0"/>
      <w:marBottom w:val="0"/>
      <w:divBdr>
        <w:top w:val="none" w:sz="0" w:space="0" w:color="auto"/>
        <w:left w:val="none" w:sz="0" w:space="0" w:color="auto"/>
        <w:bottom w:val="none" w:sz="0" w:space="0" w:color="auto"/>
        <w:right w:val="none" w:sz="0" w:space="0" w:color="auto"/>
      </w:divBdr>
    </w:div>
    <w:div w:id="1656910889">
      <w:bodyDiv w:val="1"/>
      <w:marLeft w:val="0"/>
      <w:marRight w:val="0"/>
      <w:marTop w:val="0"/>
      <w:marBottom w:val="0"/>
      <w:divBdr>
        <w:top w:val="none" w:sz="0" w:space="0" w:color="auto"/>
        <w:left w:val="none" w:sz="0" w:space="0" w:color="auto"/>
        <w:bottom w:val="none" w:sz="0" w:space="0" w:color="auto"/>
        <w:right w:val="none" w:sz="0" w:space="0" w:color="auto"/>
      </w:divBdr>
    </w:div>
    <w:div w:id="1690373134">
      <w:bodyDiv w:val="1"/>
      <w:marLeft w:val="0"/>
      <w:marRight w:val="0"/>
      <w:marTop w:val="0"/>
      <w:marBottom w:val="0"/>
      <w:divBdr>
        <w:top w:val="none" w:sz="0" w:space="0" w:color="auto"/>
        <w:left w:val="none" w:sz="0" w:space="0" w:color="auto"/>
        <w:bottom w:val="none" w:sz="0" w:space="0" w:color="auto"/>
        <w:right w:val="none" w:sz="0" w:space="0" w:color="auto"/>
      </w:divBdr>
    </w:div>
    <w:div w:id="1750998945">
      <w:bodyDiv w:val="1"/>
      <w:marLeft w:val="0"/>
      <w:marRight w:val="0"/>
      <w:marTop w:val="0"/>
      <w:marBottom w:val="0"/>
      <w:divBdr>
        <w:top w:val="none" w:sz="0" w:space="0" w:color="auto"/>
        <w:left w:val="none" w:sz="0" w:space="0" w:color="auto"/>
        <w:bottom w:val="none" w:sz="0" w:space="0" w:color="auto"/>
        <w:right w:val="none" w:sz="0" w:space="0" w:color="auto"/>
      </w:divBdr>
    </w:div>
    <w:div w:id="1787654507">
      <w:bodyDiv w:val="1"/>
      <w:marLeft w:val="0"/>
      <w:marRight w:val="0"/>
      <w:marTop w:val="0"/>
      <w:marBottom w:val="0"/>
      <w:divBdr>
        <w:top w:val="none" w:sz="0" w:space="0" w:color="auto"/>
        <w:left w:val="none" w:sz="0" w:space="0" w:color="auto"/>
        <w:bottom w:val="none" w:sz="0" w:space="0" w:color="auto"/>
        <w:right w:val="none" w:sz="0" w:space="0" w:color="auto"/>
      </w:divBdr>
    </w:div>
    <w:div w:id="1789623217">
      <w:bodyDiv w:val="1"/>
      <w:marLeft w:val="0"/>
      <w:marRight w:val="0"/>
      <w:marTop w:val="0"/>
      <w:marBottom w:val="0"/>
      <w:divBdr>
        <w:top w:val="none" w:sz="0" w:space="0" w:color="auto"/>
        <w:left w:val="none" w:sz="0" w:space="0" w:color="auto"/>
        <w:bottom w:val="none" w:sz="0" w:space="0" w:color="auto"/>
        <w:right w:val="none" w:sz="0" w:space="0" w:color="auto"/>
      </w:divBdr>
    </w:div>
    <w:div w:id="1885478038">
      <w:bodyDiv w:val="1"/>
      <w:marLeft w:val="0"/>
      <w:marRight w:val="0"/>
      <w:marTop w:val="0"/>
      <w:marBottom w:val="0"/>
      <w:divBdr>
        <w:top w:val="none" w:sz="0" w:space="0" w:color="auto"/>
        <w:left w:val="none" w:sz="0" w:space="0" w:color="auto"/>
        <w:bottom w:val="none" w:sz="0" w:space="0" w:color="auto"/>
        <w:right w:val="none" w:sz="0" w:space="0" w:color="auto"/>
      </w:divBdr>
    </w:div>
    <w:div w:id="1929609190">
      <w:bodyDiv w:val="1"/>
      <w:marLeft w:val="0"/>
      <w:marRight w:val="0"/>
      <w:marTop w:val="0"/>
      <w:marBottom w:val="0"/>
      <w:divBdr>
        <w:top w:val="none" w:sz="0" w:space="0" w:color="auto"/>
        <w:left w:val="none" w:sz="0" w:space="0" w:color="auto"/>
        <w:bottom w:val="none" w:sz="0" w:space="0" w:color="auto"/>
        <w:right w:val="none" w:sz="0" w:space="0" w:color="auto"/>
      </w:divBdr>
    </w:div>
    <w:div w:id="1943101860">
      <w:bodyDiv w:val="1"/>
      <w:marLeft w:val="0"/>
      <w:marRight w:val="0"/>
      <w:marTop w:val="0"/>
      <w:marBottom w:val="0"/>
      <w:divBdr>
        <w:top w:val="none" w:sz="0" w:space="0" w:color="auto"/>
        <w:left w:val="none" w:sz="0" w:space="0" w:color="auto"/>
        <w:bottom w:val="none" w:sz="0" w:space="0" w:color="auto"/>
        <w:right w:val="none" w:sz="0" w:space="0" w:color="auto"/>
      </w:divBdr>
    </w:div>
    <w:div w:id="2011062509">
      <w:bodyDiv w:val="1"/>
      <w:marLeft w:val="0"/>
      <w:marRight w:val="0"/>
      <w:marTop w:val="0"/>
      <w:marBottom w:val="0"/>
      <w:divBdr>
        <w:top w:val="none" w:sz="0" w:space="0" w:color="auto"/>
        <w:left w:val="none" w:sz="0" w:space="0" w:color="auto"/>
        <w:bottom w:val="none" w:sz="0" w:space="0" w:color="auto"/>
        <w:right w:val="none" w:sz="0" w:space="0" w:color="auto"/>
      </w:divBdr>
    </w:div>
    <w:div w:id="20817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2A5F208-A75E-4430-8658-D0CDC22D5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2762</Words>
  <Characters>15744</Characters>
  <Application>Microsoft Office Word</Application>
  <DocSecurity>0</DocSecurity>
  <Lines>131</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ARCADIS Belgium</Company>
  <LinksUpToDate>false</LinksUpToDate>
  <CharactersWithSpaces>18470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Lambert, Stijn</dc:creator>
  <cp:lastModifiedBy>Lambert, Stijn</cp:lastModifiedBy>
  <cp:revision>5</cp:revision>
  <dcterms:created xsi:type="dcterms:W3CDTF">2015-05-22T09:38:00Z</dcterms:created>
  <dcterms:modified xsi:type="dcterms:W3CDTF">2015-05-26T11:17:00Z</dcterms:modified>
</cp:coreProperties>
</file>