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F8" w:rsidRDefault="000B2470" w:rsidP="00A97C72">
      <w:pPr>
        <w:pStyle w:val="Titel"/>
        <w:rPr>
          <w:sz w:val="28"/>
          <w:szCs w:val="28"/>
        </w:rPr>
      </w:pPr>
      <w:r>
        <w:rPr>
          <w:color w:val="548DD4" w:themeColor="text2" w:themeTint="99"/>
          <w:sz w:val="28"/>
          <w:szCs w:val="28"/>
        </w:rPr>
        <w:t>CBE 2</w:t>
      </w:r>
      <w:r w:rsidR="00371CC9" w:rsidRPr="0027498F">
        <w:rPr>
          <w:color w:val="548DD4" w:themeColor="text2" w:themeTint="99"/>
          <w:sz w:val="28"/>
          <w:szCs w:val="28"/>
        </w:rPr>
        <w:t xml:space="preserve"> </w:t>
      </w:r>
      <w:r w:rsidR="005362DA" w:rsidRPr="0027498F">
        <w:rPr>
          <w:color w:val="548DD4" w:themeColor="text2" w:themeTint="99"/>
          <w:sz w:val="28"/>
          <w:szCs w:val="28"/>
        </w:rPr>
        <w:t>(</w:t>
      </w:r>
      <w:r>
        <w:rPr>
          <w:color w:val="548DD4" w:themeColor="text2" w:themeTint="99"/>
          <w:sz w:val="28"/>
          <w:szCs w:val="28"/>
        </w:rPr>
        <w:t>31 March &amp; 1 April</w:t>
      </w:r>
      <w:r w:rsidR="00285DEC" w:rsidRPr="0077407B">
        <w:rPr>
          <w:color w:val="548DD4" w:themeColor="text2" w:themeTint="99"/>
          <w:sz w:val="28"/>
          <w:szCs w:val="28"/>
        </w:rPr>
        <w:t xml:space="preserve"> 2015</w:t>
      </w:r>
      <w:r w:rsidR="0077407B">
        <w:rPr>
          <w:color w:val="548DD4" w:themeColor="text2" w:themeTint="99"/>
          <w:sz w:val="28"/>
          <w:szCs w:val="28"/>
        </w:rPr>
        <w:t xml:space="preserve">- </w:t>
      </w:r>
      <w:r>
        <w:rPr>
          <w:color w:val="548DD4" w:themeColor="text2" w:themeTint="99"/>
          <w:sz w:val="28"/>
          <w:szCs w:val="28"/>
        </w:rPr>
        <w:t>Varna</w:t>
      </w:r>
      <w:r w:rsidR="00566321">
        <w:rPr>
          <w:color w:val="548DD4" w:themeColor="text2" w:themeTint="99"/>
          <w:sz w:val="28"/>
          <w:szCs w:val="28"/>
        </w:rPr>
        <w:t xml:space="preserve">, </w:t>
      </w:r>
      <w:r>
        <w:rPr>
          <w:color w:val="548DD4" w:themeColor="text2" w:themeTint="99"/>
          <w:sz w:val="28"/>
          <w:szCs w:val="28"/>
        </w:rPr>
        <w:t>Bulgar</w:t>
      </w:r>
      <w:r w:rsidR="00566321">
        <w:rPr>
          <w:color w:val="548DD4" w:themeColor="text2" w:themeTint="99"/>
          <w:sz w:val="28"/>
          <w:szCs w:val="28"/>
        </w:rPr>
        <w:t>ia</w:t>
      </w:r>
      <w:r w:rsidR="005362DA">
        <w:rPr>
          <w:sz w:val="28"/>
          <w:szCs w:val="28"/>
        </w:rPr>
        <w:t>)</w:t>
      </w:r>
    </w:p>
    <w:tbl>
      <w:tblPr>
        <w:tblStyle w:val="Tabelraster"/>
        <w:tblW w:w="0" w:type="auto"/>
        <w:tblLook w:val="04A0" w:firstRow="1" w:lastRow="0" w:firstColumn="1" w:lastColumn="0" w:noHBand="0" w:noVBand="1"/>
      </w:tblPr>
      <w:tblGrid>
        <w:gridCol w:w="1937"/>
        <w:gridCol w:w="2060"/>
        <w:gridCol w:w="2869"/>
        <w:gridCol w:w="2422"/>
      </w:tblGrid>
      <w:tr w:rsidR="00FC3FCD" w:rsidRPr="0027498F" w:rsidTr="0003312A">
        <w:tc>
          <w:tcPr>
            <w:tcW w:w="1937" w:type="dxa"/>
          </w:tcPr>
          <w:p w:rsidR="00FC3FCD" w:rsidRPr="00B32F64" w:rsidRDefault="00FC3FCD" w:rsidP="00467902">
            <w:pPr>
              <w:rPr>
                <w:b/>
              </w:rPr>
            </w:pPr>
            <w:r w:rsidRPr="00B32F64">
              <w:rPr>
                <w:b/>
              </w:rPr>
              <w:t>Title</w:t>
            </w:r>
          </w:p>
        </w:tc>
        <w:tc>
          <w:tcPr>
            <w:tcW w:w="7351" w:type="dxa"/>
            <w:gridSpan w:val="3"/>
          </w:tcPr>
          <w:p w:rsidR="00566321" w:rsidRDefault="00FC3FCD" w:rsidP="00B32F64">
            <w:pPr>
              <w:rPr>
                <w:b/>
                <w:color w:val="4F81BD" w:themeColor="accent1"/>
                <w:sz w:val="24"/>
                <w:szCs w:val="24"/>
              </w:rPr>
            </w:pPr>
            <w:r w:rsidRPr="00B32F64">
              <w:rPr>
                <w:b/>
                <w:color w:val="4F81BD" w:themeColor="accent1"/>
                <w:sz w:val="24"/>
                <w:szCs w:val="24"/>
              </w:rPr>
              <w:t xml:space="preserve">Report </w:t>
            </w:r>
            <w:r w:rsidR="00B32F64" w:rsidRPr="00B32F64">
              <w:rPr>
                <w:b/>
                <w:color w:val="4F81BD" w:themeColor="accent1"/>
                <w:sz w:val="24"/>
                <w:szCs w:val="24"/>
              </w:rPr>
              <w:t>CBE</w:t>
            </w:r>
            <w:r w:rsidR="00E50192">
              <w:rPr>
                <w:b/>
                <w:color w:val="4F81BD" w:themeColor="accent1"/>
                <w:sz w:val="24"/>
                <w:szCs w:val="24"/>
              </w:rPr>
              <w:t xml:space="preserve"> </w:t>
            </w:r>
            <w:r w:rsidR="000B2470">
              <w:rPr>
                <w:b/>
                <w:color w:val="4F81BD" w:themeColor="accent1"/>
                <w:sz w:val="24"/>
                <w:szCs w:val="24"/>
              </w:rPr>
              <w:t>2</w:t>
            </w:r>
            <w:r w:rsidR="00E50192">
              <w:rPr>
                <w:b/>
                <w:color w:val="4F81BD" w:themeColor="accent1"/>
                <w:sz w:val="24"/>
                <w:szCs w:val="24"/>
              </w:rPr>
              <w:t xml:space="preserve"> ‘</w:t>
            </w:r>
            <w:r w:rsidR="000B2470">
              <w:rPr>
                <w:b/>
                <w:color w:val="4F81BD" w:themeColor="accent1"/>
                <w:sz w:val="24"/>
                <w:szCs w:val="24"/>
              </w:rPr>
              <w:t>Short</w:t>
            </w:r>
            <w:r w:rsidR="00E50192">
              <w:rPr>
                <w:b/>
                <w:color w:val="4F81BD" w:themeColor="accent1"/>
                <w:sz w:val="24"/>
                <w:szCs w:val="24"/>
              </w:rPr>
              <w:t xml:space="preserve"> list POM</w:t>
            </w:r>
            <w:r w:rsidR="00285DEC" w:rsidRPr="00B32F64">
              <w:rPr>
                <w:b/>
                <w:color w:val="4F81BD" w:themeColor="accent1"/>
                <w:sz w:val="24"/>
                <w:szCs w:val="24"/>
              </w:rPr>
              <w:t xml:space="preserve"> </w:t>
            </w:r>
            <w:r w:rsidR="00566321">
              <w:rPr>
                <w:b/>
                <w:color w:val="4F81BD" w:themeColor="accent1"/>
                <w:sz w:val="24"/>
                <w:szCs w:val="24"/>
              </w:rPr>
              <w:t>Bulgaria/Romania</w:t>
            </w:r>
            <w:r w:rsidR="000B2470">
              <w:rPr>
                <w:b/>
                <w:color w:val="4F81BD" w:themeColor="accent1"/>
                <w:sz w:val="24"/>
                <w:szCs w:val="24"/>
              </w:rPr>
              <w:t>’</w:t>
            </w:r>
            <w:r w:rsidR="00566321">
              <w:rPr>
                <w:b/>
                <w:color w:val="4F81BD" w:themeColor="accent1"/>
                <w:sz w:val="24"/>
                <w:szCs w:val="24"/>
              </w:rPr>
              <w:t xml:space="preserve"> </w:t>
            </w:r>
          </w:p>
          <w:p w:rsidR="00FC3FCD" w:rsidRPr="00B32F64" w:rsidRDefault="00285DEC" w:rsidP="00B32F64">
            <w:pPr>
              <w:rPr>
                <w:b/>
                <w:color w:val="4F81BD" w:themeColor="accent1"/>
                <w:sz w:val="24"/>
                <w:szCs w:val="24"/>
              </w:rPr>
            </w:pPr>
            <w:r w:rsidRPr="00B32F64">
              <w:rPr>
                <w:b/>
                <w:color w:val="4F81BD" w:themeColor="accent1"/>
                <w:sz w:val="24"/>
                <w:szCs w:val="24"/>
              </w:rPr>
              <w:t>‘Technical and administrative support for the joint implementation of the Marine Strategy Framework Directive (MSFD) in Bulgaria and Romania – Phase 2’</w:t>
            </w:r>
          </w:p>
        </w:tc>
      </w:tr>
      <w:tr w:rsidR="00FC3FCD" w:rsidRPr="0027498F" w:rsidTr="0003312A">
        <w:tc>
          <w:tcPr>
            <w:tcW w:w="1937" w:type="dxa"/>
          </w:tcPr>
          <w:p w:rsidR="00FC3FCD" w:rsidRPr="00B32F64" w:rsidRDefault="00FC3FCD" w:rsidP="00467902">
            <w:pPr>
              <w:rPr>
                <w:b/>
              </w:rPr>
            </w:pPr>
            <w:r w:rsidRPr="00B32F64">
              <w:rPr>
                <w:b/>
              </w:rPr>
              <w:t>Date</w:t>
            </w:r>
          </w:p>
        </w:tc>
        <w:tc>
          <w:tcPr>
            <w:tcW w:w="7351" w:type="dxa"/>
            <w:gridSpan w:val="3"/>
          </w:tcPr>
          <w:p w:rsidR="00FC3FCD" w:rsidRPr="00B32F64" w:rsidRDefault="000B2470" w:rsidP="000B2470">
            <w:r>
              <w:t>31 March and 1 April</w:t>
            </w:r>
            <w:r w:rsidR="00410EFE">
              <w:t xml:space="preserve"> 2015</w:t>
            </w:r>
          </w:p>
        </w:tc>
      </w:tr>
      <w:tr w:rsidR="00FC3FCD" w:rsidRPr="00E50192" w:rsidTr="0003312A">
        <w:tc>
          <w:tcPr>
            <w:tcW w:w="1937" w:type="dxa"/>
          </w:tcPr>
          <w:p w:rsidR="00FC3FCD" w:rsidRPr="00B32F64" w:rsidRDefault="00FC3FCD" w:rsidP="00467902">
            <w:pPr>
              <w:rPr>
                <w:b/>
              </w:rPr>
            </w:pPr>
            <w:r w:rsidRPr="00B32F64">
              <w:rPr>
                <w:b/>
              </w:rPr>
              <w:t>Location</w:t>
            </w:r>
          </w:p>
        </w:tc>
        <w:tc>
          <w:tcPr>
            <w:tcW w:w="7351" w:type="dxa"/>
            <w:gridSpan w:val="3"/>
          </w:tcPr>
          <w:p w:rsidR="00FC3FCD" w:rsidRPr="00B32F64" w:rsidRDefault="008F35AC" w:rsidP="00B32F64">
            <w:pPr>
              <w:rPr>
                <w:lang w:val="fr-FR"/>
              </w:rPr>
            </w:pPr>
            <w:r>
              <w:rPr>
                <w:lang w:val="fr-FR"/>
              </w:rPr>
              <w:t>BSBD Varna</w:t>
            </w:r>
          </w:p>
        </w:tc>
      </w:tr>
      <w:tr w:rsidR="00FC3FCD" w:rsidRPr="0027498F" w:rsidTr="0003312A">
        <w:tc>
          <w:tcPr>
            <w:tcW w:w="1937" w:type="dxa"/>
          </w:tcPr>
          <w:p w:rsidR="00FC3FCD" w:rsidRPr="00B32F64" w:rsidRDefault="00FC3FCD" w:rsidP="00467902">
            <w:pPr>
              <w:rPr>
                <w:b/>
              </w:rPr>
            </w:pPr>
            <w:r w:rsidRPr="00B32F64">
              <w:rPr>
                <w:b/>
              </w:rPr>
              <w:t>Attendees</w:t>
            </w:r>
          </w:p>
          <w:p w:rsidR="00FC3FCD" w:rsidRPr="00B32F64" w:rsidRDefault="00FC3FCD" w:rsidP="00467902">
            <w:pPr>
              <w:rPr>
                <w:b/>
              </w:rPr>
            </w:pPr>
          </w:p>
        </w:tc>
        <w:tc>
          <w:tcPr>
            <w:tcW w:w="7351" w:type="dxa"/>
            <w:gridSpan w:val="3"/>
          </w:tcPr>
          <w:p w:rsidR="00FC3FCD" w:rsidRPr="00B32F64" w:rsidRDefault="00FC3FCD" w:rsidP="00467902">
            <w:r w:rsidRPr="00B32F64">
              <w:t>See participants list</w:t>
            </w:r>
            <w:r w:rsidR="00DB7772">
              <w:t>s</w:t>
            </w:r>
          </w:p>
        </w:tc>
      </w:tr>
      <w:tr w:rsidR="00FC3FCD" w:rsidRPr="00B32F64" w:rsidTr="0003312A">
        <w:tc>
          <w:tcPr>
            <w:tcW w:w="1937" w:type="dxa"/>
          </w:tcPr>
          <w:p w:rsidR="00FC3FCD" w:rsidRPr="00B32F64" w:rsidRDefault="00FC3FCD" w:rsidP="00467902">
            <w:pPr>
              <w:rPr>
                <w:b/>
              </w:rPr>
            </w:pPr>
            <w:r w:rsidRPr="00B32F64">
              <w:rPr>
                <w:b/>
              </w:rPr>
              <w:t>Reporter name</w:t>
            </w:r>
          </w:p>
          <w:p w:rsidR="00FC3FCD" w:rsidRPr="00B32F64" w:rsidRDefault="00FC3FCD" w:rsidP="00467902">
            <w:pPr>
              <w:rPr>
                <w:b/>
              </w:rPr>
            </w:pPr>
          </w:p>
        </w:tc>
        <w:tc>
          <w:tcPr>
            <w:tcW w:w="7351" w:type="dxa"/>
            <w:gridSpan w:val="3"/>
          </w:tcPr>
          <w:p w:rsidR="004D0063" w:rsidRPr="00B32F64" w:rsidRDefault="00B32F64" w:rsidP="00285DEC">
            <w:r w:rsidRPr="00B32F64">
              <w:t>Kris Casteleyn (KCA)</w:t>
            </w:r>
          </w:p>
          <w:p w:rsidR="004D0063" w:rsidRPr="00B32F64" w:rsidRDefault="00B32F64" w:rsidP="00B32F64">
            <w:r w:rsidRPr="00B32F64">
              <w:t>Wouter Rommens (WR</w:t>
            </w:r>
            <w:r w:rsidR="00410EFE">
              <w:t>O</w:t>
            </w:r>
            <w:r w:rsidRPr="00B32F64">
              <w:t>)</w:t>
            </w:r>
          </w:p>
        </w:tc>
      </w:tr>
      <w:tr w:rsidR="00FC3FCD" w:rsidRPr="00B32F64" w:rsidTr="0003312A">
        <w:tc>
          <w:tcPr>
            <w:tcW w:w="1937" w:type="dxa"/>
          </w:tcPr>
          <w:p w:rsidR="00FC3FCD" w:rsidRPr="00B32F64" w:rsidRDefault="00FC3FCD" w:rsidP="00467902">
            <w:pPr>
              <w:rPr>
                <w:b/>
              </w:rPr>
            </w:pPr>
            <w:r w:rsidRPr="00B32F64">
              <w:rPr>
                <w:b/>
              </w:rPr>
              <w:t>Subject</w:t>
            </w:r>
          </w:p>
          <w:p w:rsidR="00FC3FCD" w:rsidRPr="00B32F64" w:rsidRDefault="00FC3FCD" w:rsidP="00467902">
            <w:pPr>
              <w:rPr>
                <w:b/>
              </w:rPr>
            </w:pPr>
          </w:p>
        </w:tc>
        <w:tc>
          <w:tcPr>
            <w:tcW w:w="7351" w:type="dxa"/>
            <w:gridSpan w:val="3"/>
          </w:tcPr>
          <w:p w:rsidR="00107314" w:rsidRPr="006A6321" w:rsidRDefault="00410EFE" w:rsidP="008F35AC">
            <w:pPr>
              <w:rPr>
                <w:b/>
              </w:rPr>
            </w:pPr>
            <w:r>
              <w:rPr>
                <w:b/>
              </w:rPr>
              <w:t xml:space="preserve">CBE </w:t>
            </w:r>
            <w:r w:rsidR="008F35AC">
              <w:rPr>
                <w:b/>
              </w:rPr>
              <w:t>2</w:t>
            </w:r>
            <w:r>
              <w:rPr>
                <w:b/>
              </w:rPr>
              <w:t xml:space="preserve">: </w:t>
            </w:r>
            <w:r w:rsidR="008F35AC">
              <w:rPr>
                <w:b/>
              </w:rPr>
              <w:t>Short List</w:t>
            </w:r>
            <w:r>
              <w:rPr>
                <w:b/>
              </w:rPr>
              <w:t xml:space="preserve"> Programme of Measures</w:t>
            </w:r>
            <w:r w:rsidR="00E50192">
              <w:rPr>
                <w:b/>
              </w:rPr>
              <w:t xml:space="preserve"> Romania and Bulgaria</w:t>
            </w:r>
            <w:r w:rsidR="00D65E69">
              <w:rPr>
                <w:b/>
              </w:rPr>
              <w:t xml:space="preserve"> + </w:t>
            </w:r>
            <w:r w:rsidR="008F35AC">
              <w:rPr>
                <w:b/>
              </w:rPr>
              <w:t>Evaluation criteria</w:t>
            </w:r>
            <w:r w:rsidR="00E50192">
              <w:rPr>
                <w:b/>
              </w:rPr>
              <w:t xml:space="preserve"> + </w:t>
            </w:r>
            <w:r w:rsidR="008F35AC">
              <w:rPr>
                <w:b/>
              </w:rPr>
              <w:t>Evaluation</w:t>
            </w:r>
          </w:p>
        </w:tc>
      </w:tr>
      <w:tr w:rsidR="00FC3FCD" w:rsidRPr="00B32F64" w:rsidTr="0003312A">
        <w:tc>
          <w:tcPr>
            <w:tcW w:w="1937" w:type="dxa"/>
          </w:tcPr>
          <w:p w:rsidR="00FC3FCD" w:rsidRPr="00B32F64" w:rsidRDefault="00FC3FCD" w:rsidP="00467902">
            <w:pPr>
              <w:rPr>
                <w:b/>
              </w:rPr>
            </w:pPr>
            <w:r w:rsidRPr="00B32F64">
              <w:rPr>
                <w:b/>
              </w:rPr>
              <w:t>Objective</w:t>
            </w:r>
            <w:r w:rsidR="00240CE4">
              <w:rPr>
                <w:b/>
              </w:rPr>
              <w:t>s</w:t>
            </w:r>
          </w:p>
        </w:tc>
        <w:tc>
          <w:tcPr>
            <w:tcW w:w="7351" w:type="dxa"/>
            <w:gridSpan w:val="3"/>
          </w:tcPr>
          <w:p w:rsidR="00B32F64" w:rsidRDefault="008F35AC" w:rsidP="00467902">
            <w:r>
              <w:t>Short list of common/joint measures</w:t>
            </w:r>
          </w:p>
          <w:p w:rsidR="008F35AC" w:rsidRDefault="008F35AC" w:rsidP="00467902">
            <w:r>
              <w:t>Agreement on evaluation criteria (effectiveness, overall)</w:t>
            </w:r>
          </w:p>
          <w:p w:rsidR="008F35AC" w:rsidRPr="00B32F64" w:rsidRDefault="008F35AC" w:rsidP="00467902">
            <w:r>
              <w:t>Criteria analysis</w:t>
            </w:r>
          </w:p>
          <w:p w:rsidR="005362DA" w:rsidRPr="00B32F64" w:rsidRDefault="00285DEC" w:rsidP="00B32F64">
            <w:r w:rsidRPr="00B32F64">
              <w:t>Agreement on next steps and planning</w:t>
            </w:r>
          </w:p>
        </w:tc>
      </w:tr>
      <w:tr w:rsidR="00FC3FCD" w:rsidRPr="0027498F" w:rsidTr="0003312A">
        <w:tc>
          <w:tcPr>
            <w:tcW w:w="1937" w:type="dxa"/>
          </w:tcPr>
          <w:p w:rsidR="00FC3FCD" w:rsidRPr="0027498F" w:rsidRDefault="00FC3FCD" w:rsidP="00467902">
            <w:pPr>
              <w:rPr>
                <w:b/>
                <w:highlight w:val="yellow"/>
              </w:rPr>
            </w:pPr>
          </w:p>
        </w:tc>
        <w:tc>
          <w:tcPr>
            <w:tcW w:w="7351" w:type="dxa"/>
            <w:gridSpan w:val="3"/>
          </w:tcPr>
          <w:p w:rsidR="00FC3FCD" w:rsidRPr="0027498F" w:rsidRDefault="00FC3FCD" w:rsidP="00FC3FCD">
            <w:pPr>
              <w:rPr>
                <w:highlight w:val="yellow"/>
              </w:rPr>
            </w:pPr>
          </w:p>
        </w:tc>
      </w:tr>
      <w:tr w:rsidR="00FC3FCD" w:rsidRPr="008F35AC" w:rsidTr="0003312A">
        <w:tc>
          <w:tcPr>
            <w:tcW w:w="1937" w:type="dxa"/>
          </w:tcPr>
          <w:p w:rsidR="00FC3FCD" w:rsidRPr="008F35AC" w:rsidRDefault="00E56F5D" w:rsidP="00467902">
            <w:pPr>
              <w:rPr>
                <w:b/>
                <w:highlight w:val="yellow"/>
              </w:rPr>
            </w:pPr>
            <w:r w:rsidRPr="00CD366E">
              <w:rPr>
                <w:b/>
              </w:rPr>
              <w:t>Results</w:t>
            </w:r>
          </w:p>
        </w:tc>
        <w:tc>
          <w:tcPr>
            <w:tcW w:w="7351" w:type="dxa"/>
            <w:gridSpan w:val="3"/>
          </w:tcPr>
          <w:p w:rsidR="00FB3F9E" w:rsidRPr="00CD366E" w:rsidRDefault="00FB3F9E" w:rsidP="00285DEC">
            <w:pPr>
              <w:rPr>
                <w:b/>
                <w:i/>
              </w:rPr>
            </w:pPr>
            <w:r w:rsidRPr="00CD366E">
              <w:rPr>
                <w:b/>
                <w:i/>
              </w:rPr>
              <w:t>Introduction and welcome</w:t>
            </w:r>
            <w:r w:rsidR="006A0BEC">
              <w:rPr>
                <w:b/>
                <w:i/>
              </w:rPr>
              <w:t>: Context POMs</w:t>
            </w:r>
          </w:p>
          <w:p w:rsidR="001171A6" w:rsidRPr="00CD366E" w:rsidRDefault="001171A6" w:rsidP="00FB3F9E"/>
          <w:p w:rsidR="006A0BEC" w:rsidRDefault="001171A6" w:rsidP="001171A6">
            <w:pPr>
              <w:tabs>
                <w:tab w:val="num" w:pos="720"/>
              </w:tabs>
            </w:pPr>
            <w:r w:rsidRPr="00CD366E">
              <w:t>WR</w:t>
            </w:r>
            <w:r w:rsidR="00D65E69" w:rsidRPr="00CD366E">
              <w:t>O</w:t>
            </w:r>
            <w:r w:rsidRPr="00CD366E">
              <w:t xml:space="preserve"> </w:t>
            </w:r>
            <w:r w:rsidR="006A0BEC">
              <w:t>introduces the context of the Programme of Measures (POMs):</w:t>
            </w:r>
          </w:p>
          <w:p w:rsidR="006A0BEC" w:rsidRPr="006A0BEC" w:rsidRDefault="001171A6" w:rsidP="001E332C">
            <w:pPr>
              <w:pStyle w:val="Lijstalinea"/>
              <w:numPr>
                <w:ilvl w:val="0"/>
                <w:numId w:val="33"/>
              </w:numPr>
              <w:tabs>
                <w:tab w:val="num" w:pos="720"/>
              </w:tabs>
            </w:pPr>
            <w:r w:rsidRPr="006A0BEC">
              <w:t xml:space="preserve">an overview of </w:t>
            </w:r>
            <w:r w:rsidR="00D65E69" w:rsidRPr="006A0BEC">
              <w:t xml:space="preserve">the objectives of the </w:t>
            </w:r>
            <w:r w:rsidRPr="006A0BEC">
              <w:t xml:space="preserve">phase 1 </w:t>
            </w:r>
            <w:r w:rsidR="00D65E69" w:rsidRPr="006A0BEC">
              <w:t xml:space="preserve">of the project and the </w:t>
            </w:r>
            <w:r w:rsidR="00E50192" w:rsidRPr="006A0BEC">
              <w:t>outcomes</w:t>
            </w:r>
            <w:r w:rsidR="00D65E69" w:rsidRPr="006A0BEC">
              <w:t xml:space="preserve"> </w:t>
            </w:r>
            <w:r w:rsidR="00E50192" w:rsidRPr="006A0BEC">
              <w:t>of the project</w:t>
            </w:r>
          </w:p>
          <w:p w:rsidR="00FB3F9E" w:rsidRPr="006A0BEC" w:rsidRDefault="00FB3F9E" w:rsidP="001E332C">
            <w:pPr>
              <w:pStyle w:val="Lijstalinea"/>
              <w:numPr>
                <w:ilvl w:val="0"/>
                <w:numId w:val="33"/>
              </w:numPr>
              <w:tabs>
                <w:tab w:val="num" w:pos="720"/>
              </w:tabs>
            </w:pPr>
            <w:r w:rsidRPr="006A0BEC">
              <w:t>the objectives of the phase 2 of the project</w:t>
            </w:r>
            <w:r w:rsidR="00D65E69" w:rsidRPr="006A0BEC">
              <w:t xml:space="preserve">: </w:t>
            </w:r>
            <w:r w:rsidRPr="006A0BEC">
              <w:t xml:space="preserve">“Technical and administrative support for the joint implementation of the marine Strategy Framework Directive </w:t>
            </w:r>
            <w:r w:rsidR="00E50192" w:rsidRPr="006A0BEC">
              <w:t>(MSFD) in Bulgaria and Romania”. The project will build further on phase I and will include the following elements:</w:t>
            </w:r>
          </w:p>
          <w:p w:rsidR="006A0BEC" w:rsidRPr="005B2CDD" w:rsidRDefault="006A0BEC" w:rsidP="006A0BEC">
            <w:pPr>
              <w:rPr>
                <w:u w:val="single"/>
              </w:rPr>
            </w:pPr>
            <w:r w:rsidRPr="005B2CDD">
              <w:rPr>
                <w:u w:val="single"/>
              </w:rPr>
              <w:t>UBA project</w:t>
            </w:r>
          </w:p>
          <w:p w:rsidR="006A0BEC" w:rsidRPr="006A0BEC" w:rsidRDefault="006A0BEC" w:rsidP="006A0BEC">
            <w:r w:rsidRPr="006A0BEC">
              <w:t>M</w:t>
            </w:r>
            <w:r>
              <w:t>r.</w:t>
            </w:r>
            <w:r w:rsidRPr="006A0BEC">
              <w:t xml:space="preserve"> Stefan G</w:t>
            </w:r>
            <w:r>
              <w:t>ö</w:t>
            </w:r>
            <w:r w:rsidRPr="006A0BEC">
              <w:t>rl</w:t>
            </w:r>
            <w:r>
              <w:t>i</w:t>
            </w:r>
            <w:r w:rsidRPr="006A0BEC">
              <w:t xml:space="preserve">tz of the German presented an outline of the German-Bulgarian twinning project (UBA) “Implementation of the Marine Strategy Framework Directive (MSFD) in Bulgaria – Development of </w:t>
            </w:r>
            <w:proofErr w:type="spellStart"/>
            <w:r w:rsidRPr="006A0BEC">
              <w:t>Programmes</w:t>
            </w:r>
            <w:proofErr w:type="spellEnd"/>
            <w:r w:rsidRPr="006A0BEC">
              <w:t xml:space="preserve"> of Measures </w:t>
            </w:r>
            <w:r w:rsidR="009C62ED">
              <w:t xml:space="preserve">under Article 13”. This project </w:t>
            </w:r>
            <w:r w:rsidRPr="006A0BEC">
              <w:t>is funded by the German government and is aimed to assist and guide Bulgaria with the development of the national Programme of Measures for Bulgaria. More specifically the project aims to develop:</w:t>
            </w:r>
          </w:p>
          <w:p w:rsidR="006A0BEC" w:rsidRPr="006A0BEC" w:rsidRDefault="006A0BEC" w:rsidP="006A0BEC">
            <w:pPr>
              <w:pStyle w:val="Lijstalinea"/>
              <w:numPr>
                <w:ilvl w:val="0"/>
                <w:numId w:val="30"/>
              </w:numPr>
            </w:pPr>
            <w:r w:rsidRPr="006A0BEC">
              <w:t xml:space="preserve">a guidance document that will serve as a basis for the preparation of </w:t>
            </w:r>
            <w:r w:rsidR="00D10C77">
              <w:t xml:space="preserve">national </w:t>
            </w:r>
            <w:proofErr w:type="spellStart"/>
            <w:r w:rsidR="00910897">
              <w:t>P</w:t>
            </w:r>
            <w:r w:rsidRPr="006A0BEC">
              <w:t>rogramme</w:t>
            </w:r>
            <w:proofErr w:type="spellEnd"/>
            <w:r w:rsidRPr="006A0BEC">
              <w:t xml:space="preserve"> of </w:t>
            </w:r>
            <w:r w:rsidR="00910897">
              <w:t>M</w:t>
            </w:r>
            <w:r w:rsidRPr="006A0BEC">
              <w:t>easures pursuant to Art. 13 MSFD in Bulgaria;</w:t>
            </w:r>
          </w:p>
          <w:p w:rsidR="006A0BEC" w:rsidRPr="006A0BEC" w:rsidRDefault="006A0BEC" w:rsidP="006A0BEC">
            <w:pPr>
              <w:pStyle w:val="Lijstalinea"/>
              <w:numPr>
                <w:ilvl w:val="0"/>
                <w:numId w:val="30"/>
              </w:numPr>
            </w:pPr>
            <w:r w:rsidRPr="006A0BEC">
              <w:t xml:space="preserve">To advise the Bulgarian administration on the implementation of </w:t>
            </w:r>
            <w:r w:rsidR="00D10C77">
              <w:t xml:space="preserve">national </w:t>
            </w:r>
            <w:proofErr w:type="spellStart"/>
            <w:r w:rsidR="00910897">
              <w:t>P</w:t>
            </w:r>
            <w:r w:rsidRPr="006A0BEC">
              <w:t>rogrammes</w:t>
            </w:r>
            <w:proofErr w:type="spellEnd"/>
            <w:r w:rsidRPr="006A0BEC">
              <w:t xml:space="preserve"> of </w:t>
            </w:r>
            <w:r w:rsidR="00910897">
              <w:t>M</w:t>
            </w:r>
            <w:r w:rsidRPr="006A0BEC">
              <w:t>easures through 2017;</w:t>
            </w:r>
          </w:p>
          <w:p w:rsidR="006A0BEC" w:rsidRPr="006A0BEC" w:rsidRDefault="006A0BEC" w:rsidP="006A0BEC">
            <w:pPr>
              <w:pStyle w:val="Lijstalinea"/>
              <w:numPr>
                <w:ilvl w:val="0"/>
                <w:numId w:val="30"/>
              </w:numPr>
            </w:pPr>
            <w:r w:rsidRPr="006A0BEC">
              <w:t xml:space="preserve">To organize various workshops and working groups; </w:t>
            </w:r>
          </w:p>
          <w:p w:rsidR="006A0BEC" w:rsidRPr="006A0BEC" w:rsidRDefault="006A0BEC" w:rsidP="006A0BEC">
            <w:pPr>
              <w:pStyle w:val="Lijstalinea"/>
              <w:numPr>
                <w:ilvl w:val="0"/>
                <w:numId w:val="30"/>
              </w:numPr>
            </w:pPr>
            <w:r w:rsidRPr="006A0BEC">
              <w:t>To facilitate capacity building in Bulgaria through the exchange of knowledge between experts from Bulgaria and Germany, as well as Romania.</w:t>
            </w:r>
          </w:p>
          <w:p w:rsidR="006A0BEC" w:rsidRPr="006A0BEC" w:rsidRDefault="006A0BEC" w:rsidP="006A0BEC">
            <w:r w:rsidRPr="006A0BEC">
              <w:t>There is significant overlap between this project and the EC project (but with a different focus, national Bulgarian measures versus coordinated Bulgarian/Romanian). In a coordination meeting on 12</w:t>
            </w:r>
            <w:r w:rsidRPr="006A0BEC">
              <w:rPr>
                <w:vertAlign w:val="superscript"/>
              </w:rPr>
              <w:t>th</w:t>
            </w:r>
            <w:r w:rsidRPr="006A0BEC">
              <w:t xml:space="preserve"> March in Brussels, coordination and cooperation aspects to synergize aspects have been discussed.</w:t>
            </w:r>
          </w:p>
          <w:p w:rsidR="00FB3F9E" w:rsidRPr="006A0BEC" w:rsidRDefault="00FB3F9E" w:rsidP="00FB3F9E">
            <w:pPr>
              <w:rPr>
                <w:b/>
                <w:highlight w:val="yellow"/>
              </w:rPr>
            </w:pPr>
          </w:p>
          <w:p w:rsidR="004219EB" w:rsidRPr="006A0BEC" w:rsidRDefault="004219EB" w:rsidP="00285DEC">
            <w:pPr>
              <w:rPr>
                <w:highlight w:val="yellow"/>
              </w:rPr>
            </w:pPr>
          </w:p>
          <w:p w:rsidR="00285DEC" w:rsidRPr="005B2CDD" w:rsidRDefault="00B32F64" w:rsidP="00285DEC">
            <w:pPr>
              <w:rPr>
                <w:b/>
                <w:i/>
              </w:rPr>
            </w:pPr>
            <w:r w:rsidRPr="005B2CDD">
              <w:rPr>
                <w:b/>
                <w:i/>
              </w:rPr>
              <w:t>Long list of measures</w:t>
            </w:r>
            <w:r w:rsidR="006A0BEC" w:rsidRPr="005B2CDD">
              <w:rPr>
                <w:b/>
                <w:i/>
              </w:rPr>
              <w:t xml:space="preserve"> and pre-selection</w:t>
            </w:r>
          </w:p>
          <w:p w:rsidR="00285DEC" w:rsidRPr="005B2CDD" w:rsidRDefault="00285DEC" w:rsidP="00285DEC"/>
          <w:p w:rsidR="00B53294" w:rsidRDefault="001171A6" w:rsidP="006A0BEC">
            <w:r w:rsidRPr="005B2CDD">
              <w:t>WR</w:t>
            </w:r>
            <w:r w:rsidR="00805A08" w:rsidRPr="005B2CDD">
              <w:t>O</w:t>
            </w:r>
            <w:r w:rsidRPr="005B2CDD">
              <w:t xml:space="preserve"> </w:t>
            </w:r>
            <w:r w:rsidR="006A0BEC" w:rsidRPr="005B2CDD">
              <w:t>refreshe</w:t>
            </w:r>
            <w:r w:rsidR="00B53294">
              <w:t>d</w:t>
            </w:r>
            <w:r w:rsidR="006A0BEC" w:rsidRPr="005B2CDD">
              <w:t xml:space="preserve"> the</w:t>
            </w:r>
            <w:r w:rsidRPr="005B2CDD">
              <w:t xml:space="preserve"> </w:t>
            </w:r>
            <w:r w:rsidR="006A0BEC" w:rsidRPr="005B2CDD">
              <w:t>terminology o</w:t>
            </w:r>
            <w:r w:rsidR="00B53294">
              <w:t>f</w:t>
            </w:r>
            <w:r w:rsidR="006A0BEC" w:rsidRPr="005B2CDD">
              <w:t xml:space="preserve"> </w:t>
            </w:r>
            <w:r w:rsidR="000B4B51" w:rsidRPr="005B2CDD">
              <w:t>the</w:t>
            </w:r>
            <w:r w:rsidR="006A0BEC" w:rsidRPr="005B2CDD">
              <w:t xml:space="preserve"> types of measures </w:t>
            </w:r>
            <w:r w:rsidR="00D65E69" w:rsidRPr="005B2CDD">
              <w:t>and new versus existing measures</w:t>
            </w:r>
            <w:r w:rsidRPr="005B2CDD">
              <w:t>.</w:t>
            </w:r>
          </w:p>
          <w:p w:rsidR="00805A08" w:rsidRPr="005B2CDD" w:rsidRDefault="005E778C" w:rsidP="006A0BEC">
            <w:r w:rsidRPr="005B2CDD">
              <w:t xml:space="preserve"> </w:t>
            </w:r>
          </w:p>
          <w:p w:rsidR="00DB38A0" w:rsidRPr="00C676D7" w:rsidRDefault="006A0BEC" w:rsidP="00285DEC">
            <w:r w:rsidRPr="005B2CDD">
              <w:t xml:space="preserve">The long-list of potential common measures (outcomes of the CBE 1) in Constanta </w:t>
            </w:r>
            <w:r w:rsidR="00B53294">
              <w:t>wa</w:t>
            </w:r>
            <w:r w:rsidRPr="005B2CDD">
              <w:t>s discussed.</w:t>
            </w:r>
            <w:r w:rsidR="005B2CDD" w:rsidRPr="005B2CDD">
              <w:t xml:space="preserve"> During </w:t>
            </w:r>
            <w:r w:rsidR="00DB7772">
              <w:t xml:space="preserve">a </w:t>
            </w:r>
            <w:r w:rsidR="005B2CDD" w:rsidRPr="005B2CDD">
              <w:t xml:space="preserve">group </w:t>
            </w:r>
            <w:r w:rsidR="00DB7772">
              <w:t>discussion</w:t>
            </w:r>
            <w:r w:rsidR="005B2CDD" w:rsidRPr="005B2CDD">
              <w:t>,</w:t>
            </w:r>
            <w:r w:rsidR="00DB7772">
              <w:t xml:space="preserve"> a number of measures were decided not to be included for further analysis because th</w:t>
            </w:r>
            <w:r w:rsidR="00B53294">
              <w:t>ese</w:t>
            </w:r>
            <w:r w:rsidR="00DB7772">
              <w:t xml:space="preserve"> included</w:t>
            </w:r>
            <w:r w:rsidR="005B2CDD" w:rsidRPr="005B2CDD">
              <w:t xml:space="preserve"> </w:t>
            </w:r>
            <w:r w:rsidR="00DB7772">
              <w:t>duplicates</w:t>
            </w:r>
            <w:r w:rsidR="005B2CDD" w:rsidRPr="005B2CDD">
              <w:t>,</w:t>
            </w:r>
            <w:r w:rsidR="00DB7772">
              <w:t xml:space="preserve"> measures with a pure</w:t>
            </w:r>
            <w:r w:rsidR="005B2CDD" w:rsidRPr="005B2CDD">
              <w:t xml:space="preserve"> research or monitoring </w:t>
            </w:r>
            <w:r w:rsidR="00DB7772">
              <w:t>focus (thereby not contributing directly/indirectly to address the pressure)</w:t>
            </w:r>
            <w:r w:rsidR="005B2CDD" w:rsidRPr="005B2CDD">
              <w:t xml:space="preserve">. </w:t>
            </w:r>
            <w:r w:rsidR="00DB7772">
              <w:t xml:space="preserve"> A total of 3</w:t>
            </w:r>
            <w:r w:rsidR="00B53294">
              <w:t>7</w:t>
            </w:r>
            <w:r w:rsidR="00DB7772">
              <w:t xml:space="preserve"> common/joint measures were selected from an initial list of 76. 4 measures required a more s</w:t>
            </w:r>
            <w:r w:rsidR="00B53294">
              <w:t xml:space="preserve">pecific definition as there was </w:t>
            </w:r>
            <w:proofErr w:type="spellStart"/>
            <w:r w:rsidR="00B53294">
              <w:t>unclarity</w:t>
            </w:r>
            <w:proofErr w:type="spellEnd"/>
            <w:r w:rsidR="00B53294">
              <w:t xml:space="preserve"> </w:t>
            </w:r>
            <w:r w:rsidR="00DB7772">
              <w:t>on the meaning</w:t>
            </w:r>
            <w:r w:rsidR="00B53294">
              <w:t xml:space="preserve"> (these have been indicated in yellow in the table in attachment)</w:t>
            </w:r>
            <w:r w:rsidR="00DB7772">
              <w:t xml:space="preserve">. </w:t>
            </w:r>
            <w:r w:rsidR="00C676D7" w:rsidRPr="00C676D7">
              <w:rPr>
                <w:lang w:val="bg-BG"/>
              </w:rPr>
              <w:t>There</w:t>
            </w:r>
            <w:bookmarkStart w:id="0" w:name="_GoBack"/>
            <w:bookmarkEnd w:id="0"/>
            <w:r w:rsidR="00C676D7" w:rsidRPr="00C676D7">
              <w:rPr>
                <w:lang w:val="bg-BG"/>
              </w:rPr>
              <w:t xml:space="preserve"> was a group agreement to keep the revised number of measures at this stage. It is better to have bigger number of measures related to different types of pressures to compare their effectiveness. After the public consultation, some of proposed measures could be excluded as not so efficient or due to need of high </w:t>
            </w:r>
            <w:r w:rsidR="00C13535">
              <w:t>financial</w:t>
            </w:r>
            <w:r w:rsidR="00C676D7" w:rsidRPr="00C676D7">
              <w:rPr>
                <w:lang w:val="bg-BG"/>
              </w:rPr>
              <w:t xml:space="preserve"> investments.</w:t>
            </w:r>
          </w:p>
          <w:p w:rsidR="006A0BEC" w:rsidRDefault="006A0BEC" w:rsidP="00285DEC">
            <w:pPr>
              <w:rPr>
                <w:highlight w:val="yellow"/>
              </w:rPr>
            </w:pPr>
          </w:p>
          <w:p w:rsidR="005B2CDD" w:rsidRDefault="005B2CDD" w:rsidP="00285DEC">
            <w:pPr>
              <w:rPr>
                <w:b/>
                <w:i/>
              </w:rPr>
            </w:pPr>
            <w:r w:rsidRPr="005B2CDD">
              <w:rPr>
                <w:b/>
                <w:i/>
              </w:rPr>
              <w:t xml:space="preserve">Shortlist </w:t>
            </w:r>
            <w:proofErr w:type="spellStart"/>
            <w:r w:rsidRPr="005B2CDD">
              <w:rPr>
                <w:b/>
                <w:i/>
              </w:rPr>
              <w:t>PoM</w:t>
            </w:r>
            <w:proofErr w:type="spellEnd"/>
          </w:p>
          <w:p w:rsidR="005B2CDD" w:rsidRPr="005B2CDD" w:rsidRDefault="005B2CDD" w:rsidP="00285DEC"/>
          <w:p w:rsidR="005B2CDD" w:rsidRDefault="005B2CDD" w:rsidP="00DB38A0">
            <w:r w:rsidRPr="005B2CDD">
              <w:t xml:space="preserve">A detailed selection of the longlist measures was done </w:t>
            </w:r>
            <w:r>
              <w:t>in plenary</w:t>
            </w:r>
            <w:r w:rsidRPr="005B2CDD">
              <w:t xml:space="preserve">. Initially, the </w:t>
            </w:r>
            <w:r w:rsidRPr="008C78AD">
              <w:rPr>
                <w:u w:val="single"/>
              </w:rPr>
              <w:t>proposed criteria were agreed</w:t>
            </w:r>
            <w:r w:rsidRPr="005B2CDD">
              <w:t xml:space="preserve"> on by the attendees</w:t>
            </w:r>
            <w:r>
              <w:t>:</w:t>
            </w:r>
          </w:p>
          <w:p w:rsidR="005B2CDD" w:rsidRPr="008C78AD" w:rsidRDefault="005B2CDD" w:rsidP="005B2CDD">
            <w:pPr>
              <w:pStyle w:val="Lijstalinea"/>
              <w:numPr>
                <w:ilvl w:val="0"/>
                <w:numId w:val="34"/>
              </w:numPr>
              <w:rPr>
                <w:lang w:val="es-ES"/>
              </w:rPr>
            </w:pPr>
            <w:r w:rsidRPr="008C78AD">
              <w:rPr>
                <w:lang w:val="es-ES"/>
              </w:rPr>
              <w:t>MSFD relevance criteria</w:t>
            </w:r>
            <w:r w:rsidR="008C78AD" w:rsidRPr="008C78AD">
              <w:rPr>
                <w:lang w:val="es-ES"/>
              </w:rPr>
              <w:t xml:space="preserve"> (yes/no)</w:t>
            </w:r>
          </w:p>
          <w:p w:rsidR="005B2CDD" w:rsidRDefault="005B2CDD" w:rsidP="005B2CDD">
            <w:pPr>
              <w:pStyle w:val="Lijstalinea"/>
              <w:numPr>
                <w:ilvl w:val="0"/>
                <w:numId w:val="34"/>
              </w:numPr>
            </w:pPr>
            <w:r>
              <w:t xml:space="preserve">Overall effectiveness common/joint measure=potential reduction of pressure (3 criteria) + geographical dimension (1 </w:t>
            </w:r>
            <w:proofErr w:type="spellStart"/>
            <w:r>
              <w:t>criteri</w:t>
            </w:r>
            <w:r w:rsidR="00B53294">
              <w:t>um</w:t>
            </w:r>
            <w:proofErr w:type="spellEnd"/>
            <w:r>
              <w:t>)</w:t>
            </w:r>
          </w:p>
          <w:p w:rsidR="005B2CDD" w:rsidRDefault="005B2CDD" w:rsidP="005B2CDD">
            <w:pPr>
              <w:pStyle w:val="Lijstalinea"/>
              <w:numPr>
                <w:ilvl w:val="0"/>
                <w:numId w:val="34"/>
              </w:numPr>
            </w:pPr>
            <w:r>
              <w:t xml:space="preserve">Overall acceptance: 2 criteria were selected: Stakeholder acceptance and operational </w:t>
            </w:r>
            <w:r w:rsidR="008C78AD">
              <w:t>feasibility</w:t>
            </w:r>
          </w:p>
          <w:p w:rsidR="005B2CDD" w:rsidRPr="005B2CDD" w:rsidRDefault="005B2CDD" w:rsidP="00DB38A0"/>
          <w:p w:rsidR="008C78AD" w:rsidRPr="008C78AD" w:rsidRDefault="008C78AD" w:rsidP="00075AC4">
            <w:r w:rsidRPr="008C78AD">
              <w:t>On Tuesday, attendees</w:t>
            </w:r>
            <w:r w:rsidR="00075AC4" w:rsidRPr="008C78AD">
              <w:t xml:space="preserve"> </w:t>
            </w:r>
            <w:r w:rsidR="00B53294">
              <w:t xml:space="preserve">assessed the </w:t>
            </w:r>
            <w:r w:rsidRPr="008C78AD">
              <w:t xml:space="preserve">effectiveness criteria for all of the common/joint measures. </w:t>
            </w:r>
            <w:r w:rsidR="00DB7772">
              <w:t xml:space="preserve">Overall acceptance </w:t>
            </w:r>
            <w:r w:rsidR="00B53294">
              <w:t xml:space="preserve">by stakeholders </w:t>
            </w:r>
            <w:r w:rsidR="00DB7772">
              <w:t xml:space="preserve">and operational feasibility </w:t>
            </w:r>
            <w:r w:rsidR="00B53294">
              <w:t>were</w:t>
            </w:r>
            <w:r w:rsidR="00DB7772">
              <w:t xml:space="preserve"> assessed on Wednesday</w:t>
            </w:r>
          </w:p>
          <w:p w:rsidR="008C78AD" w:rsidRPr="008C78AD" w:rsidRDefault="008C78AD" w:rsidP="00075AC4">
            <w:r w:rsidRPr="008C78AD">
              <w:t xml:space="preserve">During this multicriteria-analysis, measures </w:t>
            </w:r>
            <w:r w:rsidR="00DB7772">
              <w:t>were</w:t>
            </w:r>
            <w:r w:rsidRPr="008C78AD">
              <w:t xml:space="preserve"> described in more detail.</w:t>
            </w:r>
          </w:p>
          <w:p w:rsidR="008C78AD" w:rsidRDefault="008C78AD" w:rsidP="00075AC4">
            <w:pPr>
              <w:rPr>
                <w:highlight w:val="yellow"/>
              </w:rPr>
            </w:pPr>
          </w:p>
          <w:p w:rsidR="008C78AD" w:rsidRPr="008C78AD" w:rsidRDefault="008C78AD" w:rsidP="00075AC4">
            <w:pPr>
              <w:rPr>
                <w:u w:val="single"/>
              </w:rPr>
            </w:pPr>
            <w:r w:rsidRPr="008C78AD">
              <w:rPr>
                <w:u w:val="single"/>
              </w:rPr>
              <w:t>Calculation and ranking of measures</w:t>
            </w:r>
          </w:p>
          <w:p w:rsidR="00DB7772" w:rsidRDefault="00DB7772" w:rsidP="00075AC4"/>
          <w:p w:rsidR="00DB7772" w:rsidRDefault="00653523" w:rsidP="00075AC4">
            <w:r>
              <w:t>Several methods for the c</w:t>
            </w:r>
            <w:r w:rsidR="00DB7772">
              <w:t xml:space="preserve">alculation of overall effectiveness </w:t>
            </w:r>
            <w:r>
              <w:t>are possible</w:t>
            </w:r>
            <w:r w:rsidR="00B53294">
              <w:t xml:space="preserve"> and </w:t>
            </w:r>
            <w:r w:rsidR="00DB7772">
              <w:t xml:space="preserve">3 different methods were discussed. It was agreed that ARCADIS would </w:t>
            </w:r>
            <w:r>
              <w:t>calculate effectiveness based upon these 3 different methods</w:t>
            </w:r>
            <w:r w:rsidR="00DB7772">
              <w:t xml:space="preserve"> </w:t>
            </w:r>
            <w:r>
              <w:t>in the workshop result table (see Annex).</w:t>
            </w:r>
          </w:p>
          <w:p w:rsidR="00DB7772" w:rsidRDefault="00DB7772" w:rsidP="00075AC4"/>
          <w:p w:rsidR="00653523" w:rsidRPr="00DA1EEC" w:rsidRDefault="00653523" w:rsidP="00075AC4">
            <w:r>
              <w:t xml:space="preserve">The </w:t>
            </w:r>
            <w:r w:rsidR="00B53294">
              <w:t xml:space="preserve">methods for </w:t>
            </w:r>
            <w:r>
              <w:t>calculation</w:t>
            </w:r>
            <w:r w:rsidR="00B53294">
              <w:t xml:space="preserve"> of effectiveness </w:t>
            </w:r>
            <w:r>
              <w:t xml:space="preserve"> showed that th</w:t>
            </w:r>
            <w:r w:rsidR="00B53294">
              <w:t xml:space="preserve">is only </w:t>
            </w:r>
            <w:r>
              <w:t>result</w:t>
            </w:r>
            <w:r w:rsidR="00B53294">
              <w:t>s</w:t>
            </w:r>
            <w:r>
              <w:t xml:space="preserve"> in minor differences in rank</w:t>
            </w:r>
            <w:r w:rsidR="00B53294">
              <w:t xml:space="preserve">ing </w:t>
            </w:r>
            <w:r>
              <w:t xml:space="preserve"> of measures</w:t>
            </w:r>
            <w:r w:rsidR="00B53294">
              <w:t xml:space="preserve"> according to effectiveness (see workshop result table in Annex)</w:t>
            </w:r>
            <w:r>
              <w:t>.</w:t>
            </w:r>
          </w:p>
          <w:p w:rsidR="008C78AD" w:rsidRDefault="008C78AD" w:rsidP="00075AC4">
            <w:pPr>
              <w:rPr>
                <w:highlight w:val="yellow"/>
              </w:rPr>
            </w:pPr>
          </w:p>
          <w:p w:rsidR="00653523" w:rsidRPr="00653523" w:rsidRDefault="00653523" w:rsidP="00075AC4">
            <w:r w:rsidRPr="00653523">
              <w:t>The</w:t>
            </w:r>
            <w:r>
              <w:t xml:space="preserve"> group agreed not to skip or shortlist measures in this phase and include all common/joint measures for cost benefit analysis in the next workshop</w:t>
            </w:r>
          </w:p>
          <w:p w:rsidR="00653523" w:rsidRDefault="00653523" w:rsidP="00075AC4"/>
          <w:p w:rsidR="003A36E1" w:rsidRPr="006E4CD8" w:rsidRDefault="003A36E1" w:rsidP="00075AC4">
            <w:r w:rsidRPr="006E4CD8">
              <w:t xml:space="preserve">The draft </w:t>
            </w:r>
            <w:r w:rsidR="008C78AD" w:rsidRPr="006E4CD8">
              <w:t>‘short’</w:t>
            </w:r>
            <w:r w:rsidRPr="006E4CD8">
              <w:t xml:space="preserve"> list </w:t>
            </w:r>
            <w:r w:rsidR="00653523">
              <w:t xml:space="preserve">(workshop result table) </w:t>
            </w:r>
            <w:r w:rsidR="00DA1EEC" w:rsidRPr="006E4CD8">
              <w:t xml:space="preserve">is added in annex. </w:t>
            </w:r>
          </w:p>
          <w:p w:rsidR="001608FA" w:rsidRDefault="001608FA" w:rsidP="00285DEC">
            <w:pPr>
              <w:rPr>
                <w:highlight w:val="yellow"/>
              </w:rPr>
            </w:pPr>
          </w:p>
          <w:p w:rsidR="00197E38" w:rsidRPr="00197E38" w:rsidRDefault="00197E38" w:rsidP="00285DEC">
            <w:pPr>
              <w:rPr>
                <w:b/>
                <w:i/>
              </w:rPr>
            </w:pPr>
            <w:r w:rsidRPr="00197E38">
              <w:rPr>
                <w:b/>
                <w:i/>
              </w:rPr>
              <w:lastRenderedPageBreak/>
              <w:t>Initial steps CBE/CBA Brussels 6-7 May 2015</w:t>
            </w:r>
          </w:p>
          <w:p w:rsidR="00197E38" w:rsidRDefault="00197E38" w:rsidP="00197E38">
            <w:r w:rsidRPr="006E4CD8">
              <w:t xml:space="preserve">For </w:t>
            </w:r>
            <w:r>
              <w:t>the</w:t>
            </w:r>
            <w:r w:rsidRPr="006E4CD8">
              <w:t xml:space="preserve"> </w:t>
            </w:r>
            <w:r>
              <w:t>a</w:t>
            </w:r>
            <w:r w:rsidRPr="006E4CD8">
              <w:t xml:space="preserve">nalysis of </w:t>
            </w:r>
            <w:r w:rsidRPr="00197E38">
              <w:t>technical feasibility, cost-effectiveness and benefits</w:t>
            </w:r>
            <w:r w:rsidRPr="006E4CD8">
              <w:t xml:space="preserve"> of new joint </w:t>
            </w:r>
            <w:r>
              <w:t>and</w:t>
            </w:r>
            <w:r w:rsidRPr="006E4CD8">
              <w:t xml:space="preserve"> coordinated measures, the presence of experts </w:t>
            </w:r>
            <w:r w:rsidR="00B53294">
              <w:t xml:space="preserve">in cost calculation </w:t>
            </w:r>
            <w:r w:rsidRPr="006E4CD8">
              <w:t>will be required (meeting Brussel – 6-7/05/2015).</w:t>
            </w:r>
          </w:p>
          <w:p w:rsidR="00197E38" w:rsidRDefault="00197E38" w:rsidP="00197E38"/>
          <w:p w:rsidR="00197E38" w:rsidRPr="00197E38" w:rsidRDefault="00197E38" w:rsidP="00197E38">
            <w:r w:rsidRPr="00197E38">
              <w:t xml:space="preserve">WRO presents the method of the cost-effectiveness and </w:t>
            </w:r>
            <w:r w:rsidR="00B53294">
              <w:t xml:space="preserve">–analysis and the required information to calculate this (see </w:t>
            </w:r>
            <w:proofErr w:type="spellStart"/>
            <w:r w:rsidR="00B53294">
              <w:t>powerpoint</w:t>
            </w:r>
            <w:proofErr w:type="spellEnd"/>
            <w:r w:rsidR="00B53294">
              <w:t xml:space="preserve"> presentation in Annex).</w:t>
            </w:r>
          </w:p>
          <w:p w:rsidR="00197E38" w:rsidRDefault="00197E38" w:rsidP="00197E38"/>
          <w:p w:rsidR="00197E38" w:rsidRPr="00197E38" w:rsidRDefault="00197E38" w:rsidP="00197E38">
            <w:r w:rsidRPr="00197E38">
              <w:t>The</w:t>
            </w:r>
            <w:r w:rsidR="00B53294">
              <w:t xml:space="preserve"> group agreed on </w:t>
            </w:r>
            <w:r w:rsidRPr="00197E38">
              <w:t>the proposed cost ranges for the cost estimate</w:t>
            </w:r>
            <w:r w:rsidR="00B53294">
              <w:t>s</w:t>
            </w:r>
            <w:r w:rsidRPr="00197E38">
              <w:t>.</w:t>
            </w:r>
          </w:p>
          <w:p w:rsidR="00197E38" w:rsidRDefault="00197E38" w:rsidP="00285DEC">
            <w:pPr>
              <w:rPr>
                <w:highlight w:val="yellow"/>
              </w:rPr>
            </w:pPr>
          </w:p>
          <w:p w:rsidR="000B4B51" w:rsidRPr="00197E38" w:rsidRDefault="006E4CD8" w:rsidP="00285DEC">
            <w:pPr>
              <w:rPr>
                <w:b/>
                <w:i/>
              </w:rPr>
            </w:pPr>
            <w:r w:rsidRPr="00197E38">
              <w:rPr>
                <w:b/>
                <w:i/>
              </w:rPr>
              <w:t>Fact sheet measure</w:t>
            </w:r>
            <w:r w:rsidR="00B53294">
              <w:rPr>
                <w:b/>
                <w:i/>
              </w:rPr>
              <w:t>s</w:t>
            </w:r>
          </w:p>
          <w:p w:rsidR="00540984" w:rsidRPr="006E4CD8" w:rsidRDefault="006E4CD8" w:rsidP="00C72B6F">
            <w:r w:rsidRPr="00197E38">
              <w:t>A common fact sheet for the EC and</w:t>
            </w:r>
            <w:r w:rsidRPr="006E4CD8">
              <w:t xml:space="preserve"> the German project will be </w:t>
            </w:r>
            <w:r w:rsidR="00B53294">
              <w:t>agreed</w:t>
            </w:r>
            <w:r w:rsidRPr="006E4CD8">
              <w:t xml:space="preserve"> in consultation </w:t>
            </w:r>
            <w:r w:rsidR="00B53294">
              <w:t xml:space="preserve">between the </w:t>
            </w:r>
            <w:r w:rsidRPr="006E4CD8">
              <w:t>ARCADIS and UBA project</w:t>
            </w:r>
            <w:r w:rsidR="00B53294">
              <w:t>, and the BG/RO experts</w:t>
            </w:r>
            <w:r w:rsidR="00C72B6F" w:rsidRPr="006E4CD8">
              <w:t>.</w:t>
            </w:r>
          </w:p>
          <w:p w:rsidR="001608FA" w:rsidRDefault="001608FA" w:rsidP="00285DEC">
            <w:pPr>
              <w:rPr>
                <w:highlight w:val="yellow"/>
              </w:rPr>
            </w:pPr>
          </w:p>
          <w:p w:rsidR="00197E38" w:rsidRPr="00197E38" w:rsidRDefault="00197E38" w:rsidP="00285DEC">
            <w:pPr>
              <w:rPr>
                <w:b/>
                <w:i/>
              </w:rPr>
            </w:pPr>
            <w:r w:rsidRPr="00197E38">
              <w:rPr>
                <w:b/>
                <w:i/>
              </w:rPr>
              <w:t>Reimbursement issues</w:t>
            </w:r>
          </w:p>
          <w:p w:rsidR="00197E38" w:rsidRPr="00197E38" w:rsidRDefault="00B53294" w:rsidP="00285DEC">
            <w:r>
              <w:t xml:space="preserve">WRO explained some issues relating to correct filling of the reimbursement sheets for reimbursement of travel expenses for attendees.  </w:t>
            </w:r>
            <w:r w:rsidR="00197E38" w:rsidRPr="00197E38">
              <w:t>Only correct sh</w:t>
            </w:r>
            <w:r>
              <w:t>eets can be handled by ARCADIS for payment. Attention needs to be paid on filling the sheets correctly in order to avoid delays in payment.</w:t>
            </w:r>
          </w:p>
          <w:p w:rsidR="00197E38" w:rsidRPr="008F35AC" w:rsidRDefault="00197E38" w:rsidP="00285DEC">
            <w:pPr>
              <w:rPr>
                <w:highlight w:val="yellow"/>
              </w:rPr>
            </w:pPr>
          </w:p>
          <w:p w:rsidR="00ED1151" w:rsidRPr="00197E38" w:rsidRDefault="001608FA" w:rsidP="00285DEC">
            <w:pPr>
              <w:rPr>
                <w:b/>
                <w:i/>
              </w:rPr>
            </w:pPr>
            <w:r w:rsidRPr="00197E38">
              <w:rPr>
                <w:b/>
                <w:i/>
              </w:rPr>
              <w:t>Other</w:t>
            </w:r>
          </w:p>
          <w:p w:rsidR="00197E38" w:rsidRDefault="00910897" w:rsidP="00197E38">
            <w:pPr>
              <w:pStyle w:val="Lijstalinea"/>
              <w:numPr>
                <w:ilvl w:val="0"/>
                <w:numId w:val="35"/>
              </w:numPr>
            </w:pPr>
            <w:r>
              <w:t>The p</w:t>
            </w:r>
            <w:r w:rsidR="00197E38">
              <w:t xml:space="preserve">resentation and table will be shared by </w:t>
            </w:r>
            <w:r>
              <w:t>email by the end of the week, as well as on the EEA project webpages.</w:t>
            </w:r>
          </w:p>
          <w:p w:rsidR="00197E38" w:rsidRDefault="00197E38" w:rsidP="00197E38">
            <w:pPr>
              <w:pStyle w:val="Lijstalinea"/>
              <w:numPr>
                <w:ilvl w:val="0"/>
                <w:numId w:val="35"/>
              </w:numPr>
            </w:pPr>
            <w:r>
              <w:t xml:space="preserve">ARCADIS will </w:t>
            </w:r>
            <w:proofErr w:type="spellStart"/>
            <w:r>
              <w:t>recontact</w:t>
            </w:r>
            <w:proofErr w:type="spellEnd"/>
            <w:r>
              <w:t xml:space="preserve"> the </w:t>
            </w:r>
            <w:r w:rsidR="00910897">
              <w:t>administrator</w:t>
            </w:r>
            <w:r>
              <w:t xml:space="preserve"> of the </w:t>
            </w:r>
            <w:r w:rsidR="00910897">
              <w:t xml:space="preserve">EEA </w:t>
            </w:r>
            <w:r>
              <w:t xml:space="preserve">website </w:t>
            </w:r>
            <w:r w:rsidR="00910897">
              <w:t>to grant access for additional project experts.</w:t>
            </w:r>
          </w:p>
          <w:p w:rsidR="00197E38" w:rsidRPr="006E4CD8" w:rsidRDefault="00197E38" w:rsidP="00197E38">
            <w:pPr>
              <w:pStyle w:val="Lijstalinea"/>
              <w:numPr>
                <w:ilvl w:val="0"/>
                <w:numId w:val="35"/>
              </w:numPr>
            </w:pPr>
            <w:r>
              <w:t xml:space="preserve">Reimbursement CBE Brussels: NFCP + 2 experts </w:t>
            </w:r>
            <w:r w:rsidR="00910897">
              <w:t xml:space="preserve">for </w:t>
            </w:r>
            <w:r>
              <w:t xml:space="preserve"> each country. </w:t>
            </w:r>
          </w:p>
          <w:p w:rsidR="00ED1151" w:rsidRPr="008F35AC" w:rsidRDefault="00ED1151" w:rsidP="00285DEC">
            <w:pPr>
              <w:rPr>
                <w:highlight w:val="yellow"/>
              </w:rPr>
            </w:pPr>
          </w:p>
          <w:p w:rsidR="00285DEC" w:rsidRPr="00AF709A" w:rsidRDefault="007811E7" w:rsidP="00285DEC">
            <w:pPr>
              <w:rPr>
                <w:b/>
              </w:rPr>
            </w:pPr>
            <w:r w:rsidRPr="00AF709A">
              <w:rPr>
                <w:b/>
              </w:rPr>
              <w:t xml:space="preserve">Planning </w:t>
            </w:r>
          </w:p>
          <w:p w:rsidR="00285DEC" w:rsidRPr="00AF709A" w:rsidRDefault="00285DEC" w:rsidP="00285DEC">
            <w:r w:rsidRPr="00AF709A">
              <w:t>The following dates were agreed:</w:t>
            </w:r>
          </w:p>
          <w:p w:rsidR="00AF709A" w:rsidRPr="00AF709A" w:rsidRDefault="00AF709A" w:rsidP="00285DEC"/>
          <w:tbl>
            <w:tblPr>
              <w:tblStyle w:val="Tabelraster"/>
              <w:tblW w:w="0" w:type="auto"/>
              <w:tblLook w:val="04A0" w:firstRow="1" w:lastRow="0" w:firstColumn="1" w:lastColumn="0" w:noHBand="0" w:noVBand="1"/>
            </w:tblPr>
            <w:tblGrid>
              <w:gridCol w:w="2373"/>
              <w:gridCol w:w="2373"/>
              <w:gridCol w:w="2374"/>
            </w:tblGrid>
            <w:tr w:rsidR="00AF709A" w:rsidRPr="00AF709A" w:rsidTr="006E4CD8">
              <w:tc>
                <w:tcPr>
                  <w:tcW w:w="2373" w:type="dxa"/>
                  <w:shd w:val="clear" w:color="auto" w:fill="auto"/>
                </w:tcPr>
                <w:p w:rsidR="00AF709A" w:rsidRPr="006E4CD8" w:rsidRDefault="00197E38" w:rsidP="00285DEC">
                  <w:r>
                    <w:t>CBE 3+4</w:t>
                  </w:r>
                  <w:r w:rsidR="00AF709A" w:rsidRPr="006E4CD8">
                    <w:t>+</w:t>
                  </w:r>
                  <w:r>
                    <w:t xml:space="preserve">5+ </w:t>
                  </w:r>
                  <w:r w:rsidR="00AF709A" w:rsidRPr="006E4CD8">
                    <w:t>SGM</w:t>
                  </w:r>
                </w:p>
              </w:tc>
              <w:tc>
                <w:tcPr>
                  <w:tcW w:w="2373" w:type="dxa"/>
                </w:tcPr>
                <w:p w:rsidR="00AF709A" w:rsidRPr="00AF709A" w:rsidRDefault="00AF709A" w:rsidP="00A8445E">
                  <w:r w:rsidRPr="00AF709A">
                    <w:t>May 6-7</w:t>
                  </w:r>
                </w:p>
              </w:tc>
              <w:tc>
                <w:tcPr>
                  <w:tcW w:w="2374" w:type="dxa"/>
                </w:tcPr>
                <w:p w:rsidR="00AF709A" w:rsidRPr="00AF709A" w:rsidRDefault="00AF709A" w:rsidP="00285DEC">
                  <w:r w:rsidRPr="00AF709A">
                    <w:t>Brussels</w:t>
                  </w:r>
                </w:p>
              </w:tc>
            </w:tr>
            <w:tr w:rsidR="00AF709A" w:rsidRPr="00AF709A" w:rsidTr="006E4CD8">
              <w:tc>
                <w:tcPr>
                  <w:tcW w:w="2373" w:type="dxa"/>
                  <w:shd w:val="clear" w:color="auto" w:fill="auto"/>
                </w:tcPr>
                <w:p w:rsidR="00AF709A" w:rsidRPr="006E4CD8" w:rsidRDefault="00197E38" w:rsidP="00285DEC">
                  <w:r>
                    <w:t>CBE 6</w:t>
                  </w:r>
                </w:p>
              </w:tc>
              <w:tc>
                <w:tcPr>
                  <w:tcW w:w="2373" w:type="dxa"/>
                </w:tcPr>
                <w:p w:rsidR="00AF709A" w:rsidRPr="00AF709A" w:rsidRDefault="00AF709A" w:rsidP="00285DEC">
                  <w:r w:rsidRPr="00AF709A">
                    <w:t>June 17-18</w:t>
                  </w:r>
                </w:p>
              </w:tc>
              <w:tc>
                <w:tcPr>
                  <w:tcW w:w="2374" w:type="dxa"/>
                </w:tcPr>
                <w:p w:rsidR="00AF709A" w:rsidRPr="00AF709A" w:rsidRDefault="00AF709A" w:rsidP="00285DEC">
                  <w:r w:rsidRPr="00AF709A">
                    <w:t>Constanta</w:t>
                  </w:r>
                </w:p>
              </w:tc>
            </w:tr>
            <w:tr w:rsidR="00AF709A" w:rsidRPr="00AF709A" w:rsidTr="00AF709A">
              <w:tc>
                <w:tcPr>
                  <w:tcW w:w="2373" w:type="dxa"/>
                </w:tcPr>
                <w:p w:rsidR="00AF709A" w:rsidRPr="00AF709A" w:rsidRDefault="006E4CD8" w:rsidP="00285DEC">
                  <w:r>
                    <w:t>CBE 7</w:t>
                  </w:r>
                </w:p>
              </w:tc>
              <w:tc>
                <w:tcPr>
                  <w:tcW w:w="2373" w:type="dxa"/>
                </w:tcPr>
                <w:p w:rsidR="00AF709A" w:rsidRPr="00AF709A" w:rsidRDefault="00AF709A" w:rsidP="00285DEC">
                  <w:r w:rsidRPr="00AF709A">
                    <w:t>September 8-9</w:t>
                  </w:r>
                </w:p>
              </w:tc>
              <w:tc>
                <w:tcPr>
                  <w:tcW w:w="2374" w:type="dxa"/>
                </w:tcPr>
                <w:p w:rsidR="00AF709A" w:rsidRPr="00AF709A" w:rsidRDefault="00AF709A" w:rsidP="00285DEC">
                  <w:r w:rsidRPr="00AF709A">
                    <w:t>Varna</w:t>
                  </w:r>
                </w:p>
              </w:tc>
            </w:tr>
            <w:tr w:rsidR="00AF709A" w:rsidRPr="00AF709A" w:rsidTr="00AF709A">
              <w:tc>
                <w:tcPr>
                  <w:tcW w:w="2373" w:type="dxa"/>
                </w:tcPr>
                <w:p w:rsidR="00AF709A" w:rsidRPr="00AF709A" w:rsidRDefault="00AF709A" w:rsidP="00285DEC">
                  <w:r w:rsidRPr="00AF709A">
                    <w:t>Final SGM</w:t>
                  </w:r>
                </w:p>
              </w:tc>
              <w:tc>
                <w:tcPr>
                  <w:tcW w:w="2373" w:type="dxa"/>
                </w:tcPr>
                <w:p w:rsidR="00AF709A" w:rsidRPr="00AF709A" w:rsidRDefault="00AF709A" w:rsidP="00225766">
                  <w:r w:rsidRPr="00AF709A">
                    <w:t>October 14</w:t>
                  </w:r>
                </w:p>
              </w:tc>
              <w:tc>
                <w:tcPr>
                  <w:tcW w:w="2374" w:type="dxa"/>
                </w:tcPr>
                <w:p w:rsidR="00AF709A" w:rsidRPr="00AF709A" w:rsidRDefault="00AF709A" w:rsidP="00285DEC">
                  <w:r w:rsidRPr="00AF709A">
                    <w:t>Brussels</w:t>
                  </w:r>
                </w:p>
              </w:tc>
            </w:tr>
          </w:tbl>
          <w:p w:rsidR="005362DA" w:rsidRPr="008F35AC" w:rsidRDefault="005362DA" w:rsidP="007811E7">
            <w:pPr>
              <w:rPr>
                <w:highlight w:val="yellow"/>
              </w:rPr>
            </w:pPr>
          </w:p>
        </w:tc>
      </w:tr>
      <w:tr w:rsidR="00FC3FCD" w:rsidRPr="008F35AC" w:rsidTr="004E3003">
        <w:tc>
          <w:tcPr>
            <w:tcW w:w="1937" w:type="dxa"/>
          </w:tcPr>
          <w:p w:rsidR="00FC3FCD" w:rsidRPr="00AF709A" w:rsidRDefault="00FC3FCD" w:rsidP="00467902">
            <w:pPr>
              <w:rPr>
                <w:b/>
              </w:rPr>
            </w:pPr>
            <w:r w:rsidRPr="00AF709A">
              <w:rPr>
                <w:b/>
              </w:rPr>
              <w:lastRenderedPageBreak/>
              <w:t>Actions</w:t>
            </w:r>
          </w:p>
        </w:tc>
        <w:tc>
          <w:tcPr>
            <w:tcW w:w="2060" w:type="dxa"/>
            <w:shd w:val="clear" w:color="auto" w:fill="4F81BD" w:themeFill="accent1"/>
          </w:tcPr>
          <w:p w:rsidR="00FC3FCD" w:rsidRPr="00AF709A" w:rsidRDefault="00FC3FCD" w:rsidP="00467902">
            <w:pPr>
              <w:tabs>
                <w:tab w:val="left" w:pos="1365"/>
              </w:tabs>
              <w:rPr>
                <w:color w:val="FFFFFF" w:themeColor="background1"/>
              </w:rPr>
            </w:pPr>
            <w:r w:rsidRPr="00AF709A">
              <w:rPr>
                <w:color w:val="FFFFFF" w:themeColor="background1"/>
              </w:rPr>
              <w:t>WHO</w:t>
            </w:r>
          </w:p>
        </w:tc>
        <w:tc>
          <w:tcPr>
            <w:tcW w:w="2869" w:type="dxa"/>
            <w:shd w:val="clear" w:color="auto" w:fill="4F81BD" w:themeFill="accent1"/>
          </w:tcPr>
          <w:p w:rsidR="00FC3FCD" w:rsidRPr="00AF709A" w:rsidRDefault="00FC3FCD" w:rsidP="00467902">
            <w:pPr>
              <w:tabs>
                <w:tab w:val="left" w:pos="1365"/>
              </w:tabs>
              <w:rPr>
                <w:color w:val="FFFFFF" w:themeColor="background1"/>
              </w:rPr>
            </w:pPr>
            <w:r w:rsidRPr="00AF709A">
              <w:rPr>
                <w:color w:val="FFFFFF" w:themeColor="background1"/>
              </w:rPr>
              <w:t>WHAT</w:t>
            </w:r>
          </w:p>
        </w:tc>
        <w:tc>
          <w:tcPr>
            <w:tcW w:w="2422" w:type="dxa"/>
            <w:shd w:val="clear" w:color="auto" w:fill="4F81BD" w:themeFill="accent1"/>
          </w:tcPr>
          <w:p w:rsidR="00FC3FCD" w:rsidRPr="00AF709A" w:rsidRDefault="00FC3FCD" w:rsidP="00467902">
            <w:pPr>
              <w:tabs>
                <w:tab w:val="left" w:pos="1365"/>
              </w:tabs>
              <w:rPr>
                <w:color w:val="FFFFFF" w:themeColor="background1"/>
              </w:rPr>
            </w:pPr>
            <w:r w:rsidRPr="00AF709A">
              <w:rPr>
                <w:color w:val="FFFFFF" w:themeColor="background1"/>
              </w:rPr>
              <w:t>BY WHEN</w:t>
            </w:r>
          </w:p>
        </w:tc>
      </w:tr>
      <w:tr w:rsidR="0094120F" w:rsidRPr="008F35AC" w:rsidTr="004E3003">
        <w:tc>
          <w:tcPr>
            <w:tcW w:w="1937" w:type="dxa"/>
          </w:tcPr>
          <w:p w:rsidR="0094120F" w:rsidRPr="008F35AC" w:rsidRDefault="0094120F" w:rsidP="00467902">
            <w:pPr>
              <w:rPr>
                <w:b/>
                <w:highlight w:val="yellow"/>
              </w:rPr>
            </w:pPr>
          </w:p>
        </w:tc>
        <w:tc>
          <w:tcPr>
            <w:tcW w:w="2060" w:type="dxa"/>
          </w:tcPr>
          <w:p w:rsidR="0094120F" w:rsidRPr="002E4E62" w:rsidRDefault="0094120F" w:rsidP="00467902">
            <w:pPr>
              <w:tabs>
                <w:tab w:val="left" w:pos="1365"/>
              </w:tabs>
            </w:pPr>
            <w:r w:rsidRPr="002E4E62">
              <w:t xml:space="preserve">Dan </w:t>
            </w:r>
            <w:proofErr w:type="spellStart"/>
            <w:r w:rsidRPr="002E4E62">
              <w:t>Vasiliu</w:t>
            </w:r>
            <w:proofErr w:type="spellEnd"/>
            <w:r w:rsidR="00910897">
              <w:t>, Violin Raykov</w:t>
            </w:r>
          </w:p>
        </w:tc>
        <w:tc>
          <w:tcPr>
            <w:tcW w:w="2869" w:type="dxa"/>
          </w:tcPr>
          <w:p w:rsidR="0094120F" w:rsidRPr="002E4E62" w:rsidRDefault="0094120F" w:rsidP="00910897">
            <w:pPr>
              <w:tabs>
                <w:tab w:val="left" w:pos="1365"/>
              </w:tabs>
            </w:pPr>
            <w:r w:rsidRPr="002E4E62">
              <w:t>Finaliz</w:t>
            </w:r>
            <w:r w:rsidR="00910897">
              <w:t xml:space="preserve">ing </w:t>
            </w:r>
            <w:r w:rsidR="00197E38" w:rsidRPr="002E4E62">
              <w:t>detailed description</w:t>
            </w:r>
            <w:r w:rsidR="002E4E62" w:rsidRPr="002E4E62">
              <w:t>s</w:t>
            </w:r>
            <w:r w:rsidR="00197E38" w:rsidRPr="002E4E62">
              <w:t xml:space="preserve"> </w:t>
            </w:r>
            <w:r w:rsidR="00910897">
              <w:t xml:space="preserve">of </w:t>
            </w:r>
            <w:r w:rsidR="00197E38" w:rsidRPr="002E4E62">
              <w:t>common measures</w:t>
            </w:r>
            <w:r w:rsidR="00910897">
              <w:t>, including required technical steps</w:t>
            </w:r>
          </w:p>
        </w:tc>
        <w:tc>
          <w:tcPr>
            <w:tcW w:w="2422" w:type="dxa"/>
          </w:tcPr>
          <w:p w:rsidR="0094120F" w:rsidRPr="008F35AC" w:rsidRDefault="002E4E62" w:rsidP="002E4E62">
            <w:pPr>
              <w:tabs>
                <w:tab w:val="left" w:pos="1365"/>
              </w:tabs>
              <w:rPr>
                <w:highlight w:val="yellow"/>
              </w:rPr>
            </w:pPr>
            <w:r w:rsidRPr="002E4E62">
              <w:t>23 April</w:t>
            </w:r>
            <w:r w:rsidR="0094120F" w:rsidRPr="002E4E62">
              <w:t xml:space="preserve"> 2015</w:t>
            </w:r>
          </w:p>
        </w:tc>
      </w:tr>
      <w:tr w:rsidR="002E4E62" w:rsidRPr="008F35AC" w:rsidTr="004E3003">
        <w:tc>
          <w:tcPr>
            <w:tcW w:w="1937" w:type="dxa"/>
          </w:tcPr>
          <w:p w:rsidR="002E4E62" w:rsidRPr="008F35AC" w:rsidRDefault="002E4E62" w:rsidP="002E4E62">
            <w:pPr>
              <w:rPr>
                <w:b/>
                <w:highlight w:val="yellow"/>
              </w:rPr>
            </w:pPr>
          </w:p>
        </w:tc>
        <w:tc>
          <w:tcPr>
            <w:tcW w:w="2060" w:type="dxa"/>
          </w:tcPr>
          <w:p w:rsidR="002E4E62" w:rsidRPr="002E4E62" w:rsidRDefault="002E4E62" w:rsidP="002E4E62">
            <w:pPr>
              <w:tabs>
                <w:tab w:val="left" w:pos="1365"/>
              </w:tabs>
            </w:pPr>
            <w:r w:rsidRPr="002E4E62">
              <w:t>ARCADIS</w:t>
            </w:r>
          </w:p>
        </w:tc>
        <w:tc>
          <w:tcPr>
            <w:tcW w:w="2869" w:type="dxa"/>
          </w:tcPr>
          <w:p w:rsidR="002E4E62" w:rsidRPr="002E4E62" w:rsidRDefault="002E4E62" w:rsidP="002E4E62">
            <w:pPr>
              <w:tabs>
                <w:tab w:val="left" w:pos="1365"/>
              </w:tabs>
            </w:pPr>
            <w:r w:rsidRPr="002E4E62">
              <w:t>Additional Password for EEA project website</w:t>
            </w:r>
          </w:p>
        </w:tc>
        <w:tc>
          <w:tcPr>
            <w:tcW w:w="2422" w:type="dxa"/>
          </w:tcPr>
          <w:p w:rsidR="002E4E62" w:rsidRDefault="002E4E62" w:rsidP="002E4E62">
            <w:r w:rsidRPr="008E1D90">
              <w:t>23 April 2015</w:t>
            </w:r>
          </w:p>
        </w:tc>
      </w:tr>
      <w:tr w:rsidR="00E56A09" w:rsidRPr="008F35AC" w:rsidTr="00E56A09">
        <w:tc>
          <w:tcPr>
            <w:tcW w:w="1937" w:type="dxa"/>
          </w:tcPr>
          <w:p w:rsidR="00E56A09" w:rsidRPr="008F35AC" w:rsidRDefault="00E56A09" w:rsidP="00F64541">
            <w:pPr>
              <w:rPr>
                <w:b/>
                <w:highlight w:val="yellow"/>
              </w:rPr>
            </w:pPr>
          </w:p>
        </w:tc>
        <w:tc>
          <w:tcPr>
            <w:tcW w:w="2060" w:type="dxa"/>
          </w:tcPr>
          <w:p w:rsidR="00E56A09" w:rsidRPr="002E4E62" w:rsidRDefault="00E56A09" w:rsidP="002E4E62">
            <w:pPr>
              <w:tabs>
                <w:tab w:val="left" w:pos="1365"/>
              </w:tabs>
            </w:pPr>
            <w:r w:rsidRPr="002E4E62">
              <w:t>ARCADIS</w:t>
            </w:r>
            <w:r w:rsidR="002E4E62" w:rsidRPr="002E4E62">
              <w:t xml:space="preserve"> + UBA </w:t>
            </w:r>
          </w:p>
        </w:tc>
        <w:tc>
          <w:tcPr>
            <w:tcW w:w="2869" w:type="dxa"/>
          </w:tcPr>
          <w:p w:rsidR="00E56A09" w:rsidRPr="002E4E62" w:rsidRDefault="00C72B6F" w:rsidP="002E4E62">
            <w:pPr>
              <w:tabs>
                <w:tab w:val="left" w:pos="1365"/>
              </w:tabs>
            </w:pPr>
            <w:r w:rsidRPr="002E4E62">
              <w:t xml:space="preserve">Template </w:t>
            </w:r>
            <w:r w:rsidR="002E4E62" w:rsidRPr="002E4E62">
              <w:t>fact sheet</w:t>
            </w:r>
          </w:p>
        </w:tc>
        <w:tc>
          <w:tcPr>
            <w:tcW w:w="2422" w:type="dxa"/>
          </w:tcPr>
          <w:p w:rsidR="00E56A09" w:rsidRPr="008F35AC" w:rsidRDefault="002E4E62" w:rsidP="00F64541">
            <w:pPr>
              <w:tabs>
                <w:tab w:val="left" w:pos="1365"/>
              </w:tabs>
              <w:rPr>
                <w:highlight w:val="yellow"/>
              </w:rPr>
            </w:pPr>
            <w:r w:rsidRPr="002E4E62">
              <w:t>23 April 2015</w:t>
            </w:r>
          </w:p>
        </w:tc>
      </w:tr>
      <w:tr w:rsidR="002E4E62" w:rsidRPr="008F35AC" w:rsidTr="004E3003">
        <w:tc>
          <w:tcPr>
            <w:tcW w:w="1937" w:type="dxa"/>
          </w:tcPr>
          <w:p w:rsidR="002E4E62" w:rsidRPr="008F35AC" w:rsidRDefault="002E4E62" w:rsidP="00467902">
            <w:pPr>
              <w:rPr>
                <w:b/>
                <w:highlight w:val="yellow"/>
              </w:rPr>
            </w:pPr>
          </w:p>
        </w:tc>
        <w:tc>
          <w:tcPr>
            <w:tcW w:w="2060" w:type="dxa"/>
          </w:tcPr>
          <w:p w:rsidR="002E4E62" w:rsidRPr="002E4E62" w:rsidRDefault="002E4E62" w:rsidP="00467902">
            <w:pPr>
              <w:tabs>
                <w:tab w:val="left" w:pos="1365"/>
              </w:tabs>
            </w:pPr>
            <w:r w:rsidRPr="002E4E62">
              <w:t>ARCADIS</w:t>
            </w:r>
          </w:p>
        </w:tc>
        <w:tc>
          <w:tcPr>
            <w:tcW w:w="2869" w:type="dxa"/>
          </w:tcPr>
          <w:p w:rsidR="002E4E62" w:rsidRPr="002E4E62" w:rsidRDefault="002E4E62" w:rsidP="00063FF7">
            <w:pPr>
              <w:tabs>
                <w:tab w:val="left" w:pos="1365"/>
              </w:tabs>
            </w:pPr>
            <w:r w:rsidRPr="002E4E62">
              <w:t>Template roof report</w:t>
            </w:r>
          </w:p>
        </w:tc>
        <w:tc>
          <w:tcPr>
            <w:tcW w:w="2422" w:type="dxa"/>
          </w:tcPr>
          <w:p w:rsidR="002E4E62" w:rsidRPr="008F35AC" w:rsidRDefault="002E4E62" w:rsidP="00240CE4">
            <w:pPr>
              <w:tabs>
                <w:tab w:val="left" w:pos="1365"/>
              </w:tabs>
              <w:rPr>
                <w:highlight w:val="yellow"/>
              </w:rPr>
            </w:pPr>
            <w:r w:rsidRPr="002E4E62">
              <w:t>23 April 2015</w:t>
            </w:r>
          </w:p>
        </w:tc>
      </w:tr>
      <w:tr w:rsidR="0094120F" w:rsidRPr="008F35AC" w:rsidTr="0003312A">
        <w:tc>
          <w:tcPr>
            <w:tcW w:w="1937" w:type="dxa"/>
          </w:tcPr>
          <w:p w:rsidR="0094120F" w:rsidRPr="00AF709A" w:rsidRDefault="0094120F" w:rsidP="00467902">
            <w:pPr>
              <w:rPr>
                <w:b/>
              </w:rPr>
            </w:pPr>
            <w:r w:rsidRPr="00AF709A">
              <w:rPr>
                <w:b/>
              </w:rPr>
              <w:t>Follow-up events/activities related to CBE</w:t>
            </w:r>
          </w:p>
        </w:tc>
        <w:tc>
          <w:tcPr>
            <w:tcW w:w="7351" w:type="dxa"/>
            <w:gridSpan w:val="3"/>
          </w:tcPr>
          <w:p w:rsidR="0094120F" w:rsidRPr="00AF709A" w:rsidRDefault="0094120F" w:rsidP="005362DA">
            <w:pPr>
              <w:pStyle w:val="Lijstalinea"/>
              <w:numPr>
                <w:ilvl w:val="0"/>
                <w:numId w:val="24"/>
              </w:numPr>
            </w:pPr>
            <w:r w:rsidRPr="00AF709A">
              <w:t xml:space="preserve">CBE </w:t>
            </w:r>
            <w:r w:rsidR="00AF709A" w:rsidRPr="00AF709A">
              <w:t>3, 4 &amp; 5</w:t>
            </w:r>
            <w:r w:rsidRPr="00AF709A">
              <w:t xml:space="preserve">: </w:t>
            </w:r>
            <w:r w:rsidR="00C72B6F" w:rsidRPr="00AF709A">
              <w:t>6</w:t>
            </w:r>
            <w:r w:rsidR="00AF709A" w:rsidRPr="00AF709A">
              <w:t>-7 May (Brussels, Belgium)</w:t>
            </w:r>
          </w:p>
          <w:p w:rsidR="0094120F" w:rsidRPr="00AF709A" w:rsidRDefault="0094120F" w:rsidP="005362DA">
            <w:pPr>
              <w:pStyle w:val="Lijstalinea"/>
              <w:numPr>
                <w:ilvl w:val="0"/>
                <w:numId w:val="24"/>
              </w:numPr>
            </w:pPr>
            <w:r w:rsidRPr="00AF709A">
              <w:t>Dates other CBEs (see above)</w:t>
            </w:r>
          </w:p>
        </w:tc>
      </w:tr>
      <w:tr w:rsidR="0094120F" w:rsidTr="0003312A">
        <w:tc>
          <w:tcPr>
            <w:tcW w:w="1937" w:type="dxa"/>
          </w:tcPr>
          <w:p w:rsidR="0094120F" w:rsidRPr="00AF709A" w:rsidRDefault="0094120F" w:rsidP="00467902">
            <w:pPr>
              <w:rPr>
                <w:b/>
              </w:rPr>
            </w:pPr>
            <w:r w:rsidRPr="00AF709A">
              <w:rPr>
                <w:b/>
              </w:rPr>
              <w:t>Annex</w:t>
            </w:r>
            <w:r w:rsidR="008F35AC" w:rsidRPr="00AF709A">
              <w:rPr>
                <w:b/>
              </w:rPr>
              <w:t>es</w:t>
            </w:r>
          </w:p>
        </w:tc>
        <w:tc>
          <w:tcPr>
            <w:tcW w:w="7351" w:type="dxa"/>
            <w:gridSpan w:val="3"/>
          </w:tcPr>
          <w:p w:rsidR="008F35AC" w:rsidRDefault="00910897" w:rsidP="00910897">
            <w:pPr>
              <w:pStyle w:val="Lijstalinea"/>
              <w:numPr>
                <w:ilvl w:val="0"/>
                <w:numId w:val="32"/>
              </w:numPr>
            </w:pPr>
            <w:r>
              <w:t>W</w:t>
            </w:r>
            <w:r w:rsidRPr="00910897">
              <w:t xml:space="preserve">orkshop result table </w:t>
            </w:r>
            <w:r>
              <w:t>with</w:t>
            </w:r>
            <w:r w:rsidR="00AF709A" w:rsidRPr="00AF709A">
              <w:t xml:space="preserve"> short list </w:t>
            </w:r>
            <w:r>
              <w:t xml:space="preserve">common/joint </w:t>
            </w:r>
            <w:r w:rsidR="00AF709A" w:rsidRPr="00AF709A">
              <w:t>measures</w:t>
            </w:r>
            <w:r>
              <w:t xml:space="preserve">, assessed effectiveness </w:t>
            </w:r>
            <w:r w:rsidR="00AF709A" w:rsidRPr="00AF709A">
              <w:t>criteria</w:t>
            </w:r>
            <w:r>
              <w:t>, calculated effectiveness according to 3 methods.</w:t>
            </w:r>
          </w:p>
          <w:p w:rsidR="005D0BBD" w:rsidRPr="00AF709A" w:rsidRDefault="005D0BBD" w:rsidP="008F35AC">
            <w:pPr>
              <w:pStyle w:val="Lijstalinea"/>
              <w:numPr>
                <w:ilvl w:val="0"/>
                <w:numId w:val="32"/>
              </w:numPr>
            </w:pPr>
            <w:r>
              <w:t>Presentation CBE 2</w:t>
            </w:r>
          </w:p>
          <w:p w:rsidR="0094120F" w:rsidRPr="00AF709A" w:rsidRDefault="0094120F" w:rsidP="008F35AC">
            <w:pPr>
              <w:pStyle w:val="Lijstalinea"/>
              <w:numPr>
                <w:ilvl w:val="0"/>
                <w:numId w:val="32"/>
              </w:numPr>
            </w:pPr>
            <w:r w:rsidRPr="00AF709A">
              <w:t>Participants list</w:t>
            </w:r>
            <w:r w:rsidR="008F35AC" w:rsidRPr="00AF709A">
              <w:t xml:space="preserve"> 31/03 and 1/04/2015</w:t>
            </w:r>
          </w:p>
        </w:tc>
      </w:tr>
    </w:tbl>
    <w:p w:rsidR="00A97C72" w:rsidRPr="00A1556E" w:rsidRDefault="00A97C72" w:rsidP="00A97C72"/>
    <w:sectPr w:rsidR="00A97C72" w:rsidRPr="00A1556E" w:rsidSect="00AA0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A3936"/>
    <w:lvl w:ilvl="0">
      <w:start w:val="1"/>
      <w:numFmt w:val="decimal"/>
      <w:lvlText w:val="%1."/>
      <w:lvlJc w:val="left"/>
      <w:pPr>
        <w:tabs>
          <w:tab w:val="num" w:pos="360"/>
        </w:tabs>
        <w:ind w:left="360" w:hanging="360"/>
      </w:pPr>
    </w:lvl>
  </w:abstractNum>
  <w:abstractNum w:abstractNumId="1">
    <w:nsid w:val="05D56A74"/>
    <w:multiLevelType w:val="hybridMultilevel"/>
    <w:tmpl w:val="8474DDB8"/>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
    <w:nsid w:val="05EF4A3F"/>
    <w:multiLevelType w:val="hybridMultilevel"/>
    <w:tmpl w:val="E54879DE"/>
    <w:lvl w:ilvl="0" w:tplc="4F0AA358">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01C47"/>
    <w:multiLevelType w:val="hybridMultilevel"/>
    <w:tmpl w:val="062AB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5F1A22"/>
    <w:multiLevelType w:val="hybridMultilevel"/>
    <w:tmpl w:val="9B7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6">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146A6D54"/>
    <w:multiLevelType w:val="hybridMultilevel"/>
    <w:tmpl w:val="4B845A4C"/>
    <w:lvl w:ilvl="0" w:tplc="3D4C0E98">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nsid w:val="2F1912E5"/>
    <w:multiLevelType w:val="hybridMultilevel"/>
    <w:tmpl w:val="1DD83E9E"/>
    <w:lvl w:ilvl="0" w:tplc="7F0EC22E">
      <w:start w:val="1"/>
      <w:numFmt w:val="decimal"/>
      <w:lvlText w:val="%1."/>
      <w:lvlJc w:val="left"/>
      <w:pPr>
        <w:tabs>
          <w:tab w:val="num" w:pos="720"/>
        </w:tabs>
        <w:ind w:left="720" w:hanging="360"/>
      </w:pPr>
    </w:lvl>
    <w:lvl w:ilvl="1" w:tplc="D196095A">
      <w:start w:val="1"/>
      <w:numFmt w:val="decimal"/>
      <w:lvlText w:val="%2."/>
      <w:lvlJc w:val="left"/>
      <w:pPr>
        <w:tabs>
          <w:tab w:val="num" w:pos="1440"/>
        </w:tabs>
        <w:ind w:left="1440" w:hanging="360"/>
      </w:pPr>
    </w:lvl>
    <w:lvl w:ilvl="2" w:tplc="181C4EE2" w:tentative="1">
      <w:start w:val="1"/>
      <w:numFmt w:val="decimal"/>
      <w:lvlText w:val="%3."/>
      <w:lvlJc w:val="left"/>
      <w:pPr>
        <w:tabs>
          <w:tab w:val="num" w:pos="2160"/>
        </w:tabs>
        <w:ind w:left="2160" w:hanging="360"/>
      </w:pPr>
    </w:lvl>
    <w:lvl w:ilvl="3" w:tplc="84E0FCA8" w:tentative="1">
      <w:start w:val="1"/>
      <w:numFmt w:val="decimal"/>
      <w:lvlText w:val="%4."/>
      <w:lvlJc w:val="left"/>
      <w:pPr>
        <w:tabs>
          <w:tab w:val="num" w:pos="2880"/>
        </w:tabs>
        <w:ind w:left="2880" w:hanging="360"/>
      </w:pPr>
    </w:lvl>
    <w:lvl w:ilvl="4" w:tplc="7CF09E78" w:tentative="1">
      <w:start w:val="1"/>
      <w:numFmt w:val="decimal"/>
      <w:lvlText w:val="%5."/>
      <w:lvlJc w:val="left"/>
      <w:pPr>
        <w:tabs>
          <w:tab w:val="num" w:pos="3600"/>
        </w:tabs>
        <w:ind w:left="3600" w:hanging="360"/>
      </w:pPr>
    </w:lvl>
    <w:lvl w:ilvl="5" w:tplc="D4C2B5F8" w:tentative="1">
      <w:start w:val="1"/>
      <w:numFmt w:val="decimal"/>
      <w:lvlText w:val="%6."/>
      <w:lvlJc w:val="left"/>
      <w:pPr>
        <w:tabs>
          <w:tab w:val="num" w:pos="4320"/>
        </w:tabs>
        <w:ind w:left="4320" w:hanging="360"/>
      </w:pPr>
    </w:lvl>
    <w:lvl w:ilvl="6" w:tplc="6CF6746A" w:tentative="1">
      <w:start w:val="1"/>
      <w:numFmt w:val="decimal"/>
      <w:lvlText w:val="%7."/>
      <w:lvlJc w:val="left"/>
      <w:pPr>
        <w:tabs>
          <w:tab w:val="num" w:pos="5040"/>
        </w:tabs>
        <w:ind w:left="5040" w:hanging="360"/>
      </w:pPr>
    </w:lvl>
    <w:lvl w:ilvl="7" w:tplc="85CE9E46" w:tentative="1">
      <w:start w:val="1"/>
      <w:numFmt w:val="decimal"/>
      <w:lvlText w:val="%8."/>
      <w:lvlJc w:val="left"/>
      <w:pPr>
        <w:tabs>
          <w:tab w:val="num" w:pos="5760"/>
        </w:tabs>
        <w:ind w:left="5760" w:hanging="360"/>
      </w:pPr>
    </w:lvl>
    <w:lvl w:ilvl="8" w:tplc="6F7A3366" w:tentative="1">
      <w:start w:val="1"/>
      <w:numFmt w:val="decimal"/>
      <w:lvlText w:val="%9."/>
      <w:lvlJc w:val="left"/>
      <w:pPr>
        <w:tabs>
          <w:tab w:val="num" w:pos="6480"/>
        </w:tabs>
        <w:ind w:left="6480" w:hanging="360"/>
      </w:pPr>
    </w:lvl>
  </w:abstractNum>
  <w:abstractNum w:abstractNumId="11">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12">
    <w:nsid w:val="41A3404E"/>
    <w:multiLevelType w:val="hybridMultilevel"/>
    <w:tmpl w:val="8148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D10AA"/>
    <w:multiLevelType w:val="hybridMultilevel"/>
    <w:tmpl w:val="FD9E5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6666F67"/>
    <w:multiLevelType w:val="hybridMultilevel"/>
    <w:tmpl w:val="66F688F0"/>
    <w:lvl w:ilvl="0" w:tplc="20DE6D94">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16">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8E6C0E"/>
    <w:multiLevelType w:val="hybridMultilevel"/>
    <w:tmpl w:val="23A49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FF00A8"/>
    <w:multiLevelType w:val="hybridMultilevel"/>
    <w:tmpl w:val="944EE038"/>
    <w:lvl w:ilvl="0" w:tplc="80BAECC0">
      <w:start w:val="1"/>
      <w:numFmt w:val="bullet"/>
      <w:lvlText w:val="•"/>
      <w:lvlJc w:val="left"/>
      <w:pPr>
        <w:tabs>
          <w:tab w:val="num" w:pos="720"/>
        </w:tabs>
        <w:ind w:left="720" w:hanging="360"/>
      </w:pPr>
      <w:rPr>
        <w:rFonts w:ascii="Arial" w:hAnsi="Arial" w:hint="default"/>
      </w:rPr>
    </w:lvl>
    <w:lvl w:ilvl="1" w:tplc="04520326" w:tentative="1">
      <w:start w:val="1"/>
      <w:numFmt w:val="bullet"/>
      <w:lvlText w:val="•"/>
      <w:lvlJc w:val="left"/>
      <w:pPr>
        <w:tabs>
          <w:tab w:val="num" w:pos="1440"/>
        </w:tabs>
        <w:ind w:left="1440" w:hanging="360"/>
      </w:pPr>
      <w:rPr>
        <w:rFonts w:ascii="Arial" w:hAnsi="Arial" w:hint="default"/>
      </w:rPr>
    </w:lvl>
    <w:lvl w:ilvl="2" w:tplc="06C4EED0" w:tentative="1">
      <w:start w:val="1"/>
      <w:numFmt w:val="bullet"/>
      <w:lvlText w:val="•"/>
      <w:lvlJc w:val="left"/>
      <w:pPr>
        <w:tabs>
          <w:tab w:val="num" w:pos="2160"/>
        </w:tabs>
        <w:ind w:left="2160" w:hanging="360"/>
      </w:pPr>
      <w:rPr>
        <w:rFonts w:ascii="Arial" w:hAnsi="Arial" w:hint="default"/>
      </w:rPr>
    </w:lvl>
    <w:lvl w:ilvl="3" w:tplc="243212F6" w:tentative="1">
      <w:start w:val="1"/>
      <w:numFmt w:val="bullet"/>
      <w:lvlText w:val="•"/>
      <w:lvlJc w:val="left"/>
      <w:pPr>
        <w:tabs>
          <w:tab w:val="num" w:pos="2880"/>
        </w:tabs>
        <w:ind w:left="2880" w:hanging="360"/>
      </w:pPr>
      <w:rPr>
        <w:rFonts w:ascii="Arial" w:hAnsi="Arial" w:hint="default"/>
      </w:rPr>
    </w:lvl>
    <w:lvl w:ilvl="4" w:tplc="D62859EA" w:tentative="1">
      <w:start w:val="1"/>
      <w:numFmt w:val="bullet"/>
      <w:lvlText w:val="•"/>
      <w:lvlJc w:val="left"/>
      <w:pPr>
        <w:tabs>
          <w:tab w:val="num" w:pos="3600"/>
        </w:tabs>
        <w:ind w:left="3600" w:hanging="360"/>
      </w:pPr>
      <w:rPr>
        <w:rFonts w:ascii="Arial" w:hAnsi="Arial" w:hint="default"/>
      </w:rPr>
    </w:lvl>
    <w:lvl w:ilvl="5" w:tplc="031816CA" w:tentative="1">
      <w:start w:val="1"/>
      <w:numFmt w:val="bullet"/>
      <w:lvlText w:val="•"/>
      <w:lvlJc w:val="left"/>
      <w:pPr>
        <w:tabs>
          <w:tab w:val="num" w:pos="4320"/>
        </w:tabs>
        <w:ind w:left="4320" w:hanging="360"/>
      </w:pPr>
      <w:rPr>
        <w:rFonts w:ascii="Arial" w:hAnsi="Arial" w:hint="default"/>
      </w:rPr>
    </w:lvl>
    <w:lvl w:ilvl="6" w:tplc="C1AA45B8" w:tentative="1">
      <w:start w:val="1"/>
      <w:numFmt w:val="bullet"/>
      <w:lvlText w:val="•"/>
      <w:lvlJc w:val="left"/>
      <w:pPr>
        <w:tabs>
          <w:tab w:val="num" w:pos="5040"/>
        </w:tabs>
        <w:ind w:left="5040" w:hanging="360"/>
      </w:pPr>
      <w:rPr>
        <w:rFonts w:ascii="Arial" w:hAnsi="Arial" w:hint="default"/>
      </w:rPr>
    </w:lvl>
    <w:lvl w:ilvl="7" w:tplc="110C4F26" w:tentative="1">
      <w:start w:val="1"/>
      <w:numFmt w:val="bullet"/>
      <w:lvlText w:val="•"/>
      <w:lvlJc w:val="left"/>
      <w:pPr>
        <w:tabs>
          <w:tab w:val="num" w:pos="5760"/>
        </w:tabs>
        <w:ind w:left="5760" w:hanging="360"/>
      </w:pPr>
      <w:rPr>
        <w:rFonts w:ascii="Arial" w:hAnsi="Arial" w:hint="default"/>
      </w:rPr>
    </w:lvl>
    <w:lvl w:ilvl="8" w:tplc="EDC0A3B4" w:tentative="1">
      <w:start w:val="1"/>
      <w:numFmt w:val="bullet"/>
      <w:lvlText w:val="•"/>
      <w:lvlJc w:val="left"/>
      <w:pPr>
        <w:tabs>
          <w:tab w:val="num" w:pos="6480"/>
        </w:tabs>
        <w:ind w:left="6480" w:hanging="360"/>
      </w:pPr>
      <w:rPr>
        <w:rFonts w:ascii="Arial" w:hAnsi="Arial" w:hint="default"/>
      </w:rPr>
    </w:lvl>
  </w:abstractNum>
  <w:abstractNum w:abstractNumId="22">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abstractNum w:abstractNumId="24">
    <w:nsid w:val="7F97063F"/>
    <w:multiLevelType w:val="hybridMultilevel"/>
    <w:tmpl w:val="8DA811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1"/>
  </w:num>
  <w:num w:numId="2">
    <w:abstractNumId w:val="18"/>
  </w:num>
  <w:num w:numId="3">
    <w:abstractNumId w:val="18"/>
  </w:num>
  <w:num w:numId="4">
    <w:abstractNumId w:val="18"/>
  </w:num>
  <w:num w:numId="5">
    <w:abstractNumId w:val="18"/>
  </w:num>
  <w:num w:numId="6">
    <w:abstractNumId w:val="18"/>
  </w:num>
  <w:num w:numId="7">
    <w:abstractNumId w:val="18"/>
  </w:num>
  <w:num w:numId="8">
    <w:abstractNumId w:val="0"/>
  </w:num>
  <w:num w:numId="9">
    <w:abstractNumId w:val="8"/>
  </w:num>
  <w:num w:numId="10">
    <w:abstractNumId w:val="15"/>
  </w:num>
  <w:num w:numId="11">
    <w:abstractNumId w:val="5"/>
  </w:num>
  <w:num w:numId="12">
    <w:abstractNumId w:val="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2"/>
  </w:num>
  <w:num w:numId="20">
    <w:abstractNumId w:val="17"/>
  </w:num>
  <w:num w:numId="21">
    <w:abstractNumId w:val="16"/>
  </w:num>
  <w:num w:numId="22">
    <w:abstractNumId w:val="23"/>
  </w:num>
  <w:num w:numId="23">
    <w:abstractNumId w:val="6"/>
  </w:num>
  <w:num w:numId="24">
    <w:abstractNumId w:val="2"/>
  </w:num>
  <w:num w:numId="25">
    <w:abstractNumId w:val="7"/>
  </w:num>
  <w:num w:numId="26">
    <w:abstractNumId w:val="24"/>
  </w:num>
  <w:num w:numId="27">
    <w:abstractNumId w:val="21"/>
  </w:num>
  <w:num w:numId="28">
    <w:abstractNumId w:val="4"/>
  </w:num>
  <w:num w:numId="29">
    <w:abstractNumId w:val="12"/>
  </w:num>
  <w:num w:numId="30">
    <w:abstractNumId w:val="14"/>
  </w:num>
  <w:num w:numId="31">
    <w:abstractNumId w:val="10"/>
  </w:num>
  <w:num w:numId="32">
    <w:abstractNumId w:val="13"/>
  </w:num>
  <w:num w:numId="33">
    <w:abstractNumId w:val="1"/>
  </w:num>
  <w:num w:numId="34">
    <w:abstractNumId w:val="20"/>
  </w:num>
  <w:num w:numId="3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OB">
    <w15:presenceInfo w15:providerId="None" w15:userId="Nikol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72"/>
    <w:rsid w:val="000146C0"/>
    <w:rsid w:val="00031D0D"/>
    <w:rsid w:val="0003312A"/>
    <w:rsid w:val="00054C49"/>
    <w:rsid w:val="00055943"/>
    <w:rsid w:val="00057853"/>
    <w:rsid w:val="00063FF7"/>
    <w:rsid w:val="00071044"/>
    <w:rsid w:val="00072000"/>
    <w:rsid w:val="00075AC4"/>
    <w:rsid w:val="00091DE3"/>
    <w:rsid w:val="000A08B2"/>
    <w:rsid w:val="000B2470"/>
    <w:rsid w:val="000B4B51"/>
    <w:rsid w:val="000C47BA"/>
    <w:rsid w:val="000D466B"/>
    <w:rsid w:val="000F5040"/>
    <w:rsid w:val="00107314"/>
    <w:rsid w:val="001171A6"/>
    <w:rsid w:val="00123DEE"/>
    <w:rsid w:val="00132CFC"/>
    <w:rsid w:val="00145374"/>
    <w:rsid w:val="001544B7"/>
    <w:rsid w:val="001608FA"/>
    <w:rsid w:val="00197E38"/>
    <w:rsid w:val="001C23EB"/>
    <w:rsid w:val="001F659A"/>
    <w:rsid w:val="00224C0E"/>
    <w:rsid w:val="00225766"/>
    <w:rsid w:val="0023061B"/>
    <w:rsid w:val="00232317"/>
    <w:rsid w:val="00240CE4"/>
    <w:rsid w:val="002731B0"/>
    <w:rsid w:val="0027498F"/>
    <w:rsid w:val="002820B0"/>
    <w:rsid w:val="00282FAB"/>
    <w:rsid w:val="00285DEC"/>
    <w:rsid w:val="002C6352"/>
    <w:rsid w:val="002D0F69"/>
    <w:rsid w:val="002E4E62"/>
    <w:rsid w:val="002E67F5"/>
    <w:rsid w:val="002F0338"/>
    <w:rsid w:val="0032332B"/>
    <w:rsid w:val="003505E9"/>
    <w:rsid w:val="00367024"/>
    <w:rsid w:val="00371CC9"/>
    <w:rsid w:val="003732F7"/>
    <w:rsid w:val="0039677A"/>
    <w:rsid w:val="003A36E1"/>
    <w:rsid w:val="003B1C24"/>
    <w:rsid w:val="003B6DEF"/>
    <w:rsid w:val="003B7434"/>
    <w:rsid w:val="003C7E4E"/>
    <w:rsid w:val="003D3810"/>
    <w:rsid w:val="003E62D6"/>
    <w:rsid w:val="003F08D6"/>
    <w:rsid w:val="004019F0"/>
    <w:rsid w:val="00402909"/>
    <w:rsid w:val="00410EFE"/>
    <w:rsid w:val="004219EB"/>
    <w:rsid w:val="00422A5F"/>
    <w:rsid w:val="00440C8E"/>
    <w:rsid w:val="00440FCE"/>
    <w:rsid w:val="00464CE4"/>
    <w:rsid w:val="00466EF2"/>
    <w:rsid w:val="004913C6"/>
    <w:rsid w:val="004A0FC4"/>
    <w:rsid w:val="004B0CC4"/>
    <w:rsid w:val="004D0063"/>
    <w:rsid w:val="004E3003"/>
    <w:rsid w:val="004E38B1"/>
    <w:rsid w:val="004F0D8E"/>
    <w:rsid w:val="004F7D59"/>
    <w:rsid w:val="00506899"/>
    <w:rsid w:val="00525D79"/>
    <w:rsid w:val="005354F9"/>
    <w:rsid w:val="005362DA"/>
    <w:rsid w:val="00540984"/>
    <w:rsid w:val="00566321"/>
    <w:rsid w:val="005821F0"/>
    <w:rsid w:val="00583E0B"/>
    <w:rsid w:val="005926CC"/>
    <w:rsid w:val="00593501"/>
    <w:rsid w:val="005A2841"/>
    <w:rsid w:val="005A5EFE"/>
    <w:rsid w:val="005B29E4"/>
    <w:rsid w:val="005B2CDD"/>
    <w:rsid w:val="005C5831"/>
    <w:rsid w:val="005C6447"/>
    <w:rsid w:val="005D0BBD"/>
    <w:rsid w:val="005E00D6"/>
    <w:rsid w:val="005E778C"/>
    <w:rsid w:val="00601481"/>
    <w:rsid w:val="006036E7"/>
    <w:rsid w:val="00611D22"/>
    <w:rsid w:val="00634E01"/>
    <w:rsid w:val="00640ADA"/>
    <w:rsid w:val="00646A28"/>
    <w:rsid w:val="00653523"/>
    <w:rsid w:val="00691FFC"/>
    <w:rsid w:val="00696E94"/>
    <w:rsid w:val="006A0BEC"/>
    <w:rsid w:val="006A1A2A"/>
    <w:rsid w:val="006A6321"/>
    <w:rsid w:val="006C6A77"/>
    <w:rsid w:val="006E4CD8"/>
    <w:rsid w:val="006E7421"/>
    <w:rsid w:val="006F1951"/>
    <w:rsid w:val="0071133F"/>
    <w:rsid w:val="00712774"/>
    <w:rsid w:val="00730870"/>
    <w:rsid w:val="0073671C"/>
    <w:rsid w:val="0074052B"/>
    <w:rsid w:val="00742FF8"/>
    <w:rsid w:val="00753039"/>
    <w:rsid w:val="0077407B"/>
    <w:rsid w:val="007811E7"/>
    <w:rsid w:val="007C6DA2"/>
    <w:rsid w:val="007E3324"/>
    <w:rsid w:val="007F6F45"/>
    <w:rsid w:val="007F7FA0"/>
    <w:rsid w:val="00804FCA"/>
    <w:rsid w:val="00805384"/>
    <w:rsid w:val="00805A08"/>
    <w:rsid w:val="0081275B"/>
    <w:rsid w:val="0081589A"/>
    <w:rsid w:val="008252A7"/>
    <w:rsid w:val="00827553"/>
    <w:rsid w:val="00827C24"/>
    <w:rsid w:val="0085305C"/>
    <w:rsid w:val="00874201"/>
    <w:rsid w:val="00884ABF"/>
    <w:rsid w:val="00895CDF"/>
    <w:rsid w:val="0089649C"/>
    <w:rsid w:val="008A5618"/>
    <w:rsid w:val="008A6538"/>
    <w:rsid w:val="008B78B8"/>
    <w:rsid w:val="008C1991"/>
    <w:rsid w:val="008C78AD"/>
    <w:rsid w:val="008E6E35"/>
    <w:rsid w:val="008F35AC"/>
    <w:rsid w:val="008F787D"/>
    <w:rsid w:val="00900B0C"/>
    <w:rsid w:val="0090202F"/>
    <w:rsid w:val="00910897"/>
    <w:rsid w:val="00940BE1"/>
    <w:rsid w:val="0094120F"/>
    <w:rsid w:val="00945925"/>
    <w:rsid w:val="00990FD0"/>
    <w:rsid w:val="009A149C"/>
    <w:rsid w:val="009A5391"/>
    <w:rsid w:val="009C0242"/>
    <w:rsid w:val="009C62ED"/>
    <w:rsid w:val="009D5146"/>
    <w:rsid w:val="009D754B"/>
    <w:rsid w:val="009E1FF7"/>
    <w:rsid w:val="009F1F92"/>
    <w:rsid w:val="009F4EA9"/>
    <w:rsid w:val="00A01673"/>
    <w:rsid w:val="00A020B3"/>
    <w:rsid w:val="00A078D1"/>
    <w:rsid w:val="00A1556E"/>
    <w:rsid w:val="00A41AD1"/>
    <w:rsid w:val="00A53F6A"/>
    <w:rsid w:val="00A66634"/>
    <w:rsid w:val="00A8445E"/>
    <w:rsid w:val="00A94805"/>
    <w:rsid w:val="00A97C72"/>
    <w:rsid w:val="00AA0728"/>
    <w:rsid w:val="00AC3FDD"/>
    <w:rsid w:val="00AF709A"/>
    <w:rsid w:val="00B0343E"/>
    <w:rsid w:val="00B32A8A"/>
    <w:rsid w:val="00B32F64"/>
    <w:rsid w:val="00B53294"/>
    <w:rsid w:val="00B618F0"/>
    <w:rsid w:val="00B6376B"/>
    <w:rsid w:val="00B76C0A"/>
    <w:rsid w:val="00BB65AE"/>
    <w:rsid w:val="00BC6E71"/>
    <w:rsid w:val="00BD49B9"/>
    <w:rsid w:val="00BE01C0"/>
    <w:rsid w:val="00BE5F6F"/>
    <w:rsid w:val="00C12E90"/>
    <w:rsid w:val="00C13535"/>
    <w:rsid w:val="00C165C3"/>
    <w:rsid w:val="00C33FAC"/>
    <w:rsid w:val="00C40E5C"/>
    <w:rsid w:val="00C443EE"/>
    <w:rsid w:val="00C532E8"/>
    <w:rsid w:val="00C676D7"/>
    <w:rsid w:val="00C67B06"/>
    <w:rsid w:val="00C72B6F"/>
    <w:rsid w:val="00C771E7"/>
    <w:rsid w:val="00C9492A"/>
    <w:rsid w:val="00CA2B0E"/>
    <w:rsid w:val="00CC2277"/>
    <w:rsid w:val="00CC3B0B"/>
    <w:rsid w:val="00CD366E"/>
    <w:rsid w:val="00CD38D4"/>
    <w:rsid w:val="00CE68B5"/>
    <w:rsid w:val="00D10C77"/>
    <w:rsid w:val="00D27C12"/>
    <w:rsid w:val="00D462A6"/>
    <w:rsid w:val="00D65A2A"/>
    <w:rsid w:val="00D65E69"/>
    <w:rsid w:val="00D760F4"/>
    <w:rsid w:val="00D87C48"/>
    <w:rsid w:val="00D95D49"/>
    <w:rsid w:val="00D96626"/>
    <w:rsid w:val="00DA1EEC"/>
    <w:rsid w:val="00DA6BA1"/>
    <w:rsid w:val="00DB38A0"/>
    <w:rsid w:val="00DB7772"/>
    <w:rsid w:val="00DC6654"/>
    <w:rsid w:val="00DC7BD4"/>
    <w:rsid w:val="00DC7E05"/>
    <w:rsid w:val="00DD1B3E"/>
    <w:rsid w:val="00E008F5"/>
    <w:rsid w:val="00E0505D"/>
    <w:rsid w:val="00E14D6D"/>
    <w:rsid w:val="00E400C4"/>
    <w:rsid w:val="00E43945"/>
    <w:rsid w:val="00E50192"/>
    <w:rsid w:val="00E56A09"/>
    <w:rsid w:val="00E56F5D"/>
    <w:rsid w:val="00E779BF"/>
    <w:rsid w:val="00E850FB"/>
    <w:rsid w:val="00E8560C"/>
    <w:rsid w:val="00EA7A90"/>
    <w:rsid w:val="00EB325E"/>
    <w:rsid w:val="00EB611B"/>
    <w:rsid w:val="00ED1151"/>
    <w:rsid w:val="00ED5138"/>
    <w:rsid w:val="00EE6013"/>
    <w:rsid w:val="00EF5350"/>
    <w:rsid w:val="00F023E9"/>
    <w:rsid w:val="00F05579"/>
    <w:rsid w:val="00F06742"/>
    <w:rsid w:val="00F46ACB"/>
    <w:rsid w:val="00F46B1B"/>
    <w:rsid w:val="00F642E9"/>
    <w:rsid w:val="00F741E6"/>
    <w:rsid w:val="00F85260"/>
    <w:rsid w:val="00F86B04"/>
    <w:rsid w:val="00FB3F9E"/>
    <w:rsid w:val="00FC3FCD"/>
    <w:rsid w:val="00FD35B6"/>
    <w:rsid w:val="00FF14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uiPriority w:val="59"/>
    <w:rsid w:val="00CD3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paragraph" w:styleId="Normaalweb">
    <w:name w:val="Normal (Web)"/>
    <w:basedOn w:val="Standaard"/>
    <w:uiPriority w:val="99"/>
    <w:semiHidden/>
    <w:unhideWhenUsed/>
    <w:rsid w:val="003A36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uiPriority w:val="59"/>
    <w:rsid w:val="00CD3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paragraph" w:styleId="Normaalweb">
    <w:name w:val="Normal (Web)"/>
    <w:basedOn w:val="Standaard"/>
    <w:uiPriority w:val="99"/>
    <w:semiHidden/>
    <w:unhideWhenUsed/>
    <w:rsid w:val="003A3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57843">
      <w:bodyDiv w:val="1"/>
      <w:marLeft w:val="0"/>
      <w:marRight w:val="0"/>
      <w:marTop w:val="0"/>
      <w:marBottom w:val="0"/>
      <w:divBdr>
        <w:top w:val="none" w:sz="0" w:space="0" w:color="auto"/>
        <w:left w:val="none" w:sz="0" w:space="0" w:color="auto"/>
        <w:bottom w:val="none" w:sz="0" w:space="0" w:color="auto"/>
        <w:right w:val="none" w:sz="0" w:space="0" w:color="auto"/>
      </w:divBdr>
      <w:divsChild>
        <w:div w:id="271403603">
          <w:marLeft w:val="547"/>
          <w:marRight w:val="0"/>
          <w:marTop w:val="0"/>
          <w:marBottom w:val="0"/>
          <w:divBdr>
            <w:top w:val="none" w:sz="0" w:space="0" w:color="auto"/>
            <w:left w:val="none" w:sz="0" w:space="0" w:color="auto"/>
            <w:bottom w:val="none" w:sz="0" w:space="0" w:color="auto"/>
            <w:right w:val="none" w:sz="0" w:space="0" w:color="auto"/>
          </w:divBdr>
        </w:div>
        <w:div w:id="1011303089">
          <w:marLeft w:val="547"/>
          <w:marRight w:val="0"/>
          <w:marTop w:val="0"/>
          <w:marBottom w:val="0"/>
          <w:divBdr>
            <w:top w:val="none" w:sz="0" w:space="0" w:color="auto"/>
            <w:left w:val="none" w:sz="0" w:space="0" w:color="auto"/>
            <w:bottom w:val="none" w:sz="0" w:space="0" w:color="auto"/>
            <w:right w:val="none" w:sz="0" w:space="0" w:color="auto"/>
          </w:divBdr>
        </w:div>
        <w:div w:id="879394271">
          <w:marLeft w:val="547"/>
          <w:marRight w:val="0"/>
          <w:marTop w:val="0"/>
          <w:marBottom w:val="0"/>
          <w:divBdr>
            <w:top w:val="none" w:sz="0" w:space="0" w:color="auto"/>
            <w:left w:val="none" w:sz="0" w:space="0" w:color="auto"/>
            <w:bottom w:val="none" w:sz="0" w:space="0" w:color="auto"/>
            <w:right w:val="none" w:sz="0" w:space="0" w:color="auto"/>
          </w:divBdr>
        </w:div>
        <w:div w:id="1599169200">
          <w:marLeft w:val="547"/>
          <w:marRight w:val="0"/>
          <w:marTop w:val="0"/>
          <w:marBottom w:val="0"/>
          <w:divBdr>
            <w:top w:val="none" w:sz="0" w:space="0" w:color="auto"/>
            <w:left w:val="none" w:sz="0" w:space="0" w:color="auto"/>
            <w:bottom w:val="none" w:sz="0" w:space="0" w:color="auto"/>
            <w:right w:val="none" w:sz="0" w:space="0" w:color="auto"/>
          </w:divBdr>
        </w:div>
      </w:divsChild>
    </w:div>
    <w:div w:id="1553075475">
      <w:bodyDiv w:val="1"/>
      <w:marLeft w:val="0"/>
      <w:marRight w:val="0"/>
      <w:marTop w:val="0"/>
      <w:marBottom w:val="0"/>
      <w:divBdr>
        <w:top w:val="none" w:sz="0" w:space="0" w:color="auto"/>
        <w:left w:val="none" w:sz="0" w:space="0" w:color="auto"/>
        <w:bottom w:val="none" w:sz="0" w:space="0" w:color="auto"/>
        <w:right w:val="none" w:sz="0" w:space="0" w:color="auto"/>
      </w:divBdr>
      <w:divsChild>
        <w:div w:id="388186913">
          <w:marLeft w:val="547"/>
          <w:marRight w:val="0"/>
          <w:marTop w:val="19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90A3FA-8667-4796-951B-57E9E725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1019</Words>
  <Characters>5810</Characters>
  <Application>Microsoft Office Word</Application>
  <DocSecurity>0</DocSecurity>
  <Lines>48</Lines>
  <Paragraphs>13</Paragraphs>
  <ScaleCrop>false</ScaleCrop>
  <HeadingPairs>
    <vt:vector size="6" baseType="variant">
      <vt:variant>
        <vt:lpstr>Заглавие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ARCADIS Belgium</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Volckaert, Annemie</dc:creator>
  <cp:lastModifiedBy>Wouter Rommens</cp:lastModifiedBy>
  <cp:revision>8</cp:revision>
  <dcterms:created xsi:type="dcterms:W3CDTF">2015-04-03T14:47:00Z</dcterms:created>
  <dcterms:modified xsi:type="dcterms:W3CDTF">2015-04-14T07:12:00Z</dcterms:modified>
</cp:coreProperties>
</file>