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3F" w:rsidRPr="003B2B36" w:rsidRDefault="005D3832" w:rsidP="00583D8D">
      <w:pPr>
        <w:rPr>
          <w:rFonts w:ascii="Arial" w:hAnsi="Arial" w:cs="Arial"/>
          <w:b/>
          <w:sz w:val="20"/>
          <w:szCs w:val="20"/>
          <w:lang w:val="en-GB"/>
        </w:rPr>
      </w:pPr>
      <w:r w:rsidRPr="003B2B36">
        <w:rPr>
          <w:rFonts w:ascii="Arial" w:hAnsi="Arial" w:cs="Arial"/>
          <w:b/>
          <w:sz w:val="20"/>
          <w:szCs w:val="20"/>
          <w:lang w:val="en-GB"/>
        </w:rPr>
        <w:t>Factsheet</w:t>
      </w:r>
      <w:r w:rsidR="00663774" w:rsidRPr="003B2B36">
        <w:rPr>
          <w:rFonts w:ascii="Arial" w:hAnsi="Arial" w:cs="Arial"/>
          <w:b/>
          <w:sz w:val="20"/>
          <w:szCs w:val="20"/>
          <w:lang w:val="en-GB"/>
        </w:rPr>
        <w:t xml:space="preserve"> for new measures</w:t>
      </w:r>
    </w:p>
    <w:p w:rsidR="00687FA0" w:rsidRPr="003B2B36" w:rsidRDefault="0042570F" w:rsidP="00583D8D">
      <w:pPr>
        <w:rPr>
          <w:rFonts w:ascii="Arial" w:hAnsi="Arial" w:cs="Arial"/>
          <w:i/>
          <w:sz w:val="20"/>
          <w:szCs w:val="20"/>
          <w:lang w:val="en-GB"/>
        </w:rPr>
      </w:pPr>
      <w:r w:rsidRPr="003B2B36">
        <w:rPr>
          <w:rFonts w:ascii="Arial" w:hAnsi="Arial" w:cs="Arial"/>
          <w:i/>
          <w:sz w:val="20"/>
          <w:szCs w:val="20"/>
          <w:lang w:val="en-GB"/>
        </w:rPr>
        <w:t>This measure fact sheet is the result of coordination between the UBA project Implementation of the Marine Strategy Framework Directive (MSFD) in Bulgaria – Development of Programmes of Measures under Article 13', carried out by Fresh Thoughts/Intersus, and the EC project (DG Environment) 'Technical and administrative support for the joint implementation of the Marine Strategy Framework Directive (MSFD) in Bulgaria and Romania – Phase 2', carried out by ARCADIS-Belgium.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837"/>
        <w:gridCol w:w="2710"/>
      </w:tblGrid>
      <w:tr w:rsidR="003B2B36" w:rsidRPr="003B2B36" w:rsidTr="003B2B36">
        <w:trPr>
          <w:tblHeader/>
        </w:trPr>
        <w:tc>
          <w:tcPr>
            <w:tcW w:w="2376" w:type="dxa"/>
            <w:shd w:val="clear" w:color="auto" w:fill="1F497D" w:themeFill="text2"/>
          </w:tcPr>
          <w:p w:rsidR="005D3832" w:rsidRPr="003B2B36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Measure characteristics </w:t>
            </w:r>
          </w:p>
          <w:p w:rsidR="005D3832" w:rsidRPr="003B2B36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837" w:type="dxa"/>
            <w:shd w:val="clear" w:color="auto" w:fill="1F497D" w:themeFill="text2"/>
          </w:tcPr>
          <w:p w:rsidR="005D3832" w:rsidRPr="003B2B36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Management area:</w:t>
            </w:r>
          </w:p>
          <w:p w:rsidR="005D3832" w:rsidRPr="003B2B36" w:rsidRDefault="00C363D9" w:rsidP="005D3832">
            <w:pPr>
              <w:numPr>
                <w:ilvl w:val="0"/>
                <w:numId w:val="2"/>
              </w:numPr>
              <w:spacing w:before="60" w:after="60" w:line="240" w:lineRule="auto"/>
              <w:ind w:left="714" w:hanging="357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n-GB"/>
              </w:rPr>
              <w:t>Black Sea</w:t>
            </w:r>
          </w:p>
          <w:p w:rsidR="005D3832" w:rsidRPr="003B2B36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n-GB"/>
              </w:rPr>
            </w:pPr>
          </w:p>
          <w:p w:rsidR="005D3832" w:rsidRPr="003B2B36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n-GB"/>
              </w:rPr>
              <w:t>Any other codes</w:t>
            </w:r>
          </w:p>
        </w:tc>
        <w:tc>
          <w:tcPr>
            <w:tcW w:w="2710" w:type="dxa"/>
            <w:shd w:val="clear" w:color="auto" w:fill="1F497D" w:themeFill="text2"/>
          </w:tcPr>
          <w:p w:rsidR="005D3832" w:rsidRPr="003B2B36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Code:</w:t>
            </w:r>
          </w:p>
          <w:p w:rsidR="005D3832" w:rsidRPr="003B2B36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n-GB"/>
              </w:rPr>
              <w:t>MSFD reporting code</w:t>
            </w:r>
          </w:p>
          <w:p w:rsidR="005D3832" w:rsidRPr="003B2B36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  <w:p w:rsidR="005D3832" w:rsidRPr="003B2B36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No. of measure:</w:t>
            </w:r>
          </w:p>
          <w:p w:rsidR="005D3832" w:rsidRPr="003B2B36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n-GB"/>
              </w:rPr>
              <w:t>MSFD measure list</w:t>
            </w:r>
          </w:p>
        </w:tc>
      </w:tr>
      <w:tr w:rsidR="005D3832" w:rsidRPr="003B2B36" w:rsidTr="00C83726">
        <w:tc>
          <w:tcPr>
            <w:tcW w:w="2376" w:type="dxa"/>
            <w:shd w:val="clear" w:color="auto" w:fill="auto"/>
          </w:tcPr>
          <w:p w:rsidR="005D3832" w:rsidRPr="003B2B36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b/>
                <w:sz w:val="20"/>
                <w:szCs w:val="20"/>
                <w:lang w:val="en-GB"/>
              </w:rPr>
              <w:t>Measure title</w:t>
            </w:r>
          </w:p>
        </w:tc>
        <w:tc>
          <w:tcPr>
            <w:tcW w:w="7547" w:type="dxa"/>
            <w:gridSpan w:val="2"/>
            <w:shd w:val="clear" w:color="auto" w:fill="auto"/>
          </w:tcPr>
          <w:p w:rsidR="00314B58" w:rsidRPr="003B2B36" w:rsidRDefault="000A0215" w:rsidP="00C83726">
            <w:pPr>
              <w:spacing w:after="60" w:line="240" w:lineRule="auto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0A0215">
              <w:rPr>
                <w:rFonts w:ascii="Arial" w:hAnsi="Arial" w:cs="Arial"/>
                <w:sz w:val="20"/>
                <w:szCs w:val="20"/>
                <w:lang w:val="en-GB"/>
              </w:rPr>
              <w:t xml:space="preserve">Designation of zones permitted for beam trawling and long-term observation of the impacts. When necessary, change usage requirements for beam trawling. </w:t>
            </w:r>
          </w:p>
        </w:tc>
      </w:tr>
      <w:tr w:rsidR="00AF66BF" w:rsidRPr="000A0215" w:rsidTr="00C83726">
        <w:tc>
          <w:tcPr>
            <w:tcW w:w="2376" w:type="dxa"/>
            <w:shd w:val="clear" w:color="auto" w:fill="auto"/>
          </w:tcPr>
          <w:p w:rsidR="00AF66BF" w:rsidRPr="003B2B36" w:rsidRDefault="00AF66BF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b/>
                <w:sz w:val="20"/>
                <w:szCs w:val="20"/>
                <w:lang w:val="en-GB"/>
              </w:rPr>
              <w:t>Short, precise description of the measure</w:t>
            </w:r>
          </w:p>
        </w:tc>
        <w:tc>
          <w:tcPr>
            <w:tcW w:w="7547" w:type="dxa"/>
            <w:gridSpan w:val="2"/>
            <w:shd w:val="clear" w:color="auto" w:fill="auto"/>
          </w:tcPr>
          <w:p w:rsidR="008821FE" w:rsidRPr="003B2B36" w:rsidRDefault="008821FE" w:rsidP="008821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2B36">
              <w:rPr>
                <w:rFonts w:ascii="Arial" w:hAnsi="Arial" w:cs="Arial"/>
                <w:sz w:val="20"/>
                <w:szCs w:val="20"/>
                <w:lang w:val="bg-BG"/>
              </w:rPr>
              <w:t xml:space="preserve">This measure is </w:t>
            </w:r>
            <w:r w:rsidRPr="003B2B36">
              <w:rPr>
                <w:rFonts w:ascii="Arial" w:hAnsi="Arial" w:cs="Arial"/>
                <w:sz w:val="20"/>
                <w:szCs w:val="20"/>
                <w:lang w:val="en-US"/>
              </w:rPr>
              <w:t>developed as common coordinated measure</w:t>
            </w:r>
            <w:r w:rsidRPr="003B2B36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="00FC61B8" w:rsidRPr="003B2B36">
              <w:rPr>
                <w:rFonts w:ascii="Arial" w:hAnsi="Arial" w:cs="Arial"/>
                <w:sz w:val="20"/>
                <w:szCs w:val="20"/>
                <w:lang w:val="en-US"/>
              </w:rPr>
              <w:t xml:space="preserve">between Bulgaria and </w:t>
            </w:r>
            <w:r w:rsidRPr="003B2B36">
              <w:rPr>
                <w:rFonts w:ascii="Arial" w:hAnsi="Arial" w:cs="Arial"/>
                <w:sz w:val="20"/>
                <w:szCs w:val="20"/>
                <w:lang w:val="bg-BG"/>
              </w:rPr>
              <w:t xml:space="preserve"> Romania</w:t>
            </w:r>
            <w:r w:rsidRPr="003B2B36">
              <w:rPr>
                <w:rFonts w:ascii="Arial" w:hAnsi="Arial" w:cs="Arial"/>
                <w:sz w:val="20"/>
                <w:szCs w:val="20"/>
                <w:lang w:val="en-US"/>
              </w:rPr>
              <w:t xml:space="preserve"> in the scope of </w:t>
            </w:r>
            <w:r w:rsidRPr="003B2B36">
              <w:rPr>
                <w:rFonts w:ascii="Arial" w:hAnsi="Arial" w:cs="Arial"/>
                <w:sz w:val="20"/>
                <w:szCs w:val="20"/>
                <w:lang w:val="en-GB"/>
              </w:rPr>
              <w:t>EC project (DG Environment) “Technical and administrative support for the joint implementation of the Marine Strategy Framework Directive (MSFD) in Bulgaria and Romania – Phase 2”</w:t>
            </w:r>
            <w:r w:rsidRPr="003B2B3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FC61B8" w:rsidRPr="003B2B36" w:rsidRDefault="008821FE" w:rsidP="00FC21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sz w:val="20"/>
                <w:szCs w:val="20"/>
                <w:lang w:val="en-GB"/>
              </w:rPr>
              <w:t xml:space="preserve">At present </w:t>
            </w:r>
            <w:r w:rsidR="00A55A1E" w:rsidRPr="003B2B36">
              <w:rPr>
                <w:rFonts w:ascii="Arial" w:hAnsi="Arial" w:cs="Arial"/>
                <w:sz w:val="20"/>
                <w:szCs w:val="20"/>
                <w:lang w:val="en-GB"/>
              </w:rPr>
              <w:t xml:space="preserve">beam trawling is allowed for </w:t>
            </w:r>
            <w:r w:rsidR="00A55A1E"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>Rapana</w:t>
            </w:r>
            <w:r w:rsidR="00A55A1E" w:rsidRPr="003B2B36">
              <w:rPr>
                <w:rFonts w:ascii="Arial" w:hAnsi="Arial" w:cs="Arial"/>
                <w:sz w:val="20"/>
                <w:szCs w:val="20"/>
                <w:lang w:val="en-GB"/>
              </w:rPr>
              <w:t xml:space="preserve"> fisheries and for scientific purposes. </w:t>
            </w:r>
          </w:p>
          <w:p w:rsidR="00FC218B" w:rsidRPr="003B2B36" w:rsidRDefault="00FC218B" w:rsidP="00FC21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2B36">
              <w:rPr>
                <w:rFonts w:ascii="Arial" w:hAnsi="Arial" w:cs="Arial"/>
                <w:sz w:val="20"/>
                <w:szCs w:val="20"/>
                <w:lang w:val="bg-BG"/>
              </w:rPr>
              <w:t xml:space="preserve">In order to reduce damaging to marine habitats due to </w:t>
            </w:r>
            <w:r w:rsidR="004A76AE" w:rsidRPr="004A76AE">
              <w:rPr>
                <w:rFonts w:ascii="Arial" w:hAnsi="Arial" w:cs="Arial"/>
                <w:sz w:val="20"/>
                <w:szCs w:val="20"/>
                <w:lang w:val="en-US"/>
              </w:rPr>
              <w:t>beam</w:t>
            </w:r>
            <w:r w:rsidRPr="003B2B36">
              <w:rPr>
                <w:rFonts w:ascii="Arial" w:hAnsi="Arial" w:cs="Arial"/>
                <w:sz w:val="20"/>
                <w:szCs w:val="20"/>
                <w:lang w:val="bg-BG"/>
              </w:rPr>
              <w:t xml:space="preserve"> trawling it is necessary to identify areas where trawling is permitted</w:t>
            </w:r>
            <w:r w:rsidR="00FC61B8" w:rsidRPr="003B2B36">
              <w:rPr>
                <w:rFonts w:ascii="Arial" w:hAnsi="Arial" w:cs="Arial"/>
                <w:sz w:val="20"/>
                <w:szCs w:val="20"/>
                <w:lang w:val="en-US"/>
              </w:rPr>
              <w:t xml:space="preserve"> ((criteria used will be defined by common Working Groups).</w:t>
            </w:r>
            <w:r w:rsidRPr="003B2B36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="0049174D" w:rsidRPr="003B2B36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49174D" w:rsidRPr="003B2B36">
              <w:rPr>
                <w:rFonts w:ascii="Arial" w:hAnsi="Arial" w:cs="Arial"/>
                <w:sz w:val="20"/>
                <w:szCs w:val="20"/>
                <w:lang w:val="bg-BG"/>
              </w:rPr>
              <w:t xml:space="preserve">his activity should be banned </w:t>
            </w:r>
            <w:r w:rsidR="0049174D" w:rsidRPr="003B2B36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49174D" w:rsidRPr="003B2B36">
              <w:rPr>
                <w:rFonts w:ascii="Arial" w:hAnsi="Arial" w:cs="Arial"/>
                <w:sz w:val="20"/>
                <w:szCs w:val="20"/>
                <w:lang w:val="bg-BG"/>
              </w:rPr>
              <w:t>n other areas</w:t>
            </w:r>
            <w:r w:rsidR="0049174D" w:rsidRPr="003B2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B2B36">
              <w:rPr>
                <w:rFonts w:ascii="Arial" w:hAnsi="Arial" w:cs="Arial"/>
                <w:sz w:val="20"/>
                <w:szCs w:val="20"/>
                <w:lang w:val="bg-BG"/>
              </w:rPr>
              <w:t xml:space="preserve">such as protected areas </w:t>
            </w:r>
            <w:r w:rsidR="0049174D" w:rsidRPr="003B2B36">
              <w:rPr>
                <w:rFonts w:ascii="Arial" w:hAnsi="Arial" w:cs="Arial"/>
                <w:sz w:val="20"/>
                <w:szCs w:val="20"/>
                <w:lang w:val="en-US"/>
              </w:rPr>
              <w:t xml:space="preserve">in </w:t>
            </w:r>
            <w:r w:rsidRPr="003B2B36">
              <w:rPr>
                <w:rFonts w:ascii="Arial" w:hAnsi="Arial" w:cs="Arial"/>
                <w:sz w:val="20"/>
                <w:szCs w:val="20"/>
                <w:lang w:val="bg-BG"/>
              </w:rPr>
              <w:t>Natura 2000, other marine protected ar</w:t>
            </w:r>
            <w:r w:rsidR="0049174D" w:rsidRPr="003B2B36">
              <w:rPr>
                <w:rFonts w:ascii="Arial" w:hAnsi="Arial" w:cs="Arial"/>
                <w:sz w:val="20"/>
                <w:szCs w:val="20"/>
                <w:lang w:val="bg-BG"/>
              </w:rPr>
              <w:t>eas, mussel banks and others</w:t>
            </w:r>
            <w:r w:rsidR="0049174D" w:rsidRPr="003B2B3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FC218B" w:rsidRPr="003B2B36" w:rsidRDefault="00FC218B" w:rsidP="00FC21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3B2B36">
              <w:rPr>
                <w:rFonts w:ascii="Arial" w:hAnsi="Arial" w:cs="Arial"/>
                <w:sz w:val="20"/>
                <w:szCs w:val="20"/>
                <w:lang w:val="bg-BG"/>
              </w:rPr>
              <w:t xml:space="preserve">The criteria for defining these areas should be </w:t>
            </w:r>
            <w:r w:rsidR="00AF2353">
              <w:rPr>
                <w:rFonts w:ascii="Arial" w:hAnsi="Arial" w:cs="Arial"/>
                <w:sz w:val="20"/>
                <w:szCs w:val="20"/>
                <w:lang w:val="en-US"/>
              </w:rPr>
              <w:t xml:space="preserve">establish </w:t>
            </w:r>
            <w:r w:rsidRPr="003B2B36">
              <w:rPr>
                <w:rFonts w:ascii="Arial" w:hAnsi="Arial" w:cs="Arial"/>
                <w:sz w:val="20"/>
                <w:szCs w:val="20"/>
                <w:lang w:val="bg-BG"/>
              </w:rPr>
              <w:t>within the framework of working group</w:t>
            </w:r>
            <w:r w:rsidR="002F106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3B2B36">
              <w:rPr>
                <w:rFonts w:ascii="Arial" w:hAnsi="Arial" w:cs="Arial"/>
                <w:sz w:val="20"/>
                <w:szCs w:val="20"/>
                <w:lang w:val="bg-BG"/>
              </w:rPr>
              <w:t xml:space="preserve"> with representatives from the Ministr</w:t>
            </w:r>
            <w:r w:rsidR="00AF2353">
              <w:rPr>
                <w:rFonts w:ascii="Arial" w:hAnsi="Arial" w:cs="Arial"/>
                <w:sz w:val="20"/>
                <w:szCs w:val="20"/>
                <w:lang w:val="en-US"/>
              </w:rPr>
              <w:t>ies</w:t>
            </w:r>
            <w:r w:rsidRPr="003B2B36">
              <w:rPr>
                <w:rFonts w:ascii="Arial" w:hAnsi="Arial" w:cs="Arial"/>
                <w:sz w:val="20"/>
                <w:szCs w:val="20"/>
                <w:lang w:val="bg-BG"/>
              </w:rPr>
              <w:t xml:space="preserve"> of Environment  and the Ministr</w:t>
            </w:r>
            <w:r w:rsidR="00AF2353">
              <w:rPr>
                <w:rFonts w:ascii="Arial" w:hAnsi="Arial" w:cs="Arial"/>
                <w:sz w:val="20"/>
                <w:szCs w:val="20"/>
                <w:lang w:val="en-US"/>
              </w:rPr>
              <w:t>ies</w:t>
            </w:r>
            <w:r w:rsidRPr="003B2B36">
              <w:rPr>
                <w:rFonts w:ascii="Arial" w:hAnsi="Arial" w:cs="Arial"/>
                <w:sz w:val="20"/>
                <w:szCs w:val="20"/>
                <w:lang w:val="bg-BG"/>
              </w:rPr>
              <w:t xml:space="preserve"> of Agriculture and their </w:t>
            </w:r>
            <w:r w:rsidR="00AF2353">
              <w:rPr>
                <w:rFonts w:ascii="Arial" w:hAnsi="Arial" w:cs="Arial"/>
                <w:sz w:val="20"/>
                <w:szCs w:val="20"/>
                <w:lang w:val="en-US"/>
              </w:rPr>
              <w:t xml:space="preserve">subordinated </w:t>
            </w:r>
            <w:r w:rsidRPr="003B2B36">
              <w:rPr>
                <w:rFonts w:ascii="Arial" w:hAnsi="Arial" w:cs="Arial"/>
                <w:sz w:val="20"/>
                <w:szCs w:val="20"/>
                <w:lang w:val="bg-BG"/>
              </w:rPr>
              <w:t>l structures.</w:t>
            </w:r>
          </w:p>
          <w:p w:rsidR="00FC218B" w:rsidRPr="003B2B36" w:rsidRDefault="00FC218B" w:rsidP="00FC21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3B2B36">
              <w:rPr>
                <w:rFonts w:ascii="Arial" w:hAnsi="Arial" w:cs="Arial"/>
                <w:sz w:val="20"/>
                <w:szCs w:val="20"/>
                <w:lang w:val="bg-BG"/>
              </w:rPr>
              <w:t xml:space="preserve">These same criteria should be developed and agreed </w:t>
            </w:r>
            <w:r w:rsidR="00FC61B8" w:rsidRPr="003B2B36">
              <w:rPr>
                <w:rFonts w:ascii="Arial" w:hAnsi="Arial" w:cs="Arial"/>
                <w:sz w:val="20"/>
                <w:szCs w:val="20"/>
                <w:lang w:val="en-US"/>
              </w:rPr>
              <w:t xml:space="preserve">between </w:t>
            </w:r>
            <w:r w:rsidRPr="003B2B36">
              <w:rPr>
                <w:rFonts w:ascii="Arial" w:hAnsi="Arial" w:cs="Arial"/>
                <w:sz w:val="20"/>
                <w:szCs w:val="20"/>
                <w:lang w:val="bg-BG"/>
              </w:rPr>
              <w:t>Romania</w:t>
            </w:r>
            <w:r w:rsidR="00FC61B8" w:rsidRPr="003B2B36">
              <w:rPr>
                <w:rFonts w:ascii="Arial" w:hAnsi="Arial" w:cs="Arial"/>
                <w:sz w:val="20"/>
                <w:szCs w:val="20"/>
                <w:lang w:val="en-US"/>
              </w:rPr>
              <w:t xml:space="preserve"> and Bulgaria</w:t>
            </w:r>
            <w:r w:rsidRPr="003B2B36">
              <w:rPr>
                <w:rFonts w:ascii="Arial" w:hAnsi="Arial" w:cs="Arial"/>
                <w:sz w:val="20"/>
                <w:szCs w:val="20"/>
                <w:lang w:val="bg-BG"/>
              </w:rPr>
              <w:t>, because the measure is defined as regional between the two countries.</w:t>
            </w:r>
          </w:p>
          <w:p w:rsidR="00FC61B8" w:rsidRPr="003B2B36" w:rsidRDefault="00F82C3D" w:rsidP="00FC21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2B36">
              <w:rPr>
                <w:rFonts w:ascii="Arial" w:hAnsi="Arial" w:cs="Arial"/>
                <w:sz w:val="20"/>
                <w:szCs w:val="20"/>
                <w:lang w:val="bg-BG"/>
              </w:rPr>
              <w:t xml:space="preserve">The measure </w:t>
            </w:r>
            <w:r w:rsidR="00BE7D1B" w:rsidRPr="003B2B36">
              <w:rPr>
                <w:rFonts w:ascii="Arial" w:hAnsi="Arial" w:cs="Arial"/>
                <w:sz w:val="20"/>
                <w:szCs w:val="20"/>
                <w:lang w:val="en-US"/>
              </w:rPr>
              <w:t>has</w:t>
            </w:r>
            <w:r w:rsidRPr="003B2B36">
              <w:rPr>
                <w:rFonts w:ascii="Arial" w:hAnsi="Arial" w:cs="Arial"/>
                <w:sz w:val="20"/>
                <w:szCs w:val="20"/>
                <w:lang w:val="bg-BG"/>
              </w:rPr>
              <w:t xml:space="preserve"> a control character, since after establishing the zones authorized for trawling and those </w:t>
            </w:r>
            <w:r w:rsidR="00CF61E6" w:rsidRPr="003B2B36">
              <w:rPr>
                <w:rFonts w:ascii="Arial" w:hAnsi="Arial" w:cs="Arial"/>
                <w:sz w:val="20"/>
                <w:szCs w:val="20"/>
                <w:lang w:val="en-US"/>
              </w:rPr>
              <w:t>that</w:t>
            </w:r>
            <w:r w:rsidRPr="003B2B36">
              <w:rPr>
                <w:rFonts w:ascii="Arial" w:hAnsi="Arial" w:cs="Arial"/>
                <w:sz w:val="20"/>
                <w:szCs w:val="20"/>
                <w:lang w:val="bg-BG"/>
              </w:rPr>
              <w:t xml:space="preserve"> are prohibited</w:t>
            </w:r>
            <w:r w:rsidR="00E22FFA" w:rsidRPr="003B2B36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3B2B36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="00E22FFA" w:rsidRPr="003B2B36">
              <w:rPr>
                <w:rFonts w:ascii="Arial" w:hAnsi="Arial" w:cs="Arial"/>
                <w:sz w:val="20"/>
                <w:szCs w:val="20"/>
                <w:lang w:val="en-US"/>
              </w:rPr>
              <w:t>control</w:t>
            </w:r>
            <w:r w:rsidR="00246286" w:rsidRPr="003B2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B2B36">
              <w:rPr>
                <w:rFonts w:ascii="Arial" w:hAnsi="Arial" w:cs="Arial"/>
                <w:sz w:val="20"/>
                <w:szCs w:val="20"/>
                <w:lang w:val="bg-BG"/>
              </w:rPr>
              <w:t xml:space="preserve">should be carried out to monitor </w:t>
            </w:r>
            <w:r w:rsidR="00E22FFA" w:rsidRPr="003B2B36">
              <w:rPr>
                <w:rFonts w:ascii="Arial" w:hAnsi="Arial" w:cs="Arial"/>
                <w:sz w:val="20"/>
                <w:szCs w:val="20"/>
                <w:lang w:val="en-US"/>
              </w:rPr>
              <w:t>compliance with</w:t>
            </w:r>
            <w:r w:rsidRPr="003B2B36">
              <w:rPr>
                <w:rFonts w:ascii="Arial" w:hAnsi="Arial" w:cs="Arial"/>
                <w:sz w:val="20"/>
                <w:szCs w:val="20"/>
                <w:lang w:val="bg-BG"/>
              </w:rPr>
              <w:t xml:space="preserve"> the provisions.</w:t>
            </w:r>
            <w:r w:rsidR="00FC61B8" w:rsidRPr="003B2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FC218B" w:rsidRPr="003B2B36" w:rsidRDefault="00FC61B8" w:rsidP="00FC21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2B36">
              <w:rPr>
                <w:rFonts w:ascii="Arial" w:hAnsi="Arial" w:cs="Arial"/>
                <w:sz w:val="20"/>
                <w:szCs w:val="20"/>
                <w:lang w:val="en-US"/>
              </w:rPr>
              <w:t>Considering this assessment, the measure could be changed in terms of usage requirements, when necessary.</w:t>
            </w:r>
          </w:p>
          <w:p w:rsidR="00F82C3D" w:rsidRPr="003B2B36" w:rsidRDefault="00F82C3D" w:rsidP="00F82C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9D45F8" w:rsidRPr="003B2B36" w:rsidTr="00C83726">
        <w:tc>
          <w:tcPr>
            <w:tcW w:w="2376" w:type="dxa"/>
            <w:shd w:val="clear" w:color="auto" w:fill="auto"/>
          </w:tcPr>
          <w:p w:rsidR="009D45F8" w:rsidRPr="003B2B36" w:rsidRDefault="009D45F8" w:rsidP="00664B7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b/>
                <w:sz w:val="20"/>
                <w:szCs w:val="20"/>
                <w:lang w:val="en-GB"/>
              </w:rPr>
              <w:t>EU measure category</w:t>
            </w:r>
          </w:p>
        </w:tc>
        <w:tc>
          <w:tcPr>
            <w:tcW w:w="7547" w:type="dxa"/>
            <w:gridSpan w:val="2"/>
            <w:shd w:val="clear" w:color="auto" w:fill="auto"/>
          </w:tcPr>
          <w:p w:rsidR="009D45F8" w:rsidRPr="003B2B36" w:rsidRDefault="009D45F8" w:rsidP="00FC21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b/>
                <w:sz w:val="20"/>
                <w:szCs w:val="20"/>
                <w:lang w:val="en-GB"/>
              </w:rPr>
              <w:t>2a</w:t>
            </w:r>
          </w:p>
        </w:tc>
      </w:tr>
      <w:tr w:rsidR="005D3832" w:rsidRPr="000A0215" w:rsidTr="00C83726">
        <w:tc>
          <w:tcPr>
            <w:tcW w:w="2376" w:type="dxa"/>
            <w:shd w:val="clear" w:color="auto" w:fill="auto"/>
          </w:tcPr>
          <w:p w:rsidR="005D3832" w:rsidRPr="003B2B36" w:rsidRDefault="000F1AFE" w:rsidP="000F1AF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b/>
                <w:sz w:val="20"/>
                <w:szCs w:val="20"/>
                <w:lang w:val="en-GB"/>
              </w:rPr>
              <w:t>Key Types of Measures</w:t>
            </w:r>
          </w:p>
        </w:tc>
        <w:tc>
          <w:tcPr>
            <w:tcW w:w="7547" w:type="dxa"/>
            <w:gridSpan w:val="2"/>
            <w:shd w:val="clear" w:color="auto" w:fill="auto"/>
          </w:tcPr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sz w:val="20"/>
                <w:szCs w:val="20"/>
                <w:lang w:val="en-GB"/>
              </w:rPr>
              <w:t>KTM 14 Research, improvement of knowledge base reducing uncertainty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sz w:val="20"/>
                <w:szCs w:val="20"/>
                <w:lang w:val="en-GB"/>
              </w:rPr>
              <w:t>KTM 20 Measures to prevent or control the adverse impacts of fishing and other exploitation/removal of animal and plants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sz w:val="20"/>
                <w:szCs w:val="20"/>
                <w:lang w:val="en-GB"/>
              </w:rPr>
              <w:t>KTM 27 Measures to reduce physical damage34 in marine waters (and not reported under KTM 6 in relation to WFD Coastal Waters)</w:t>
            </w:r>
          </w:p>
          <w:p w:rsidR="000F1AFE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sz w:val="20"/>
                <w:szCs w:val="20"/>
                <w:lang w:val="en-GB"/>
              </w:rPr>
              <w:t>KTM 35</w:t>
            </w:r>
            <w:r w:rsidRPr="003B2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B2B36">
              <w:rPr>
                <w:rFonts w:ascii="Arial" w:hAnsi="Arial" w:cs="Arial"/>
                <w:sz w:val="20"/>
                <w:szCs w:val="20"/>
                <w:lang w:val="en-GB"/>
              </w:rPr>
              <w:t>Measures to reduce biological disturbances in the marine environment from the extraction of species, including incidental non-target catches</w:t>
            </w:r>
          </w:p>
        </w:tc>
      </w:tr>
      <w:tr w:rsidR="005D3832" w:rsidRPr="000A0215" w:rsidTr="00C83726">
        <w:trPr>
          <w:trHeight w:val="489"/>
        </w:trPr>
        <w:tc>
          <w:tcPr>
            <w:tcW w:w="2376" w:type="dxa"/>
            <w:shd w:val="clear" w:color="auto" w:fill="auto"/>
          </w:tcPr>
          <w:p w:rsidR="005D3832" w:rsidRPr="003B2B36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b/>
                <w:sz w:val="20"/>
                <w:szCs w:val="20"/>
                <w:lang w:val="en-GB"/>
              </w:rPr>
              <w:t>Environmental targets</w:t>
            </w:r>
          </w:p>
        </w:tc>
        <w:tc>
          <w:tcPr>
            <w:tcW w:w="7547" w:type="dxa"/>
            <w:gridSpan w:val="2"/>
            <w:shd w:val="clear" w:color="auto" w:fill="auto"/>
          </w:tcPr>
          <w:p w:rsidR="00AF2353" w:rsidRDefault="00AF2353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RO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>Descriptor 1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>Crt. 1.4 Habitat distribution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1.4.1 Area distribution of benthic habitats 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1110-1: Maintaining existence of the three grasslands of Zostera noltei in Mangalia zone 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1110-8: Maintaining the current distribution in the area Costinești -2 Mai 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>Sands with Donax trunculus: Maintaining the current distribution in the area Navodari - 2 Mai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>1140-3: Maintaining the current distribution in the area Eforie Nord-Eforie Sud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lastRenderedPageBreak/>
              <w:t>1170-7  : Maintaining the current distribution in the area 2 Mai – Vama Veche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1170-8: Maintaining the current distribution in the area Cap Aurora – Vama Veche 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1170-10: Maintaining the current distribution in the point Agigea, Costinești și Vama Veche 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>1170-2 Mytilus galloprovincialis biogenic reefs: Maintaining current distribution throughout Self Romania between 30-50m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>1170-9: Maintaining the current distribution across the rocky circalitoral substrate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Crt. 1.5 Habitat extent 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1.5.1 Benthic habitat surface 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1110-1: The area occupied by habitat ≥ 2,43 ha 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1140-3: The area occupied by habitat ≥ 2,06 ha 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1170-7: The area occupied by habitat ≥ 1.8 ha 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1170-8: The area occupied by habitat ≥ 46 ha 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1170-10: The area occupied by habitat ≥ 1 ha 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>Crt. 1.6  Habitat condition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1.6.1 Species state 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Leaf height of Z. noltei in june ≥ 70 cm; annual rhizomes extending of Z. noltei in growing areas  ≥ 70 cm 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>Height equities of Cystoseira barbata in cold season ≥ 100 cm; frequency of juveniles of C. barbata in 1 m2  ≥ 50%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The median size of specimens by Mytilus galloprovincialis  (shell length) ≥ 50 mm SL 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Juveniles frequency of Pholas dactylus in 1m2 ≥ 50%; the maximum size of specimens  P. dactylus (shell length) = 70mm SL 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>The maximum size of specimens Donacilla cornea (shell lenght) ≥ 22-24 mm SL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>The maximum size of specimens Donax trunculus (shell lenght) 45-50mm SL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>The maximum size of specimens Arenicola marina (whole body length) 250-350mm TL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>1.6.2 Relative biomass and abundance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>Coverage with Z. noltei  ≥ 50%; Foliar biomass of Z.noltei ≥ 1600 g•m-2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>Coverage with Cystoseira barbata ≥ 50%; the wet biomass of C. barbata without epiphytic ≥ 3000 g•m-2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>Coverage with Mytilus inside the habitat ≥ 50%; living biomass of Mytilus galloprovincialis ≥ 5000 g•m-2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>The population density of Donacilla cornea ≥ 3300 ind•m-2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>The population density of Donax trunculus ≥ 200 ind•m-2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>Coverage with Corallina officinalis inside the fields ≥ 50%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>The population density of Lentidium mediterraneum ≥ 9000 ind•m-2; living biomass of Lentidium mediterraneum ≥ 100 g•m-2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>Coverage with Mytilus in the habitat ≥ 80%; living biomass of Mytilus galloprovincialis ≥ 8000 g•m-2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>Living biomass Modiolula phaseolina in 1 m2  ≥ 16 g•m-2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>Descriptor 4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>Crt. 4.3  Abundance/distribution of key trophic groups/species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>4.3.1 The abundance of certain groups / species functionally important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>The population density of Lentidium mediterraneum ≥ 9000 ind•m-2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lastRenderedPageBreak/>
              <w:t>The population density of Arenicola marina ≥ 0,1 ind•m-2; the population density of Necallianassa truncata ≥ 1 ind•m-2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>The population density of Mytilus galloprovincialis ≥ 500 ind. m-2;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>The population density of Modiolula phaseolina in 1 m2≥ 200 ind•m-2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>Descriptor 6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>Crt. 6.1  Physical damage, having regard to substrate characteristics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>6.1.1 Type, abundance, biomass and extent of relevant biogenic substrate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>Total ban any demersal fishery (trawl, honey), including the EEZ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>Stopping any hydraulic or coastal protection works of nature to destroy Zostera noltei grasslands or indirectly affect them; total ban on any kind of human activity in Zostera noltei meadows, except for scientific research and interventions for saving lives.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Stopping any hydraulic or coastal protection works of nature to destroy belts Cystoseira barbata or indirectly affect on them; total ban on any type of human activities Cystoseira barbata belts except scientific research and interventions to save lives. 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>Crt. 6.2  Condition of benthic community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6.2.1  Presence of particularly sensitive species and / or tolerant 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>Coverage with Z. noltei  ≥ 50%; decapod frequency Palaemon adspersus in  1 m2 = 100%; decapod frequency Carcinus aestuarii in transects of 50 m2 ≥ 30%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>Coverage with C.barbata inside the belt  ≥ 50%; frequency of Colaconema thuretii in1m2 ≥ 80%; gastropod frequency Gibbula divaricata in 1 m2 ≥ 30%; gastropod frequency  Tricolia pullus in 1 m2 ≥ 1%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Frequency of Lithothamnion, Phyllophora or Coccotylus in transect of 50 m2 ≥ 10% ; decapod frequency Liocarcinus navigator in transect of 400 m2 ≥ 70% 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>Polychaets frequency Ophelia bicornis in samples ≥ 1%; frequency of Gastrosaccus sanctus in samples ≥ 50%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>Decapod frequency of Eriphia verrucosa in transects of 100 m2 ; densities of Halichondria panicea in the habitat  ≥ 1 colonie m-2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>6.2.2  Multimetric indices for assessment of benthic community condition and functionality, as well as species diversity and richness report opportunistic species / species sensitive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fr-FR"/>
              </w:rPr>
              <w:t>Index values EEI &gt; 0.6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fr-FR"/>
              </w:rPr>
              <w:t>Index values EEI &gt; 0.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fr-FR"/>
              </w:rPr>
              <w:t>Indices values :M-AMBI ≥ 0,55; AMBI ≤ 3,3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fr-FR"/>
              </w:rPr>
              <w:t>Indices values :M-AMBI ≥ 0,55; AMBI ≤ 3,3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fr-FR"/>
              </w:rPr>
              <w:t>Indices values :M-AMBI ≥ 0,55; AMBI ≤ 3,3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>6.2.3  Proportion of biomass or number of individuals over a certain length or size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>Specimens median size of Mytilus galloprovincialis (shell leght) ≥ 50 mm SL</w:t>
            </w:r>
          </w:p>
          <w:p w:rsidR="005D3832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>Specimens median size of Mytilus galloprovincialis (shell leght) ≥ 70 mm SL</w:t>
            </w:r>
          </w:p>
        </w:tc>
      </w:tr>
      <w:tr w:rsidR="005D3832" w:rsidRPr="000A0215" w:rsidTr="00C83726">
        <w:tc>
          <w:tcPr>
            <w:tcW w:w="2376" w:type="dxa"/>
            <w:shd w:val="clear" w:color="auto" w:fill="auto"/>
          </w:tcPr>
          <w:p w:rsidR="005D3832" w:rsidRPr="003B2B36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Descriptors</w:t>
            </w:r>
          </w:p>
        </w:tc>
        <w:tc>
          <w:tcPr>
            <w:tcW w:w="7547" w:type="dxa"/>
            <w:gridSpan w:val="2"/>
            <w:shd w:val="clear" w:color="auto" w:fill="auto"/>
          </w:tcPr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sz w:val="20"/>
                <w:szCs w:val="20"/>
                <w:lang w:val="en-GB"/>
              </w:rPr>
              <w:t>D1- Biodiversity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sz w:val="20"/>
                <w:szCs w:val="20"/>
                <w:lang w:val="en-GB"/>
              </w:rPr>
              <w:t>D3 – State of commercial fish and shellfish stocks</w:t>
            </w:r>
          </w:p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sz w:val="20"/>
                <w:szCs w:val="20"/>
                <w:lang w:val="en-GB"/>
              </w:rPr>
              <w:t>D4 – Food web</w:t>
            </w:r>
          </w:p>
          <w:p w:rsidR="000F1AFE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3B2B36">
              <w:rPr>
                <w:rFonts w:ascii="Arial" w:hAnsi="Arial" w:cs="Arial"/>
                <w:sz w:val="20"/>
                <w:szCs w:val="20"/>
                <w:lang w:val="en-GB"/>
              </w:rPr>
              <w:t>D6 - Seabed</w:t>
            </w:r>
          </w:p>
        </w:tc>
      </w:tr>
      <w:tr w:rsidR="008B05CB" w:rsidRPr="000A0215" w:rsidTr="00C83726">
        <w:tc>
          <w:tcPr>
            <w:tcW w:w="2376" w:type="dxa"/>
            <w:shd w:val="clear" w:color="auto" w:fill="auto"/>
          </w:tcPr>
          <w:p w:rsidR="008B05CB" w:rsidRPr="003B2B36" w:rsidRDefault="008B05CB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b/>
                <w:sz w:val="20"/>
                <w:szCs w:val="20"/>
                <w:lang w:val="en-GB"/>
              </w:rPr>
              <w:t>Main pressures</w:t>
            </w:r>
          </w:p>
        </w:tc>
        <w:tc>
          <w:tcPr>
            <w:tcW w:w="7547" w:type="dxa"/>
            <w:gridSpan w:val="2"/>
            <w:shd w:val="clear" w:color="auto" w:fill="auto"/>
          </w:tcPr>
          <w:p w:rsidR="00FC61B8" w:rsidRPr="003B2B36" w:rsidRDefault="00FC61B8" w:rsidP="00FC61B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sz w:val="20"/>
                <w:szCs w:val="20"/>
                <w:lang w:val="en-GB"/>
              </w:rPr>
              <w:t>Physical damage</w:t>
            </w:r>
          </w:p>
          <w:p w:rsidR="00FC61B8" w:rsidRPr="003B2B36" w:rsidRDefault="00FC61B8" w:rsidP="00FC61B8">
            <w:pPr>
              <w:pStyle w:val="Lijstalinea"/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sz w:val="20"/>
                <w:szCs w:val="20"/>
                <w:lang w:val="en-GB"/>
              </w:rPr>
              <w:t>abrasion (e.g. impact on the seabed of commercial fishing, boating, anchoring)</w:t>
            </w:r>
          </w:p>
          <w:p w:rsidR="008B05CB" w:rsidRPr="003B2B36" w:rsidRDefault="00FC61B8" w:rsidP="00FC61B8">
            <w:pPr>
              <w:pStyle w:val="Lijstalinea"/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sz w:val="20"/>
                <w:szCs w:val="20"/>
                <w:lang w:val="en-GB"/>
              </w:rPr>
              <w:t>selective extraction (e.g. exploration and exploitation of living and non-living resources on seabed and subsoil).</w:t>
            </w:r>
          </w:p>
        </w:tc>
      </w:tr>
      <w:tr w:rsidR="00AF66BF" w:rsidRPr="003B2B36" w:rsidTr="00C83726">
        <w:tc>
          <w:tcPr>
            <w:tcW w:w="2376" w:type="dxa"/>
            <w:shd w:val="clear" w:color="auto" w:fill="auto"/>
          </w:tcPr>
          <w:p w:rsidR="00AF66BF" w:rsidRPr="003B2B36" w:rsidRDefault="00AF66BF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b/>
                <w:sz w:val="20"/>
                <w:szCs w:val="20"/>
                <w:lang w:val="en-GB"/>
              </w:rPr>
              <w:t>Main drivers</w:t>
            </w:r>
          </w:p>
        </w:tc>
        <w:tc>
          <w:tcPr>
            <w:tcW w:w="7547" w:type="dxa"/>
            <w:gridSpan w:val="2"/>
            <w:shd w:val="clear" w:color="auto" w:fill="auto"/>
          </w:tcPr>
          <w:p w:rsidR="00AF66BF" w:rsidRPr="003B2B36" w:rsidRDefault="00FC61B8" w:rsidP="00E4120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sz w:val="20"/>
                <w:szCs w:val="20"/>
                <w:lang w:val="en-GB"/>
              </w:rPr>
              <w:t>Fishery</w:t>
            </w:r>
          </w:p>
        </w:tc>
      </w:tr>
      <w:tr w:rsidR="005D3832" w:rsidRPr="003B2B36" w:rsidTr="00C83726">
        <w:tc>
          <w:tcPr>
            <w:tcW w:w="2376" w:type="dxa"/>
            <w:shd w:val="clear" w:color="auto" w:fill="auto"/>
          </w:tcPr>
          <w:p w:rsidR="005D3832" w:rsidRPr="003B2B36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b/>
                <w:sz w:val="20"/>
                <w:szCs w:val="20"/>
                <w:lang w:val="en-GB"/>
              </w:rPr>
              <w:t>Characteristics</w:t>
            </w:r>
          </w:p>
        </w:tc>
        <w:tc>
          <w:tcPr>
            <w:tcW w:w="7547" w:type="dxa"/>
            <w:gridSpan w:val="2"/>
            <w:shd w:val="clear" w:color="auto" w:fill="auto"/>
          </w:tcPr>
          <w:p w:rsidR="00AE6ACD" w:rsidRPr="003B2B36" w:rsidRDefault="00AE6ACD" w:rsidP="00AE6ACD">
            <w:pPr>
              <w:pStyle w:val="Lijstalinea"/>
              <w:numPr>
                <w:ilvl w:val="0"/>
                <w:numId w:val="9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E6ACD" w:rsidRPr="003B2B36" w:rsidRDefault="00AE6ACD" w:rsidP="00B40FA0">
            <w:pPr>
              <w:pStyle w:val="Lijstalinea"/>
              <w:numPr>
                <w:ilvl w:val="0"/>
                <w:numId w:val="9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sz w:val="20"/>
                <w:szCs w:val="20"/>
                <w:lang w:val="en-GB"/>
              </w:rPr>
              <w:t>Benthic habitats</w:t>
            </w:r>
          </w:p>
        </w:tc>
      </w:tr>
      <w:tr w:rsidR="005D3832" w:rsidRPr="000A0215" w:rsidTr="00C83726">
        <w:tc>
          <w:tcPr>
            <w:tcW w:w="2376" w:type="dxa"/>
            <w:shd w:val="clear" w:color="auto" w:fill="auto"/>
          </w:tcPr>
          <w:p w:rsidR="005D3832" w:rsidRPr="003B2B36" w:rsidRDefault="00AF66BF" w:rsidP="00AF66BF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b/>
                <w:sz w:val="20"/>
                <w:szCs w:val="20"/>
                <w:lang w:val="en-GB"/>
              </w:rPr>
              <w:t>Link to other directive/legislation/policy</w:t>
            </w:r>
          </w:p>
        </w:tc>
        <w:tc>
          <w:tcPr>
            <w:tcW w:w="7547" w:type="dxa"/>
            <w:gridSpan w:val="2"/>
            <w:shd w:val="clear" w:color="auto" w:fill="auto"/>
          </w:tcPr>
          <w:p w:rsidR="00257BD1" w:rsidRPr="003B2B36" w:rsidRDefault="00257BD1" w:rsidP="00257BD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sz w:val="20"/>
                <w:szCs w:val="20"/>
                <w:lang w:val="en-GB"/>
              </w:rPr>
              <w:t>COUNCIL REGULATION (EC) No 1198/2006 of 27 July 2006 on the European Fisheries Fund;</w:t>
            </w:r>
          </w:p>
          <w:p w:rsidR="00257BD1" w:rsidRPr="003B2B36" w:rsidRDefault="00257BD1" w:rsidP="00257BD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sz w:val="20"/>
                <w:szCs w:val="20"/>
                <w:lang w:val="en-GB"/>
              </w:rPr>
              <w:t>Habitats Directive;</w:t>
            </w:r>
          </w:p>
          <w:p w:rsidR="005D3832" w:rsidRPr="003B2B36" w:rsidRDefault="00257BD1" w:rsidP="00257BD1">
            <w:pPr>
              <w:pStyle w:val="Lijstalinea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sz w:val="20"/>
                <w:szCs w:val="20"/>
                <w:lang w:val="en-GB"/>
              </w:rPr>
              <w:t>Regulation (EU) No 1380/2013 of the European Parliament and the Council of 11 December 2013 on the Common Fisheries Policy.</w:t>
            </w:r>
          </w:p>
        </w:tc>
      </w:tr>
      <w:tr w:rsidR="005D3832" w:rsidRPr="003B2B36" w:rsidTr="00C837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2" w:rsidRPr="003B2B36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b/>
                <w:sz w:val="20"/>
                <w:szCs w:val="20"/>
                <w:lang w:val="en-GB"/>
              </w:rPr>
              <w:t>Necessity for transnational regulation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2" w:rsidRPr="003B2B36" w:rsidRDefault="004A76AE" w:rsidP="00E41209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="005D3832" w:rsidRPr="003B2B36" w:rsidTr="00C837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2" w:rsidRPr="003B2B36" w:rsidRDefault="005D3832" w:rsidP="000A0215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b/>
                <w:sz w:val="20"/>
                <w:szCs w:val="20"/>
                <w:lang w:val="en-GB"/>
              </w:rPr>
              <w:t>Instrument for implementation</w:t>
            </w:r>
            <w:r w:rsidR="00583D8D" w:rsidRPr="003B2B36">
              <w:rPr>
                <w:rFonts w:ascii="Arial" w:hAnsi="Arial" w:cs="Arial"/>
                <w:b/>
                <w:sz w:val="20"/>
                <w:szCs w:val="20"/>
                <w:lang w:val="en-GB"/>
              </w:rPr>
              <w:t>/</w:t>
            </w:r>
            <w:r w:rsidR="00583D8D" w:rsidRPr="003B2B3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83D8D" w:rsidRPr="003B2B3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Mode of </w:t>
            </w:r>
            <w:r w:rsidR="000A0215">
              <w:rPr>
                <w:rFonts w:ascii="Arial" w:hAnsi="Arial" w:cs="Arial"/>
                <w:b/>
                <w:sz w:val="20"/>
                <w:szCs w:val="20"/>
                <w:lang w:val="en-GB"/>
              </w:rPr>
              <w:t>implementation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2" w:rsidRPr="003B2B36" w:rsidRDefault="005D3832" w:rsidP="000F1AFE">
            <w:pPr>
              <w:pStyle w:val="Lijstalinea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>Legal</w:t>
            </w:r>
          </w:p>
          <w:p w:rsidR="005D3832" w:rsidRPr="003B2B36" w:rsidRDefault="005D3832" w:rsidP="000F1AFE">
            <w:pPr>
              <w:pStyle w:val="Lijstalinea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>Technical</w:t>
            </w:r>
          </w:p>
          <w:p w:rsidR="005D3832" w:rsidRPr="003B2B36" w:rsidRDefault="000A0215" w:rsidP="00257BD1">
            <w:pPr>
              <w:pStyle w:val="Lijstalinea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Policy</w:t>
            </w:r>
          </w:p>
        </w:tc>
      </w:tr>
      <w:tr w:rsidR="005D3832" w:rsidRPr="000A0215" w:rsidTr="00C837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2" w:rsidRPr="003B2B36" w:rsidRDefault="009D45F8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b/>
                <w:sz w:val="20"/>
                <w:szCs w:val="20"/>
                <w:lang w:val="en-GB"/>
              </w:rPr>
              <w:t>Spatial reference</w:t>
            </w:r>
            <w:r w:rsidR="000A0215">
              <w:rPr>
                <w:rFonts w:ascii="Arial" w:hAnsi="Arial" w:cs="Arial"/>
                <w:b/>
                <w:sz w:val="20"/>
                <w:szCs w:val="20"/>
                <w:lang w:val="en-GB"/>
              </w:rPr>
              <w:t>/implementation zones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D1" w:rsidRPr="003B2B36" w:rsidRDefault="000A0215" w:rsidP="00257BD1">
            <w:pPr>
              <w:pStyle w:val="Lijstalinea"/>
              <w:tabs>
                <w:tab w:val="left" w:pos="175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Territorial waters/EEZ</w:t>
            </w:r>
          </w:p>
          <w:p w:rsidR="00314B58" w:rsidRPr="003B2B36" w:rsidRDefault="00314B58" w:rsidP="00314B58">
            <w:pPr>
              <w:pStyle w:val="Lijstalinea"/>
              <w:tabs>
                <w:tab w:val="left" w:pos="175"/>
              </w:tabs>
              <w:spacing w:after="60" w:line="240" w:lineRule="auto"/>
              <w:ind w:left="0"/>
              <w:contextualSpacing w:val="0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</w:tr>
      <w:tr w:rsidR="005D3832" w:rsidRPr="000A0215" w:rsidTr="00C83726">
        <w:tc>
          <w:tcPr>
            <w:tcW w:w="2376" w:type="dxa"/>
            <w:shd w:val="clear" w:color="auto" w:fill="auto"/>
          </w:tcPr>
          <w:p w:rsidR="005D3832" w:rsidRPr="003B2B36" w:rsidRDefault="009D45F8" w:rsidP="009D45F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Contribution of the measure to achieving the target </w:t>
            </w:r>
          </w:p>
        </w:tc>
        <w:tc>
          <w:tcPr>
            <w:tcW w:w="7547" w:type="dxa"/>
            <w:gridSpan w:val="2"/>
            <w:shd w:val="clear" w:color="auto" w:fill="auto"/>
          </w:tcPr>
          <w:p w:rsidR="00257BD1" w:rsidRPr="003B2B36" w:rsidRDefault="00257BD1" w:rsidP="00314B58">
            <w:pPr>
              <w:tabs>
                <w:tab w:val="left" w:pos="175"/>
              </w:tabs>
              <w:spacing w:after="0" w:line="240" w:lineRule="auto"/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  <w:lang w:val="en-US"/>
              </w:rPr>
            </w:pPr>
            <w:r w:rsidRPr="003B2B36"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  <w:lang w:val="bg-BG"/>
              </w:rPr>
              <w:t>The measure is expected to have a high contribution to the achieving the targets</w:t>
            </w:r>
            <w:r w:rsidRPr="003B2B36"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  <w:lang w:val="en-US"/>
              </w:rPr>
              <w:t>:</w:t>
            </w:r>
          </w:p>
          <w:p w:rsidR="00257BD1" w:rsidRPr="003B2B36" w:rsidRDefault="00314B58" w:rsidP="00C95C32">
            <w:pPr>
              <w:pStyle w:val="Lijstalinea"/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  <w:lang w:val="bg-BG"/>
              </w:rPr>
            </w:pPr>
            <w:r w:rsidRPr="003B2B36"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  <w:lang w:val="bg-BG"/>
              </w:rPr>
              <w:t xml:space="preserve">Maintenance of species distribution / pelagic and </w:t>
            </w:r>
            <w:r w:rsidRPr="003B2B36"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  <w:lang w:val="en-US"/>
              </w:rPr>
              <w:t>benthic</w:t>
            </w:r>
            <w:r w:rsidRPr="003B2B36"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  <w:lang w:val="bg-BG"/>
              </w:rPr>
              <w:t xml:space="preserve"> habitats;</w:t>
            </w:r>
          </w:p>
          <w:p w:rsidR="00314B58" w:rsidRPr="004A76AE" w:rsidRDefault="00314B58" w:rsidP="00C95C32">
            <w:pPr>
              <w:pStyle w:val="Lijstalinea"/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  <w:lang w:val="bg-BG"/>
              </w:rPr>
            </w:pPr>
            <w:r w:rsidRPr="004A76AE"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  <w:lang w:val="en-US"/>
              </w:rPr>
              <w:t>A</w:t>
            </w:r>
            <w:r w:rsidRPr="004A76AE"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  <w:lang w:val="bg-BG"/>
              </w:rPr>
              <w:t>chieving and maintaining</w:t>
            </w:r>
            <w:r w:rsidRPr="004A76AE"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  <w:lang w:val="en-US"/>
              </w:rPr>
              <w:t xml:space="preserve"> of m</w:t>
            </w:r>
            <w:r w:rsidRPr="004A76A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aximum sustainable yield</w:t>
            </w:r>
            <w:r w:rsidRPr="004A76AE"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  <w:lang w:val="bg-BG"/>
              </w:rPr>
              <w:t xml:space="preserve"> </w:t>
            </w:r>
            <w:r w:rsidRPr="004A76AE"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  <w:lang w:val="en-US"/>
              </w:rPr>
              <w:t>(</w:t>
            </w:r>
            <w:r w:rsidRPr="004A76AE"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  <w:lang w:val="bg-BG"/>
              </w:rPr>
              <w:t>MSY</w:t>
            </w:r>
            <w:r w:rsidRPr="004A76AE"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  <w:lang w:val="en-US"/>
              </w:rPr>
              <w:t>)</w:t>
            </w:r>
            <w:r w:rsidRPr="004A76AE"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  <w:lang w:val="bg-BG"/>
              </w:rPr>
              <w:t xml:space="preserve"> for certain </w:t>
            </w:r>
            <w:r w:rsidRPr="004A76AE"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  <w:lang w:val="en-US"/>
              </w:rPr>
              <w:t xml:space="preserve">fish </w:t>
            </w:r>
            <w:r w:rsidRPr="004A76AE">
              <w:rPr>
                <w:rFonts w:ascii="Arial" w:hAnsi="Arial" w:cs="Arial"/>
                <w:color w:val="000000" w:themeColor="text1"/>
                <w:kern w:val="16"/>
                <w:sz w:val="20"/>
                <w:szCs w:val="20"/>
                <w:lang w:val="bg-BG"/>
              </w:rPr>
              <w:t>stocks;</w:t>
            </w:r>
          </w:p>
          <w:p w:rsidR="00314B58" w:rsidRPr="003B2B36" w:rsidRDefault="00314B58" w:rsidP="009D45F8">
            <w:pPr>
              <w:pStyle w:val="Lijstalinea"/>
              <w:tabs>
                <w:tab w:val="left" w:pos="175"/>
              </w:tabs>
              <w:spacing w:after="0" w:line="240" w:lineRule="auto"/>
              <w:ind w:left="0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</w:tr>
      <w:tr w:rsidR="005D3832" w:rsidRPr="000A0215" w:rsidTr="00C837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2" w:rsidRPr="003B2B36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b/>
                <w:sz w:val="20"/>
                <w:szCs w:val="20"/>
                <w:lang w:val="en-GB"/>
              </w:rPr>
              <w:t>Transboundary impact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D1" w:rsidRPr="003B2B36" w:rsidRDefault="00EF47D2" w:rsidP="00AF2353">
            <w:pPr>
              <w:spacing w:after="6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B2B36">
              <w:rPr>
                <w:rFonts w:ascii="Arial" w:hAnsi="Arial" w:cs="Arial"/>
                <w:sz w:val="20"/>
                <w:szCs w:val="20"/>
                <w:lang w:val="bg-BG"/>
              </w:rPr>
              <w:t>The implementation of the measure is not expected to have negative effects on the marine environmen</w:t>
            </w:r>
            <w:r w:rsidRPr="003B2B36">
              <w:rPr>
                <w:rFonts w:ascii="Arial" w:hAnsi="Arial" w:cs="Arial"/>
                <w:sz w:val="20"/>
                <w:szCs w:val="20"/>
                <w:lang w:val="en-US"/>
              </w:rPr>
              <w:t>t of neighb</w:t>
            </w:r>
            <w:r w:rsidR="00AF2353">
              <w:rPr>
                <w:rFonts w:ascii="Arial" w:hAnsi="Arial" w:cs="Arial"/>
                <w:sz w:val="20"/>
                <w:szCs w:val="20"/>
                <w:lang w:val="en-US"/>
              </w:rPr>
              <w:t>ouring countries</w:t>
            </w:r>
            <w:r w:rsidRPr="003B2B3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096F73" w:rsidRPr="003B2B36" w:rsidTr="00C83726">
        <w:trPr>
          <w:trHeight w:val="4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F73" w:rsidRPr="003B2B36" w:rsidRDefault="00096F73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b/>
                <w:sz w:val="20"/>
                <w:szCs w:val="20"/>
                <w:lang w:val="en-GB"/>
              </w:rPr>
              <w:t>Costs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3F" w:rsidRPr="003B2B36" w:rsidRDefault="0071003F" w:rsidP="00820AF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  <w:lang w:val="en-GB" w:eastAsia="fr-BE"/>
              </w:rPr>
            </w:pPr>
            <w:r w:rsidRPr="003B2B36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rough assessment:</w:t>
            </w:r>
            <w:r w:rsidRPr="003B2B36">
              <w:rPr>
                <w:rFonts w:ascii="Arial" w:hAnsi="Arial" w:cs="Arial"/>
                <w:sz w:val="20"/>
                <w:szCs w:val="20"/>
                <w:lang w:val="en-GB"/>
              </w:rPr>
              <w:t xml:space="preserve"> high </w:t>
            </w:r>
            <w:r w:rsidRPr="003B2B36">
              <w:rPr>
                <w:rFonts w:ascii="Arial" w:hAnsi="Arial" w:cs="Arial"/>
                <w:color w:val="000000"/>
                <w:sz w:val="20"/>
                <w:szCs w:val="20"/>
                <w:lang w:val="en-GB" w:eastAsia="fr-BE"/>
              </w:rPr>
              <w:t xml:space="preserve">&gt; </w:t>
            </w:r>
            <w:r w:rsidRPr="003B2B36">
              <w:rPr>
                <w:rFonts w:ascii="Arial" w:hAnsi="Arial" w:cs="Arial"/>
                <w:sz w:val="20"/>
                <w:szCs w:val="20"/>
                <w:lang w:val="en-GB"/>
              </w:rPr>
              <w:t xml:space="preserve">€ </w:t>
            </w:r>
            <w:r w:rsidRPr="003B2B36">
              <w:rPr>
                <w:rFonts w:ascii="Arial" w:hAnsi="Arial" w:cs="Arial"/>
                <w:color w:val="000000"/>
                <w:sz w:val="20"/>
                <w:szCs w:val="20"/>
                <w:lang w:val="en-GB" w:eastAsia="fr-BE"/>
              </w:rPr>
              <w:t>1 million</w:t>
            </w:r>
          </w:p>
          <w:p w:rsidR="0071003F" w:rsidRPr="003B2B36" w:rsidRDefault="0071003F" w:rsidP="00820AFC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20AFC" w:rsidRPr="003B2B36" w:rsidRDefault="00820AFC" w:rsidP="00820AFC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sz w:val="20"/>
                <w:szCs w:val="20"/>
                <w:lang w:val="en-GB"/>
              </w:rPr>
              <w:t>1) Implementation of beam trawling zones (one off): 17.000 €</w:t>
            </w:r>
          </w:p>
          <w:p w:rsidR="00820AFC" w:rsidRPr="003B2B36" w:rsidRDefault="00820AFC" w:rsidP="00820AFC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sz w:val="20"/>
                <w:szCs w:val="20"/>
                <w:lang w:val="en-GB"/>
              </w:rPr>
              <w:t>2) Training of control staff (one off): 1000 €</w:t>
            </w:r>
          </w:p>
          <w:p w:rsidR="00820AFC" w:rsidRPr="003B2B36" w:rsidRDefault="00820AFC" w:rsidP="00820AFC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sz w:val="20"/>
                <w:szCs w:val="20"/>
                <w:lang w:val="en-GB"/>
              </w:rPr>
              <w:t>3) Additional staff for control: 63.000 €</w:t>
            </w:r>
          </w:p>
          <w:p w:rsidR="00820AFC" w:rsidRPr="003B2B36" w:rsidRDefault="00820AFC" w:rsidP="00820AFC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sz w:val="20"/>
                <w:szCs w:val="20"/>
                <w:lang w:val="en-GB"/>
              </w:rPr>
              <w:t>4) Operational costs for control (fuel, material, boat, ...): 125.000 €</w:t>
            </w:r>
          </w:p>
          <w:p w:rsidR="00820AFC" w:rsidRPr="003B2B36" w:rsidRDefault="00820AFC" w:rsidP="00820AFC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sz w:val="20"/>
                <w:szCs w:val="20"/>
                <w:lang w:val="en-GB"/>
              </w:rPr>
              <w:t>5) Research on the activities: 100.000€</w:t>
            </w:r>
          </w:p>
          <w:p w:rsidR="00820AFC" w:rsidRPr="003B2B36" w:rsidRDefault="00820AFC" w:rsidP="00820AFC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sz w:val="20"/>
                <w:szCs w:val="20"/>
                <w:lang w:val="en-GB"/>
              </w:rPr>
              <w:t>6) Costs to fishery sector: -</w:t>
            </w:r>
            <w:r w:rsidRPr="003B2B36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Not possible to determine sectoral costs in advance</w:t>
            </w:r>
          </w:p>
          <w:p w:rsidR="00820AFC" w:rsidRPr="003B2B36" w:rsidRDefault="00820AFC" w:rsidP="00820AFC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20AFC" w:rsidRPr="003B2B36" w:rsidRDefault="00820AFC" w:rsidP="00820AFC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sz w:val="20"/>
                <w:szCs w:val="20"/>
                <w:lang w:val="en-GB"/>
              </w:rPr>
              <w:t xml:space="preserve">Total one off costs within MSFD cycle (6 years): </w:t>
            </w:r>
            <w:r w:rsidRPr="003B2B36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not possible to assess (minimal 306.000 € but probably &gt; 1 million € due high estimated sectoral costs)</w:t>
            </w:r>
          </w:p>
          <w:p w:rsidR="00820AFC" w:rsidRPr="003B2B36" w:rsidRDefault="00820AFC" w:rsidP="00820AFC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20AFC" w:rsidRPr="003B2B36" w:rsidRDefault="00820AFC" w:rsidP="00820AFC">
            <w:pPr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sz w:val="20"/>
                <w:szCs w:val="20"/>
                <w:lang w:val="en-GB"/>
              </w:rPr>
              <w:t xml:space="preserve">Scoring: </w:t>
            </w:r>
          </w:p>
          <w:tbl>
            <w:tblPr>
              <w:tblW w:w="3238" w:type="dxa"/>
              <w:tblInd w:w="2124" w:type="dxa"/>
              <w:tblLayout w:type="fixed"/>
              <w:tblLook w:val="04A0" w:firstRow="1" w:lastRow="0" w:firstColumn="1" w:lastColumn="0" w:noHBand="0" w:noVBand="1"/>
            </w:tblPr>
            <w:tblGrid>
              <w:gridCol w:w="976"/>
              <w:gridCol w:w="2262"/>
            </w:tblGrid>
            <w:tr w:rsidR="00820AFC" w:rsidRPr="003B2B36" w:rsidTr="00DD3C48">
              <w:trPr>
                <w:trHeight w:val="300"/>
              </w:trPr>
              <w:tc>
                <w:tcPr>
                  <w:tcW w:w="9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0079A3"/>
                  <w:noWrap/>
                  <w:hideMark/>
                </w:tcPr>
                <w:p w:rsidR="00820AFC" w:rsidRPr="003B2B36" w:rsidRDefault="00820AFC" w:rsidP="00820AF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en-GB" w:eastAsia="fr-BE"/>
                    </w:rPr>
                  </w:pPr>
                  <w:r w:rsidRPr="003B2B36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en-GB" w:eastAsia="fr-BE"/>
                    </w:rPr>
                    <w:t>Score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0079A3"/>
                </w:tcPr>
                <w:p w:rsidR="00820AFC" w:rsidRPr="003B2B36" w:rsidRDefault="00820AFC" w:rsidP="00820AF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en-GB" w:eastAsia="fr-BE"/>
                    </w:rPr>
                  </w:pPr>
                  <w:r w:rsidRPr="003B2B36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en-GB" w:eastAsia="fr-BE"/>
                    </w:rPr>
                    <w:t>total cost</w:t>
                  </w:r>
                </w:p>
              </w:tc>
            </w:tr>
            <w:tr w:rsidR="00820AFC" w:rsidRPr="003B2B36" w:rsidTr="00DD3C48">
              <w:trPr>
                <w:trHeight w:val="300"/>
              </w:trPr>
              <w:tc>
                <w:tcPr>
                  <w:tcW w:w="976" w:type="dxa"/>
                  <w:tcBorders>
                    <w:bottom w:val="single" w:sz="4" w:space="0" w:color="auto"/>
                  </w:tcBorders>
                  <w:shd w:val="clear" w:color="auto" w:fill="FF0000"/>
                  <w:noWrap/>
                  <w:hideMark/>
                </w:tcPr>
                <w:p w:rsidR="00820AFC" w:rsidRPr="003B2B36" w:rsidRDefault="00820AFC" w:rsidP="00820AF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3B2B3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n-GB" w:eastAsia="fr-BE"/>
                    </w:rPr>
                    <w:t>1</w:t>
                  </w:r>
                </w:p>
              </w:tc>
              <w:tc>
                <w:tcPr>
                  <w:tcW w:w="2262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:rsidR="00820AFC" w:rsidRPr="003B2B36" w:rsidRDefault="00820AFC" w:rsidP="00820AF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val="en-GB" w:eastAsia="fr-BE"/>
                    </w:rPr>
                  </w:pPr>
                  <w:r w:rsidRPr="003B2B3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val="en-GB" w:eastAsia="fr-BE"/>
                    </w:rPr>
                    <w:t xml:space="preserve">&gt; </w:t>
                  </w:r>
                  <w:r w:rsidRPr="003B2B36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GB"/>
                    </w:rPr>
                    <w:t xml:space="preserve">€ </w:t>
                  </w:r>
                  <w:r w:rsidRPr="003B2B3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  <w:lang w:val="en-GB" w:eastAsia="fr-BE"/>
                    </w:rPr>
                    <w:t>1 million</w:t>
                  </w:r>
                </w:p>
              </w:tc>
            </w:tr>
            <w:tr w:rsidR="00820AFC" w:rsidRPr="003B2B36" w:rsidTr="00DD3C48">
              <w:trPr>
                <w:trHeight w:val="300"/>
              </w:trPr>
              <w:tc>
                <w:tcPr>
                  <w:tcW w:w="976" w:type="dxa"/>
                  <w:tcBorders>
                    <w:bottom w:val="single" w:sz="4" w:space="0" w:color="auto"/>
                  </w:tcBorders>
                  <w:shd w:val="clear" w:color="auto" w:fill="FF9933"/>
                  <w:noWrap/>
                  <w:hideMark/>
                </w:tcPr>
                <w:p w:rsidR="00820AFC" w:rsidRPr="003B2B36" w:rsidRDefault="00820AFC" w:rsidP="00820AF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3B2B3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>2</w:t>
                  </w:r>
                </w:p>
              </w:tc>
              <w:tc>
                <w:tcPr>
                  <w:tcW w:w="2262" w:type="dxa"/>
                  <w:tcBorders>
                    <w:bottom w:val="single" w:sz="4" w:space="0" w:color="auto"/>
                  </w:tcBorders>
                  <w:shd w:val="clear" w:color="auto" w:fill="FF9933"/>
                </w:tcPr>
                <w:p w:rsidR="00820AFC" w:rsidRPr="003B2B36" w:rsidRDefault="00820AFC" w:rsidP="00820AF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3B2B3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€ 500.</w:t>
                  </w:r>
                  <w:r w:rsidRPr="003B2B3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>000 - 1 million</w:t>
                  </w:r>
                </w:p>
              </w:tc>
            </w:tr>
            <w:tr w:rsidR="00820AFC" w:rsidRPr="003B2B36" w:rsidTr="00DD3C48">
              <w:trPr>
                <w:trHeight w:val="300"/>
              </w:trPr>
              <w:tc>
                <w:tcPr>
                  <w:tcW w:w="976" w:type="dxa"/>
                  <w:tcBorders>
                    <w:bottom w:val="single" w:sz="4" w:space="0" w:color="auto"/>
                  </w:tcBorders>
                  <w:shd w:val="clear" w:color="auto" w:fill="FFFF00"/>
                  <w:noWrap/>
                  <w:hideMark/>
                </w:tcPr>
                <w:p w:rsidR="00820AFC" w:rsidRPr="003B2B36" w:rsidRDefault="00820AFC" w:rsidP="00820AF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3B2B3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>3</w:t>
                  </w:r>
                </w:p>
              </w:tc>
              <w:tc>
                <w:tcPr>
                  <w:tcW w:w="2262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820AFC" w:rsidRPr="003B2B36" w:rsidRDefault="00820AFC" w:rsidP="00820AF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3B2B3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€ 200.</w:t>
                  </w:r>
                  <w:r w:rsidRPr="003B2B3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>000 - 500.000</w:t>
                  </w:r>
                </w:p>
              </w:tc>
            </w:tr>
            <w:tr w:rsidR="00820AFC" w:rsidRPr="003B2B36" w:rsidTr="00DD3C48">
              <w:trPr>
                <w:trHeight w:val="300"/>
              </w:trPr>
              <w:tc>
                <w:tcPr>
                  <w:tcW w:w="976" w:type="dxa"/>
                  <w:tcBorders>
                    <w:bottom w:val="single" w:sz="4" w:space="0" w:color="auto"/>
                  </w:tcBorders>
                  <w:shd w:val="clear" w:color="auto" w:fill="92D050"/>
                  <w:noWrap/>
                  <w:hideMark/>
                </w:tcPr>
                <w:p w:rsidR="00820AFC" w:rsidRPr="003B2B36" w:rsidRDefault="00820AFC" w:rsidP="00820AF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3B2B3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>4</w:t>
                  </w:r>
                </w:p>
              </w:tc>
              <w:tc>
                <w:tcPr>
                  <w:tcW w:w="2262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:rsidR="00820AFC" w:rsidRPr="003B2B36" w:rsidRDefault="00820AFC" w:rsidP="00820AF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3B2B3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€ 50.</w:t>
                  </w:r>
                  <w:r w:rsidRPr="003B2B3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>000 - 200.000</w:t>
                  </w:r>
                </w:p>
              </w:tc>
            </w:tr>
            <w:tr w:rsidR="00820AFC" w:rsidRPr="003B2B36" w:rsidTr="00DD3C48">
              <w:trPr>
                <w:trHeight w:val="300"/>
              </w:trPr>
              <w:tc>
                <w:tcPr>
                  <w:tcW w:w="976" w:type="dxa"/>
                  <w:shd w:val="clear" w:color="auto" w:fill="00B050"/>
                  <w:noWrap/>
                  <w:hideMark/>
                </w:tcPr>
                <w:p w:rsidR="00820AFC" w:rsidRPr="003B2B36" w:rsidRDefault="00820AFC" w:rsidP="00820AF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3B2B3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>5</w:t>
                  </w:r>
                </w:p>
              </w:tc>
              <w:tc>
                <w:tcPr>
                  <w:tcW w:w="2262" w:type="dxa"/>
                  <w:shd w:val="clear" w:color="auto" w:fill="00B050"/>
                </w:tcPr>
                <w:p w:rsidR="00820AFC" w:rsidRPr="003B2B36" w:rsidRDefault="00820AFC" w:rsidP="00820AF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</w:pPr>
                  <w:r w:rsidRPr="003B2B3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 xml:space="preserve">&lt; </w:t>
                  </w:r>
                  <w:r w:rsidRPr="003B2B36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€ </w:t>
                  </w:r>
                  <w:r w:rsidRPr="003B2B3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 w:eastAsia="fr-BE"/>
                    </w:rPr>
                    <w:t>50.000</w:t>
                  </w:r>
                </w:p>
              </w:tc>
            </w:tr>
          </w:tbl>
          <w:p w:rsidR="00820AFC" w:rsidRPr="003B2B36" w:rsidRDefault="00820AFC" w:rsidP="00257BD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83D8D" w:rsidRPr="003B2B36" w:rsidTr="00C83726">
        <w:trPr>
          <w:trHeight w:val="4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D" w:rsidRPr="003B2B36" w:rsidRDefault="00583D8D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b/>
                <w:sz w:val="20"/>
                <w:szCs w:val="20"/>
                <w:lang w:val="en-GB"/>
              </w:rPr>
              <w:t>Effectiveness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D" w:rsidRPr="003B2B36" w:rsidRDefault="00257BD1" w:rsidP="00E41209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sz w:val="20"/>
                <w:szCs w:val="20"/>
                <w:lang w:val="en-GB"/>
              </w:rPr>
              <w:t>Potentially strong</w:t>
            </w:r>
          </w:p>
        </w:tc>
      </w:tr>
      <w:tr w:rsidR="00262374" w:rsidRPr="000A0215" w:rsidTr="00C83726">
        <w:trPr>
          <w:trHeight w:val="4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74" w:rsidRPr="003B2B36" w:rsidRDefault="00262374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Indicator(s) to measure </w:t>
            </w:r>
            <w:r w:rsidR="00BA4D68" w:rsidRPr="003B2B36">
              <w:rPr>
                <w:rFonts w:ascii="Arial" w:hAnsi="Arial" w:cs="Arial"/>
                <w:b/>
                <w:sz w:val="20"/>
                <w:szCs w:val="20"/>
                <w:lang w:val="en-GB"/>
              </w:rPr>
              <w:t>effectiveness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74" w:rsidRPr="003B2B36" w:rsidRDefault="00262374" w:rsidP="00E41209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60274" w:rsidRPr="000A0215" w:rsidTr="00C83726">
        <w:trPr>
          <w:trHeight w:val="4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274" w:rsidRPr="003B2B36" w:rsidRDefault="00C60274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b/>
                <w:sz w:val="20"/>
                <w:szCs w:val="20"/>
                <w:lang w:val="en-GB"/>
              </w:rPr>
              <w:t>Socio-economic assessment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E3" w:rsidRPr="003B2B36" w:rsidRDefault="00DB41E3" w:rsidP="00EF47D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b/>
                <w:sz w:val="20"/>
                <w:szCs w:val="20"/>
                <w:lang w:val="en-GB"/>
              </w:rPr>
              <w:t>Negative side effects:</w:t>
            </w:r>
          </w:p>
          <w:p w:rsidR="00EF47D2" w:rsidRPr="003B2B36" w:rsidRDefault="00764862" w:rsidP="00EF47D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sz w:val="20"/>
                <w:szCs w:val="20"/>
                <w:lang w:val="en-GB"/>
              </w:rPr>
              <w:t>The implementation of the measure is not expected to have negative effects on the marine environment.</w:t>
            </w:r>
          </w:p>
          <w:p w:rsidR="00257BD1" w:rsidRPr="003B2B36" w:rsidRDefault="00257BD1" w:rsidP="00257B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3B2B36">
              <w:rPr>
                <w:rFonts w:ascii="Arial" w:hAnsi="Arial" w:cs="Arial"/>
                <w:b/>
                <w:sz w:val="20"/>
                <w:szCs w:val="20"/>
                <w:lang w:val="bg-BG"/>
              </w:rPr>
              <w:t>Cost Effectiveness Assessment:</w:t>
            </w:r>
            <w:r w:rsidRPr="003B2B36">
              <w:rPr>
                <w:rFonts w:ascii="Arial" w:hAnsi="Arial" w:cs="Arial"/>
                <w:sz w:val="20"/>
                <w:szCs w:val="20"/>
                <w:lang w:val="bg-BG"/>
              </w:rPr>
              <w:t xml:space="preserve"> Cost effective</w:t>
            </w:r>
          </w:p>
          <w:p w:rsidR="00EF47D2" w:rsidRPr="003B2B36" w:rsidRDefault="00257BD1" w:rsidP="00257BD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3B2B36">
              <w:rPr>
                <w:rFonts w:ascii="Arial" w:hAnsi="Arial" w:cs="Arial"/>
                <w:b/>
                <w:sz w:val="20"/>
                <w:szCs w:val="20"/>
                <w:lang w:val="bg-BG"/>
              </w:rPr>
              <w:t>Cost Benefit Assessment:</w:t>
            </w:r>
            <w:r w:rsidRPr="003B2B36">
              <w:rPr>
                <w:rFonts w:ascii="Arial" w:hAnsi="Arial" w:cs="Arial"/>
                <w:sz w:val="20"/>
                <w:szCs w:val="20"/>
                <w:lang w:val="bg-BG"/>
              </w:rPr>
              <w:t xml:space="preserve"> high</w:t>
            </w:r>
          </w:p>
        </w:tc>
      </w:tr>
      <w:tr w:rsidR="005D3832" w:rsidRPr="003B2B36" w:rsidTr="00C837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2" w:rsidRPr="003B2B36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b/>
                <w:sz w:val="20"/>
                <w:szCs w:val="20"/>
                <w:lang w:val="en-GB"/>
              </w:rPr>
              <w:t>Coordination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58" w:rsidRPr="003B2B36" w:rsidRDefault="00257BD1" w:rsidP="00257BD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3B2B36">
              <w:rPr>
                <w:rFonts w:ascii="Arial" w:hAnsi="Arial" w:cs="Arial"/>
                <w:sz w:val="20"/>
                <w:szCs w:val="20"/>
                <w:lang w:val="en-GB"/>
              </w:rPr>
              <w:t>Bilateral</w:t>
            </w:r>
          </w:p>
        </w:tc>
      </w:tr>
      <w:tr w:rsidR="00583D8D" w:rsidRPr="003B2B36" w:rsidTr="00257BD1">
        <w:trPr>
          <w:trHeight w:val="5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D" w:rsidRPr="003B2B36" w:rsidRDefault="00583D8D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b/>
                <w:sz w:val="20"/>
                <w:szCs w:val="20"/>
                <w:lang w:val="en-GB"/>
              </w:rPr>
              <w:t>Technical feasibility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D" w:rsidRPr="003B2B36" w:rsidRDefault="00583D8D" w:rsidP="00257BD1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i/>
                <w:sz w:val="20"/>
                <w:szCs w:val="20"/>
                <w:lang w:val="en-GB"/>
              </w:rPr>
              <w:t>Applied; limited experience / uncertainties</w:t>
            </w:r>
          </w:p>
        </w:tc>
      </w:tr>
      <w:tr w:rsidR="005D3832" w:rsidRPr="000A0215" w:rsidTr="00C837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2" w:rsidRPr="003B2B36" w:rsidRDefault="005D3832" w:rsidP="009D45F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Body responsible for the measure </w:t>
            </w:r>
            <w:r w:rsidR="009D45F8" w:rsidRPr="003B2B36">
              <w:rPr>
                <w:rFonts w:ascii="Arial" w:hAnsi="Arial" w:cs="Arial"/>
                <w:b/>
                <w:sz w:val="20"/>
                <w:szCs w:val="20"/>
                <w:lang w:val="en-GB"/>
              </w:rPr>
              <w:t>implementation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1FE" w:rsidRPr="003B2B36" w:rsidRDefault="00257BD1" w:rsidP="00257BD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b/>
                <w:sz w:val="20"/>
                <w:szCs w:val="20"/>
                <w:lang w:val="en-GB"/>
              </w:rPr>
              <w:t>Bulgaria:</w:t>
            </w:r>
            <w:r w:rsidRPr="003B2B3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4467D" w:rsidRPr="003B2B36">
              <w:rPr>
                <w:rFonts w:ascii="Arial" w:hAnsi="Arial" w:cs="Arial"/>
                <w:sz w:val="20"/>
                <w:szCs w:val="20"/>
                <w:lang w:val="en-GB"/>
              </w:rPr>
              <w:t>Ministry of Agriculture and Food, National Agency for Fisheries and Aquaculture (NAFA), scientific institutes, universities, specialized in field of the marine biology and ecology, NGOs</w:t>
            </w:r>
          </w:p>
          <w:p w:rsidR="00257BD1" w:rsidRPr="003B2B36" w:rsidRDefault="00257BD1" w:rsidP="00257BD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Romania: </w:t>
            </w:r>
            <w:r w:rsidRPr="003B2B36">
              <w:rPr>
                <w:rFonts w:ascii="Arial" w:hAnsi="Arial" w:cs="Arial"/>
                <w:sz w:val="20"/>
                <w:szCs w:val="20"/>
                <w:lang w:val="en-GB"/>
              </w:rPr>
              <w:t>Ministry of Environment, Waters and Forests</w:t>
            </w:r>
          </w:p>
          <w:p w:rsidR="00257BD1" w:rsidRPr="003B2B36" w:rsidRDefault="00257BD1" w:rsidP="00257BD1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3B2B36">
              <w:rPr>
                <w:rFonts w:ascii="Arial" w:hAnsi="Arial" w:cs="Arial"/>
                <w:sz w:val="20"/>
                <w:szCs w:val="20"/>
                <w:lang w:val="en-GB"/>
              </w:rPr>
              <w:t>National Agency for Fishery and Aquaculture,  NIRD “Grigore Antipa”, NIRD GeoEcoMar</w:t>
            </w:r>
          </w:p>
        </w:tc>
      </w:tr>
      <w:tr w:rsidR="00801676" w:rsidRPr="003B2B36" w:rsidTr="00C837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76" w:rsidRPr="003B2B36" w:rsidRDefault="00801676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b/>
                <w:sz w:val="20"/>
                <w:szCs w:val="20"/>
                <w:lang w:val="en-GB"/>
              </w:rPr>
              <w:t>Financing opportunities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76" w:rsidRPr="003B2B36" w:rsidRDefault="00257BD1" w:rsidP="00E4120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sz w:val="20"/>
                <w:szCs w:val="20"/>
                <w:lang w:val="fr-FR"/>
              </w:rPr>
              <w:t xml:space="preserve">Public funds; EFF, EU projects (ex. </w:t>
            </w:r>
            <w:r w:rsidRPr="003B2B36">
              <w:rPr>
                <w:rFonts w:ascii="Arial" w:hAnsi="Arial" w:cs="Arial"/>
                <w:sz w:val="20"/>
                <w:szCs w:val="20"/>
                <w:lang w:val="en-GB"/>
              </w:rPr>
              <w:t>HORIZON 2020 program)</w:t>
            </w:r>
          </w:p>
        </w:tc>
      </w:tr>
      <w:tr w:rsidR="005D3832" w:rsidRPr="003B2B36" w:rsidTr="00C83726">
        <w:tc>
          <w:tcPr>
            <w:tcW w:w="2376" w:type="dxa"/>
            <w:shd w:val="clear" w:color="auto" w:fill="auto"/>
            <w:vAlign w:val="center"/>
          </w:tcPr>
          <w:p w:rsidR="005D3832" w:rsidRPr="003B2B36" w:rsidRDefault="005D3832" w:rsidP="00EF47D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Planning of implementation</w:t>
            </w:r>
            <w:r w:rsidR="000A0215">
              <w:rPr>
                <w:rFonts w:ascii="Arial" w:hAnsi="Arial" w:cs="Arial"/>
                <w:b/>
                <w:sz w:val="20"/>
                <w:szCs w:val="20"/>
                <w:lang w:val="en-GB"/>
              </w:rPr>
              <w:t>/temporal coverage</w:t>
            </w:r>
            <w:bookmarkStart w:id="0" w:name="_GoBack"/>
            <w:bookmarkEnd w:id="0"/>
          </w:p>
        </w:tc>
        <w:tc>
          <w:tcPr>
            <w:tcW w:w="7547" w:type="dxa"/>
            <w:gridSpan w:val="2"/>
            <w:shd w:val="clear" w:color="auto" w:fill="auto"/>
            <w:vAlign w:val="center"/>
          </w:tcPr>
          <w:p w:rsidR="00583D8D" w:rsidRPr="003B2B36" w:rsidRDefault="008821FE" w:rsidP="00257BD1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3B2B36">
              <w:rPr>
                <w:rFonts w:ascii="Arial" w:hAnsi="Arial" w:cs="Arial"/>
                <w:b/>
                <w:sz w:val="20"/>
                <w:szCs w:val="20"/>
                <w:lang w:val="bg-BG"/>
              </w:rPr>
              <w:t>201</w:t>
            </w:r>
            <w:r w:rsidR="00257BD1" w:rsidRPr="003B2B36">
              <w:rPr>
                <w:rFonts w:ascii="Arial" w:hAnsi="Arial" w:cs="Arial"/>
                <w:b/>
                <w:sz w:val="20"/>
                <w:szCs w:val="20"/>
                <w:lang w:val="nl-BE"/>
              </w:rPr>
              <w:t>8</w:t>
            </w:r>
          </w:p>
        </w:tc>
      </w:tr>
      <w:tr w:rsidR="00AE6ACD" w:rsidRPr="000A0215" w:rsidTr="00C83726">
        <w:tc>
          <w:tcPr>
            <w:tcW w:w="2376" w:type="dxa"/>
            <w:shd w:val="clear" w:color="auto" w:fill="auto"/>
          </w:tcPr>
          <w:p w:rsidR="00AE6ACD" w:rsidRPr="003B2B36" w:rsidRDefault="00AE6ACD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Difficulties in implementation</w:t>
            </w:r>
          </w:p>
        </w:tc>
        <w:tc>
          <w:tcPr>
            <w:tcW w:w="7547" w:type="dxa"/>
            <w:gridSpan w:val="2"/>
            <w:shd w:val="clear" w:color="auto" w:fill="auto"/>
          </w:tcPr>
          <w:p w:rsidR="00AE6ACD" w:rsidRPr="003B2B36" w:rsidRDefault="00257BD1" w:rsidP="00E4120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sz w:val="20"/>
                <w:szCs w:val="20"/>
                <w:lang w:val="en-GB"/>
              </w:rPr>
              <w:t>Yes - fishermen fear on loss of jobs</w:t>
            </w:r>
          </w:p>
        </w:tc>
      </w:tr>
      <w:tr w:rsidR="005D3832" w:rsidRPr="003B2B36" w:rsidTr="00C83726">
        <w:tc>
          <w:tcPr>
            <w:tcW w:w="9923" w:type="dxa"/>
            <w:gridSpan w:val="3"/>
            <w:shd w:val="clear" w:color="auto" w:fill="auto"/>
          </w:tcPr>
          <w:p w:rsidR="005D3832" w:rsidRPr="003B2B36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Supporting information for SEA</w:t>
            </w:r>
          </w:p>
        </w:tc>
      </w:tr>
      <w:tr w:rsidR="005D3832" w:rsidRPr="000A0215" w:rsidTr="00C83726">
        <w:tc>
          <w:tcPr>
            <w:tcW w:w="2376" w:type="dxa"/>
            <w:shd w:val="clear" w:color="auto" w:fill="auto"/>
          </w:tcPr>
          <w:p w:rsidR="005D3832" w:rsidRPr="003B2B36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b/>
                <w:sz w:val="20"/>
                <w:szCs w:val="20"/>
                <w:lang w:val="en-GB"/>
              </w:rPr>
              <w:t>Additional values for protection (outside MSFD)</w:t>
            </w:r>
          </w:p>
        </w:tc>
        <w:tc>
          <w:tcPr>
            <w:tcW w:w="7547" w:type="dxa"/>
            <w:gridSpan w:val="2"/>
            <w:shd w:val="clear" w:color="auto" w:fill="auto"/>
          </w:tcPr>
          <w:p w:rsidR="005D3832" w:rsidRPr="003B2B36" w:rsidRDefault="005D3832" w:rsidP="00AE6ACD">
            <w:pPr>
              <w:pStyle w:val="Lijstalinea"/>
              <w:spacing w:after="0" w:line="240" w:lineRule="auto"/>
              <w:ind w:left="0"/>
              <w:contextualSpacing w:val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5D3832" w:rsidRPr="003B2B36" w:rsidTr="00C83726">
        <w:tc>
          <w:tcPr>
            <w:tcW w:w="2376" w:type="dxa"/>
            <w:shd w:val="clear" w:color="auto" w:fill="auto"/>
          </w:tcPr>
          <w:p w:rsidR="005D3832" w:rsidRPr="003B2B36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B2B36">
              <w:rPr>
                <w:rFonts w:ascii="Arial" w:hAnsi="Arial" w:cs="Arial"/>
                <w:b/>
                <w:sz w:val="20"/>
                <w:szCs w:val="20"/>
                <w:lang w:val="en-GB"/>
              </w:rPr>
              <w:t>Reasonable alternatives</w:t>
            </w:r>
          </w:p>
        </w:tc>
        <w:tc>
          <w:tcPr>
            <w:tcW w:w="7547" w:type="dxa"/>
            <w:gridSpan w:val="2"/>
            <w:shd w:val="clear" w:color="auto" w:fill="auto"/>
          </w:tcPr>
          <w:p w:rsidR="005D3832" w:rsidRPr="003B2B36" w:rsidRDefault="005D3832" w:rsidP="00E41209">
            <w:pPr>
              <w:spacing w:before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:rsidR="005D3832" w:rsidRPr="003B2B36" w:rsidRDefault="005D3832" w:rsidP="005D3832">
      <w:pPr>
        <w:rPr>
          <w:rFonts w:ascii="Arial" w:hAnsi="Arial" w:cs="Arial"/>
          <w:sz w:val="20"/>
          <w:szCs w:val="20"/>
          <w:lang w:val="en-GB"/>
        </w:rPr>
      </w:pPr>
    </w:p>
    <w:sectPr w:rsidR="005D3832" w:rsidRPr="003B2B36" w:rsidSect="00C83726">
      <w:pgSz w:w="11906" w:h="16838"/>
      <w:pgMar w:top="1135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D2A" w:rsidRDefault="00334D2A" w:rsidP="000F1AFE">
      <w:pPr>
        <w:spacing w:after="0" w:line="240" w:lineRule="auto"/>
      </w:pPr>
      <w:r>
        <w:separator/>
      </w:r>
    </w:p>
  </w:endnote>
  <w:endnote w:type="continuationSeparator" w:id="0">
    <w:p w:rsidR="00334D2A" w:rsidRDefault="00334D2A" w:rsidP="000F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D2A" w:rsidRDefault="00334D2A" w:rsidP="000F1AFE">
      <w:pPr>
        <w:spacing w:after="0" w:line="240" w:lineRule="auto"/>
      </w:pPr>
      <w:r>
        <w:separator/>
      </w:r>
    </w:p>
  </w:footnote>
  <w:footnote w:type="continuationSeparator" w:id="0">
    <w:p w:rsidR="00334D2A" w:rsidRDefault="00334D2A" w:rsidP="000F1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0279D"/>
    <w:multiLevelType w:val="hybridMultilevel"/>
    <w:tmpl w:val="2F484FA4"/>
    <w:lvl w:ilvl="0" w:tplc="CDD4E81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6C2D0B"/>
    <w:multiLevelType w:val="hybridMultilevel"/>
    <w:tmpl w:val="546E5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E0967"/>
    <w:multiLevelType w:val="hybridMultilevel"/>
    <w:tmpl w:val="1D860102"/>
    <w:lvl w:ilvl="0" w:tplc="1EE0DA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A14D0"/>
    <w:multiLevelType w:val="hybridMultilevel"/>
    <w:tmpl w:val="432A33CA"/>
    <w:lvl w:ilvl="0" w:tplc="14D0BCC6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E6095"/>
    <w:multiLevelType w:val="hybridMultilevel"/>
    <w:tmpl w:val="FD1A8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50844"/>
    <w:multiLevelType w:val="hybridMultilevel"/>
    <w:tmpl w:val="A848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D5524"/>
    <w:multiLevelType w:val="hybridMultilevel"/>
    <w:tmpl w:val="1FB853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3785CF3"/>
    <w:multiLevelType w:val="hybridMultilevel"/>
    <w:tmpl w:val="2DD8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E74DB"/>
    <w:multiLevelType w:val="hybridMultilevel"/>
    <w:tmpl w:val="A224C94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B1487"/>
    <w:multiLevelType w:val="hybridMultilevel"/>
    <w:tmpl w:val="7F009FD8"/>
    <w:lvl w:ilvl="0" w:tplc="14D0BCC6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892E48"/>
    <w:multiLevelType w:val="hybridMultilevel"/>
    <w:tmpl w:val="8E001802"/>
    <w:lvl w:ilvl="0" w:tplc="14D0BCC6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4E"/>
    <w:rsid w:val="00001895"/>
    <w:rsid w:val="0001038D"/>
    <w:rsid w:val="00010EB8"/>
    <w:rsid w:val="00014249"/>
    <w:rsid w:val="000175F0"/>
    <w:rsid w:val="000406CF"/>
    <w:rsid w:val="0004092E"/>
    <w:rsid w:val="0004295D"/>
    <w:rsid w:val="00047DD6"/>
    <w:rsid w:val="00052448"/>
    <w:rsid w:val="00052584"/>
    <w:rsid w:val="00054FC6"/>
    <w:rsid w:val="00056915"/>
    <w:rsid w:val="00061B05"/>
    <w:rsid w:val="000628E0"/>
    <w:rsid w:val="000667E5"/>
    <w:rsid w:val="000670F4"/>
    <w:rsid w:val="00067DDE"/>
    <w:rsid w:val="00077B71"/>
    <w:rsid w:val="0008048F"/>
    <w:rsid w:val="00084912"/>
    <w:rsid w:val="00087DE7"/>
    <w:rsid w:val="00090BA0"/>
    <w:rsid w:val="00091E7D"/>
    <w:rsid w:val="00091F1D"/>
    <w:rsid w:val="00092F4A"/>
    <w:rsid w:val="000934DE"/>
    <w:rsid w:val="00094332"/>
    <w:rsid w:val="0009460E"/>
    <w:rsid w:val="0009487F"/>
    <w:rsid w:val="00096F73"/>
    <w:rsid w:val="000A0215"/>
    <w:rsid w:val="000A5794"/>
    <w:rsid w:val="000A6B33"/>
    <w:rsid w:val="000B1117"/>
    <w:rsid w:val="000B113E"/>
    <w:rsid w:val="000B1AED"/>
    <w:rsid w:val="000B2AEB"/>
    <w:rsid w:val="000B68A6"/>
    <w:rsid w:val="000B78C2"/>
    <w:rsid w:val="000B7A39"/>
    <w:rsid w:val="000C0FED"/>
    <w:rsid w:val="000C323B"/>
    <w:rsid w:val="000C3C7F"/>
    <w:rsid w:val="000C66A9"/>
    <w:rsid w:val="000C6EF5"/>
    <w:rsid w:val="000D1BFB"/>
    <w:rsid w:val="000D2616"/>
    <w:rsid w:val="000E2E08"/>
    <w:rsid w:val="000E31D3"/>
    <w:rsid w:val="000E4052"/>
    <w:rsid w:val="000E5A55"/>
    <w:rsid w:val="000F1125"/>
    <w:rsid w:val="000F1AFE"/>
    <w:rsid w:val="000F29A0"/>
    <w:rsid w:val="000F679D"/>
    <w:rsid w:val="000F7684"/>
    <w:rsid w:val="00100B8E"/>
    <w:rsid w:val="001032EA"/>
    <w:rsid w:val="0010440B"/>
    <w:rsid w:val="0011275C"/>
    <w:rsid w:val="00113400"/>
    <w:rsid w:val="001152E4"/>
    <w:rsid w:val="001160B9"/>
    <w:rsid w:val="00127705"/>
    <w:rsid w:val="0013003B"/>
    <w:rsid w:val="001317F0"/>
    <w:rsid w:val="00132BB9"/>
    <w:rsid w:val="00133472"/>
    <w:rsid w:val="00140454"/>
    <w:rsid w:val="0014247B"/>
    <w:rsid w:val="001439DD"/>
    <w:rsid w:val="001444C8"/>
    <w:rsid w:val="00145EF7"/>
    <w:rsid w:val="00146742"/>
    <w:rsid w:val="0014759F"/>
    <w:rsid w:val="00151889"/>
    <w:rsid w:val="00152329"/>
    <w:rsid w:val="001561EF"/>
    <w:rsid w:val="00161ED5"/>
    <w:rsid w:val="00162CFD"/>
    <w:rsid w:val="001630EE"/>
    <w:rsid w:val="001644CF"/>
    <w:rsid w:val="00164812"/>
    <w:rsid w:val="00165AF0"/>
    <w:rsid w:val="001705D6"/>
    <w:rsid w:val="00170CD8"/>
    <w:rsid w:val="001711C6"/>
    <w:rsid w:val="00171A4C"/>
    <w:rsid w:val="001730E2"/>
    <w:rsid w:val="0017379B"/>
    <w:rsid w:val="00173F94"/>
    <w:rsid w:val="00175D7B"/>
    <w:rsid w:val="00177B83"/>
    <w:rsid w:val="0018607B"/>
    <w:rsid w:val="00186246"/>
    <w:rsid w:val="001872C2"/>
    <w:rsid w:val="00191AA9"/>
    <w:rsid w:val="00194BF1"/>
    <w:rsid w:val="00194C40"/>
    <w:rsid w:val="001A0322"/>
    <w:rsid w:val="001A3774"/>
    <w:rsid w:val="001A3C04"/>
    <w:rsid w:val="001B0CD8"/>
    <w:rsid w:val="001B2A80"/>
    <w:rsid w:val="001B589E"/>
    <w:rsid w:val="001B5C63"/>
    <w:rsid w:val="001B6039"/>
    <w:rsid w:val="001B694C"/>
    <w:rsid w:val="001B7B14"/>
    <w:rsid w:val="001C06B4"/>
    <w:rsid w:val="001C0E78"/>
    <w:rsid w:val="001C390E"/>
    <w:rsid w:val="001C4E7C"/>
    <w:rsid w:val="001C5D1F"/>
    <w:rsid w:val="001D2777"/>
    <w:rsid w:val="001D63A1"/>
    <w:rsid w:val="001D65EE"/>
    <w:rsid w:val="001D730F"/>
    <w:rsid w:val="001D7DBD"/>
    <w:rsid w:val="001E3167"/>
    <w:rsid w:val="001E5E06"/>
    <w:rsid w:val="001E7639"/>
    <w:rsid w:val="001F008F"/>
    <w:rsid w:val="001F198E"/>
    <w:rsid w:val="001F2F96"/>
    <w:rsid w:val="001F6166"/>
    <w:rsid w:val="001F62EE"/>
    <w:rsid w:val="001F7A69"/>
    <w:rsid w:val="00206CC9"/>
    <w:rsid w:val="002101F3"/>
    <w:rsid w:val="00212289"/>
    <w:rsid w:val="00212A6E"/>
    <w:rsid w:val="00216F98"/>
    <w:rsid w:val="00220454"/>
    <w:rsid w:val="002223DF"/>
    <w:rsid w:val="002224C9"/>
    <w:rsid w:val="002241F8"/>
    <w:rsid w:val="002308EB"/>
    <w:rsid w:val="002337DF"/>
    <w:rsid w:val="00234F80"/>
    <w:rsid w:val="00235AA4"/>
    <w:rsid w:val="002416A8"/>
    <w:rsid w:val="002429A7"/>
    <w:rsid w:val="00242CB1"/>
    <w:rsid w:val="00243342"/>
    <w:rsid w:val="00245DEF"/>
    <w:rsid w:val="00246286"/>
    <w:rsid w:val="002472FB"/>
    <w:rsid w:val="00247FA7"/>
    <w:rsid w:val="00250B4A"/>
    <w:rsid w:val="00252C83"/>
    <w:rsid w:val="00257BD1"/>
    <w:rsid w:val="00260166"/>
    <w:rsid w:val="00260EE6"/>
    <w:rsid w:val="00262374"/>
    <w:rsid w:val="00264112"/>
    <w:rsid w:val="0026494B"/>
    <w:rsid w:val="00265692"/>
    <w:rsid w:val="00265726"/>
    <w:rsid w:val="002721F7"/>
    <w:rsid w:val="002826E3"/>
    <w:rsid w:val="002826FC"/>
    <w:rsid w:val="002867B5"/>
    <w:rsid w:val="0028680F"/>
    <w:rsid w:val="00287492"/>
    <w:rsid w:val="00290B2E"/>
    <w:rsid w:val="0029272B"/>
    <w:rsid w:val="002930EF"/>
    <w:rsid w:val="002946A3"/>
    <w:rsid w:val="00297E12"/>
    <w:rsid w:val="002A7569"/>
    <w:rsid w:val="002A75EF"/>
    <w:rsid w:val="002A7D0A"/>
    <w:rsid w:val="002B02BF"/>
    <w:rsid w:val="002B2792"/>
    <w:rsid w:val="002B3E36"/>
    <w:rsid w:val="002B42A0"/>
    <w:rsid w:val="002B43D2"/>
    <w:rsid w:val="002B5A01"/>
    <w:rsid w:val="002C0FAB"/>
    <w:rsid w:val="002C12E5"/>
    <w:rsid w:val="002D11E4"/>
    <w:rsid w:val="002D174F"/>
    <w:rsid w:val="002D3AC5"/>
    <w:rsid w:val="002D490C"/>
    <w:rsid w:val="002D5519"/>
    <w:rsid w:val="002D5C96"/>
    <w:rsid w:val="002E3665"/>
    <w:rsid w:val="002E3844"/>
    <w:rsid w:val="002E4AC2"/>
    <w:rsid w:val="002E6F8B"/>
    <w:rsid w:val="002F0887"/>
    <w:rsid w:val="002F1066"/>
    <w:rsid w:val="002F1D56"/>
    <w:rsid w:val="002F20AC"/>
    <w:rsid w:val="002F46D7"/>
    <w:rsid w:val="00301E1A"/>
    <w:rsid w:val="00303184"/>
    <w:rsid w:val="00303BD6"/>
    <w:rsid w:val="00305EC7"/>
    <w:rsid w:val="00306801"/>
    <w:rsid w:val="00306F22"/>
    <w:rsid w:val="00310C9A"/>
    <w:rsid w:val="00314B58"/>
    <w:rsid w:val="00316A74"/>
    <w:rsid w:val="00316CB9"/>
    <w:rsid w:val="00320258"/>
    <w:rsid w:val="00320DE0"/>
    <w:rsid w:val="00322690"/>
    <w:rsid w:val="00323602"/>
    <w:rsid w:val="00333310"/>
    <w:rsid w:val="00334D2A"/>
    <w:rsid w:val="00335114"/>
    <w:rsid w:val="003436AA"/>
    <w:rsid w:val="00346BA5"/>
    <w:rsid w:val="00346F80"/>
    <w:rsid w:val="0035158A"/>
    <w:rsid w:val="00351D5E"/>
    <w:rsid w:val="00356276"/>
    <w:rsid w:val="0036182D"/>
    <w:rsid w:val="00367024"/>
    <w:rsid w:val="00367174"/>
    <w:rsid w:val="003673C3"/>
    <w:rsid w:val="0037025F"/>
    <w:rsid w:val="0037221E"/>
    <w:rsid w:val="00375A6D"/>
    <w:rsid w:val="00381731"/>
    <w:rsid w:val="00387904"/>
    <w:rsid w:val="00390CAA"/>
    <w:rsid w:val="00390FE2"/>
    <w:rsid w:val="003975EF"/>
    <w:rsid w:val="0039783F"/>
    <w:rsid w:val="003A057C"/>
    <w:rsid w:val="003A20FE"/>
    <w:rsid w:val="003A46C0"/>
    <w:rsid w:val="003A5F68"/>
    <w:rsid w:val="003A695C"/>
    <w:rsid w:val="003A73C5"/>
    <w:rsid w:val="003B0C05"/>
    <w:rsid w:val="003B2B36"/>
    <w:rsid w:val="003B3FA1"/>
    <w:rsid w:val="003C0318"/>
    <w:rsid w:val="003C3D18"/>
    <w:rsid w:val="003C7A1A"/>
    <w:rsid w:val="003D06FD"/>
    <w:rsid w:val="003D20CD"/>
    <w:rsid w:val="003D3F70"/>
    <w:rsid w:val="003D6616"/>
    <w:rsid w:val="003D6899"/>
    <w:rsid w:val="003D6F35"/>
    <w:rsid w:val="003D789A"/>
    <w:rsid w:val="003E139C"/>
    <w:rsid w:val="003E33D2"/>
    <w:rsid w:val="003E6546"/>
    <w:rsid w:val="003E6CC7"/>
    <w:rsid w:val="003F3E9C"/>
    <w:rsid w:val="003F4EC9"/>
    <w:rsid w:val="003F4F94"/>
    <w:rsid w:val="003F5518"/>
    <w:rsid w:val="003F5F36"/>
    <w:rsid w:val="003F62BD"/>
    <w:rsid w:val="003F773F"/>
    <w:rsid w:val="004009F8"/>
    <w:rsid w:val="00406887"/>
    <w:rsid w:val="00407F5B"/>
    <w:rsid w:val="0041476A"/>
    <w:rsid w:val="00416815"/>
    <w:rsid w:val="00422BCF"/>
    <w:rsid w:val="0042570F"/>
    <w:rsid w:val="0043116D"/>
    <w:rsid w:val="00436B30"/>
    <w:rsid w:val="004433AC"/>
    <w:rsid w:val="00444BD8"/>
    <w:rsid w:val="00446120"/>
    <w:rsid w:val="0044729F"/>
    <w:rsid w:val="004472CB"/>
    <w:rsid w:val="004570E5"/>
    <w:rsid w:val="00457190"/>
    <w:rsid w:val="00457A19"/>
    <w:rsid w:val="00467B87"/>
    <w:rsid w:val="00473667"/>
    <w:rsid w:val="00473F86"/>
    <w:rsid w:val="00474682"/>
    <w:rsid w:val="0047784F"/>
    <w:rsid w:val="0048230A"/>
    <w:rsid w:val="00483F1F"/>
    <w:rsid w:val="0049174D"/>
    <w:rsid w:val="00491998"/>
    <w:rsid w:val="004919B0"/>
    <w:rsid w:val="00495037"/>
    <w:rsid w:val="004A0337"/>
    <w:rsid w:val="004A76AE"/>
    <w:rsid w:val="004B29D2"/>
    <w:rsid w:val="004B2B0F"/>
    <w:rsid w:val="004B3C91"/>
    <w:rsid w:val="004B6CB6"/>
    <w:rsid w:val="004C0C29"/>
    <w:rsid w:val="004C3616"/>
    <w:rsid w:val="004C536D"/>
    <w:rsid w:val="004D3AE8"/>
    <w:rsid w:val="004D621C"/>
    <w:rsid w:val="004E1200"/>
    <w:rsid w:val="004E1BB3"/>
    <w:rsid w:val="004E1DE7"/>
    <w:rsid w:val="004E3E2D"/>
    <w:rsid w:val="004E4169"/>
    <w:rsid w:val="004E6790"/>
    <w:rsid w:val="004E6D9D"/>
    <w:rsid w:val="004F1B7B"/>
    <w:rsid w:val="00502D3F"/>
    <w:rsid w:val="00504C98"/>
    <w:rsid w:val="00514BBD"/>
    <w:rsid w:val="005155ED"/>
    <w:rsid w:val="00523F54"/>
    <w:rsid w:val="00525BC2"/>
    <w:rsid w:val="00527711"/>
    <w:rsid w:val="00527CB9"/>
    <w:rsid w:val="00545E80"/>
    <w:rsid w:val="00551404"/>
    <w:rsid w:val="005558FC"/>
    <w:rsid w:val="00560531"/>
    <w:rsid w:val="00560DA0"/>
    <w:rsid w:val="00561C6F"/>
    <w:rsid w:val="00576643"/>
    <w:rsid w:val="00577ED9"/>
    <w:rsid w:val="00583D8D"/>
    <w:rsid w:val="00584474"/>
    <w:rsid w:val="005844F9"/>
    <w:rsid w:val="005855A3"/>
    <w:rsid w:val="005860B5"/>
    <w:rsid w:val="00587E8F"/>
    <w:rsid w:val="00594FA3"/>
    <w:rsid w:val="005976F7"/>
    <w:rsid w:val="005A044F"/>
    <w:rsid w:val="005A2955"/>
    <w:rsid w:val="005A30AE"/>
    <w:rsid w:val="005A3D1D"/>
    <w:rsid w:val="005A465C"/>
    <w:rsid w:val="005B04B7"/>
    <w:rsid w:val="005B2279"/>
    <w:rsid w:val="005B385A"/>
    <w:rsid w:val="005B728C"/>
    <w:rsid w:val="005B7941"/>
    <w:rsid w:val="005C55AE"/>
    <w:rsid w:val="005C7FFD"/>
    <w:rsid w:val="005D048F"/>
    <w:rsid w:val="005D2263"/>
    <w:rsid w:val="005D3832"/>
    <w:rsid w:val="005E2FA0"/>
    <w:rsid w:val="005E6FCE"/>
    <w:rsid w:val="005E7153"/>
    <w:rsid w:val="005F027D"/>
    <w:rsid w:val="005F08F0"/>
    <w:rsid w:val="005F3D76"/>
    <w:rsid w:val="005F51CE"/>
    <w:rsid w:val="005F6D03"/>
    <w:rsid w:val="006001D9"/>
    <w:rsid w:val="00601489"/>
    <w:rsid w:val="00603017"/>
    <w:rsid w:val="00610F36"/>
    <w:rsid w:val="0061506E"/>
    <w:rsid w:val="006161D3"/>
    <w:rsid w:val="0062076D"/>
    <w:rsid w:val="00623E82"/>
    <w:rsid w:val="00624241"/>
    <w:rsid w:val="006252EA"/>
    <w:rsid w:val="00627658"/>
    <w:rsid w:val="00634549"/>
    <w:rsid w:val="006350A9"/>
    <w:rsid w:val="00635799"/>
    <w:rsid w:val="00635C2A"/>
    <w:rsid w:val="006371C1"/>
    <w:rsid w:val="006420D9"/>
    <w:rsid w:val="0064381E"/>
    <w:rsid w:val="0065119B"/>
    <w:rsid w:val="006528C0"/>
    <w:rsid w:val="00654DD8"/>
    <w:rsid w:val="00656745"/>
    <w:rsid w:val="0066262D"/>
    <w:rsid w:val="00663774"/>
    <w:rsid w:val="00663CE9"/>
    <w:rsid w:val="00663E1D"/>
    <w:rsid w:val="006670B8"/>
    <w:rsid w:val="00672E77"/>
    <w:rsid w:val="00677FB9"/>
    <w:rsid w:val="0068238C"/>
    <w:rsid w:val="006838F1"/>
    <w:rsid w:val="00686511"/>
    <w:rsid w:val="00687FA0"/>
    <w:rsid w:val="006911C3"/>
    <w:rsid w:val="0069221D"/>
    <w:rsid w:val="006968C0"/>
    <w:rsid w:val="006975A0"/>
    <w:rsid w:val="006B4BCC"/>
    <w:rsid w:val="006B5124"/>
    <w:rsid w:val="006C059B"/>
    <w:rsid w:val="006C33B6"/>
    <w:rsid w:val="006C5C89"/>
    <w:rsid w:val="006D379F"/>
    <w:rsid w:val="006D4D5C"/>
    <w:rsid w:val="006E02A6"/>
    <w:rsid w:val="006E3C7E"/>
    <w:rsid w:val="006E56FC"/>
    <w:rsid w:val="006E5FC3"/>
    <w:rsid w:val="006E6D04"/>
    <w:rsid w:val="006F1570"/>
    <w:rsid w:val="006F1A8A"/>
    <w:rsid w:val="006F349E"/>
    <w:rsid w:val="006F4905"/>
    <w:rsid w:val="006F57E6"/>
    <w:rsid w:val="006F6173"/>
    <w:rsid w:val="006F6781"/>
    <w:rsid w:val="006F746F"/>
    <w:rsid w:val="006F7A55"/>
    <w:rsid w:val="00700646"/>
    <w:rsid w:val="007018E6"/>
    <w:rsid w:val="00703BC3"/>
    <w:rsid w:val="00704364"/>
    <w:rsid w:val="00706E2D"/>
    <w:rsid w:val="0071003F"/>
    <w:rsid w:val="00710118"/>
    <w:rsid w:val="007117EB"/>
    <w:rsid w:val="007146AF"/>
    <w:rsid w:val="0071772A"/>
    <w:rsid w:val="00720833"/>
    <w:rsid w:val="00721A91"/>
    <w:rsid w:val="00723749"/>
    <w:rsid w:val="00723AF5"/>
    <w:rsid w:val="00730BC3"/>
    <w:rsid w:val="00732D32"/>
    <w:rsid w:val="00734E9B"/>
    <w:rsid w:val="00736CFA"/>
    <w:rsid w:val="007422F2"/>
    <w:rsid w:val="007424AA"/>
    <w:rsid w:val="00744B19"/>
    <w:rsid w:val="00744CCA"/>
    <w:rsid w:val="00746B1B"/>
    <w:rsid w:val="0075242A"/>
    <w:rsid w:val="007525E9"/>
    <w:rsid w:val="0075501F"/>
    <w:rsid w:val="0076271D"/>
    <w:rsid w:val="00764862"/>
    <w:rsid w:val="00765FB5"/>
    <w:rsid w:val="00774434"/>
    <w:rsid w:val="00776D99"/>
    <w:rsid w:val="007825DE"/>
    <w:rsid w:val="00782DFE"/>
    <w:rsid w:val="0078374B"/>
    <w:rsid w:val="00786889"/>
    <w:rsid w:val="00786A39"/>
    <w:rsid w:val="007902D3"/>
    <w:rsid w:val="00790A0B"/>
    <w:rsid w:val="007912EF"/>
    <w:rsid w:val="00792470"/>
    <w:rsid w:val="00793990"/>
    <w:rsid w:val="00793CD6"/>
    <w:rsid w:val="0079624A"/>
    <w:rsid w:val="007A2F1F"/>
    <w:rsid w:val="007A5033"/>
    <w:rsid w:val="007A6084"/>
    <w:rsid w:val="007B132D"/>
    <w:rsid w:val="007B27F6"/>
    <w:rsid w:val="007B29BD"/>
    <w:rsid w:val="007B58DD"/>
    <w:rsid w:val="007B7E19"/>
    <w:rsid w:val="007C0C69"/>
    <w:rsid w:val="007C168E"/>
    <w:rsid w:val="007C2459"/>
    <w:rsid w:val="007C263F"/>
    <w:rsid w:val="007C6937"/>
    <w:rsid w:val="007D1CC0"/>
    <w:rsid w:val="007D3294"/>
    <w:rsid w:val="007D35E2"/>
    <w:rsid w:val="007D7E02"/>
    <w:rsid w:val="007E3175"/>
    <w:rsid w:val="007E3F3D"/>
    <w:rsid w:val="007E65C1"/>
    <w:rsid w:val="007F0D4C"/>
    <w:rsid w:val="007F1F1C"/>
    <w:rsid w:val="007F6F58"/>
    <w:rsid w:val="00800197"/>
    <w:rsid w:val="00800E45"/>
    <w:rsid w:val="00801676"/>
    <w:rsid w:val="008048A2"/>
    <w:rsid w:val="00805903"/>
    <w:rsid w:val="00812B1F"/>
    <w:rsid w:val="00812F51"/>
    <w:rsid w:val="0081440B"/>
    <w:rsid w:val="008172A1"/>
    <w:rsid w:val="00820AFC"/>
    <w:rsid w:val="00821562"/>
    <w:rsid w:val="00822FA9"/>
    <w:rsid w:val="0082414F"/>
    <w:rsid w:val="00825EA1"/>
    <w:rsid w:val="0083020C"/>
    <w:rsid w:val="00832FC4"/>
    <w:rsid w:val="00836529"/>
    <w:rsid w:val="00846093"/>
    <w:rsid w:val="00860AC5"/>
    <w:rsid w:val="00860B26"/>
    <w:rsid w:val="00864E91"/>
    <w:rsid w:val="0087437C"/>
    <w:rsid w:val="00874663"/>
    <w:rsid w:val="00876F35"/>
    <w:rsid w:val="008811BD"/>
    <w:rsid w:val="00881BB4"/>
    <w:rsid w:val="008821FE"/>
    <w:rsid w:val="008826DF"/>
    <w:rsid w:val="00884705"/>
    <w:rsid w:val="00885FE6"/>
    <w:rsid w:val="00886EC0"/>
    <w:rsid w:val="00890AF0"/>
    <w:rsid w:val="008A2446"/>
    <w:rsid w:val="008A4131"/>
    <w:rsid w:val="008A501C"/>
    <w:rsid w:val="008B05CB"/>
    <w:rsid w:val="008B22A5"/>
    <w:rsid w:val="008B3674"/>
    <w:rsid w:val="008B5C33"/>
    <w:rsid w:val="008B6EA3"/>
    <w:rsid w:val="008C0B00"/>
    <w:rsid w:val="008C1A47"/>
    <w:rsid w:val="008C4674"/>
    <w:rsid w:val="008C63FB"/>
    <w:rsid w:val="008C7A06"/>
    <w:rsid w:val="008C7F6E"/>
    <w:rsid w:val="008D102E"/>
    <w:rsid w:val="008D1929"/>
    <w:rsid w:val="008D422D"/>
    <w:rsid w:val="008D49BA"/>
    <w:rsid w:val="008D6039"/>
    <w:rsid w:val="008E1496"/>
    <w:rsid w:val="008E2522"/>
    <w:rsid w:val="008E2798"/>
    <w:rsid w:val="008E460E"/>
    <w:rsid w:val="008E69C8"/>
    <w:rsid w:val="008F05EA"/>
    <w:rsid w:val="008F3BD3"/>
    <w:rsid w:val="008F5164"/>
    <w:rsid w:val="008F531E"/>
    <w:rsid w:val="008F7210"/>
    <w:rsid w:val="00902E46"/>
    <w:rsid w:val="00903218"/>
    <w:rsid w:val="0092369E"/>
    <w:rsid w:val="00924D2B"/>
    <w:rsid w:val="00925610"/>
    <w:rsid w:val="009310FC"/>
    <w:rsid w:val="00936608"/>
    <w:rsid w:val="00936C55"/>
    <w:rsid w:val="009371A3"/>
    <w:rsid w:val="00937F1F"/>
    <w:rsid w:val="00941274"/>
    <w:rsid w:val="00943EA3"/>
    <w:rsid w:val="009443BB"/>
    <w:rsid w:val="00944BDC"/>
    <w:rsid w:val="009450D2"/>
    <w:rsid w:val="009460A3"/>
    <w:rsid w:val="00947F5C"/>
    <w:rsid w:val="00950843"/>
    <w:rsid w:val="00956970"/>
    <w:rsid w:val="00957F0D"/>
    <w:rsid w:val="00964EDF"/>
    <w:rsid w:val="00965C24"/>
    <w:rsid w:val="009667CB"/>
    <w:rsid w:val="00966897"/>
    <w:rsid w:val="009700B6"/>
    <w:rsid w:val="00972017"/>
    <w:rsid w:val="00974B46"/>
    <w:rsid w:val="00977106"/>
    <w:rsid w:val="0097722A"/>
    <w:rsid w:val="009807EE"/>
    <w:rsid w:val="00983516"/>
    <w:rsid w:val="00983B06"/>
    <w:rsid w:val="0098557B"/>
    <w:rsid w:val="00985A1C"/>
    <w:rsid w:val="009900C4"/>
    <w:rsid w:val="00990ADE"/>
    <w:rsid w:val="0099615E"/>
    <w:rsid w:val="009A29D0"/>
    <w:rsid w:val="009A550D"/>
    <w:rsid w:val="009B088A"/>
    <w:rsid w:val="009B751B"/>
    <w:rsid w:val="009B7925"/>
    <w:rsid w:val="009C12D1"/>
    <w:rsid w:val="009C1A59"/>
    <w:rsid w:val="009C7A47"/>
    <w:rsid w:val="009C7BA8"/>
    <w:rsid w:val="009D2093"/>
    <w:rsid w:val="009D3496"/>
    <w:rsid w:val="009D44C6"/>
    <w:rsid w:val="009D45F8"/>
    <w:rsid w:val="009E1EED"/>
    <w:rsid w:val="009E3BD6"/>
    <w:rsid w:val="009F2430"/>
    <w:rsid w:val="009F3DAA"/>
    <w:rsid w:val="009F64BD"/>
    <w:rsid w:val="00A01053"/>
    <w:rsid w:val="00A01A8D"/>
    <w:rsid w:val="00A01EEB"/>
    <w:rsid w:val="00A126CF"/>
    <w:rsid w:val="00A1401B"/>
    <w:rsid w:val="00A150D7"/>
    <w:rsid w:val="00A162F4"/>
    <w:rsid w:val="00A16340"/>
    <w:rsid w:val="00A17509"/>
    <w:rsid w:val="00A21E3C"/>
    <w:rsid w:val="00A227C0"/>
    <w:rsid w:val="00A251E9"/>
    <w:rsid w:val="00A266D2"/>
    <w:rsid w:val="00A312B9"/>
    <w:rsid w:val="00A31F3A"/>
    <w:rsid w:val="00A33905"/>
    <w:rsid w:val="00A42BB7"/>
    <w:rsid w:val="00A431EC"/>
    <w:rsid w:val="00A47C88"/>
    <w:rsid w:val="00A52574"/>
    <w:rsid w:val="00A54A0E"/>
    <w:rsid w:val="00A55A1E"/>
    <w:rsid w:val="00A61FDD"/>
    <w:rsid w:val="00A6239B"/>
    <w:rsid w:val="00A62737"/>
    <w:rsid w:val="00A654B8"/>
    <w:rsid w:val="00A656F0"/>
    <w:rsid w:val="00A72CE4"/>
    <w:rsid w:val="00A77FF8"/>
    <w:rsid w:val="00A850D1"/>
    <w:rsid w:val="00A90D72"/>
    <w:rsid w:val="00A91AB4"/>
    <w:rsid w:val="00A97215"/>
    <w:rsid w:val="00AA46DA"/>
    <w:rsid w:val="00AA6C4F"/>
    <w:rsid w:val="00AB089B"/>
    <w:rsid w:val="00AB152C"/>
    <w:rsid w:val="00AB6320"/>
    <w:rsid w:val="00AB77EC"/>
    <w:rsid w:val="00AC24FC"/>
    <w:rsid w:val="00AC6A79"/>
    <w:rsid w:val="00AD1EBA"/>
    <w:rsid w:val="00AE0763"/>
    <w:rsid w:val="00AE6ACD"/>
    <w:rsid w:val="00AE6EF1"/>
    <w:rsid w:val="00AF017F"/>
    <w:rsid w:val="00AF1E4F"/>
    <w:rsid w:val="00AF2277"/>
    <w:rsid w:val="00AF2353"/>
    <w:rsid w:val="00AF411B"/>
    <w:rsid w:val="00AF66BF"/>
    <w:rsid w:val="00B020CE"/>
    <w:rsid w:val="00B06551"/>
    <w:rsid w:val="00B07856"/>
    <w:rsid w:val="00B134F3"/>
    <w:rsid w:val="00B15430"/>
    <w:rsid w:val="00B1731E"/>
    <w:rsid w:val="00B22558"/>
    <w:rsid w:val="00B24394"/>
    <w:rsid w:val="00B277F5"/>
    <w:rsid w:val="00B35B1D"/>
    <w:rsid w:val="00B375B4"/>
    <w:rsid w:val="00B37CC6"/>
    <w:rsid w:val="00B40FA0"/>
    <w:rsid w:val="00B463F4"/>
    <w:rsid w:val="00B46620"/>
    <w:rsid w:val="00B51777"/>
    <w:rsid w:val="00B51C17"/>
    <w:rsid w:val="00B524D5"/>
    <w:rsid w:val="00B538FB"/>
    <w:rsid w:val="00B540AC"/>
    <w:rsid w:val="00B54B30"/>
    <w:rsid w:val="00B557EE"/>
    <w:rsid w:val="00B55B78"/>
    <w:rsid w:val="00B55C03"/>
    <w:rsid w:val="00B571EA"/>
    <w:rsid w:val="00B60648"/>
    <w:rsid w:val="00B60A57"/>
    <w:rsid w:val="00B61405"/>
    <w:rsid w:val="00B61A90"/>
    <w:rsid w:val="00B62C38"/>
    <w:rsid w:val="00B645BC"/>
    <w:rsid w:val="00B71D22"/>
    <w:rsid w:val="00B72F4B"/>
    <w:rsid w:val="00B74F95"/>
    <w:rsid w:val="00B84182"/>
    <w:rsid w:val="00B863C4"/>
    <w:rsid w:val="00B905CF"/>
    <w:rsid w:val="00B9111A"/>
    <w:rsid w:val="00B9148A"/>
    <w:rsid w:val="00B91AD4"/>
    <w:rsid w:val="00B93A0D"/>
    <w:rsid w:val="00B93B21"/>
    <w:rsid w:val="00B968E5"/>
    <w:rsid w:val="00B97AD7"/>
    <w:rsid w:val="00BA14B6"/>
    <w:rsid w:val="00BA1AFE"/>
    <w:rsid w:val="00BA310A"/>
    <w:rsid w:val="00BA4D68"/>
    <w:rsid w:val="00BB29F7"/>
    <w:rsid w:val="00BB3FFC"/>
    <w:rsid w:val="00BB65E6"/>
    <w:rsid w:val="00BC26A0"/>
    <w:rsid w:val="00BC47B9"/>
    <w:rsid w:val="00BC6361"/>
    <w:rsid w:val="00BC7F23"/>
    <w:rsid w:val="00BD005F"/>
    <w:rsid w:val="00BD04B1"/>
    <w:rsid w:val="00BD184B"/>
    <w:rsid w:val="00BD19F3"/>
    <w:rsid w:val="00BD3730"/>
    <w:rsid w:val="00BD49A0"/>
    <w:rsid w:val="00BD71E8"/>
    <w:rsid w:val="00BE2F25"/>
    <w:rsid w:val="00BE32D9"/>
    <w:rsid w:val="00BE7C09"/>
    <w:rsid w:val="00BE7D1B"/>
    <w:rsid w:val="00BF4518"/>
    <w:rsid w:val="00BF6BD1"/>
    <w:rsid w:val="00C039EB"/>
    <w:rsid w:val="00C04A93"/>
    <w:rsid w:val="00C05665"/>
    <w:rsid w:val="00C15AC2"/>
    <w:rsid w:val="00C22415"/>
    <w:rsid w:val="00C2499C"/>
    <w:rsid w:val="00C32321"/>
    <w:rsid w:val="00C35569"/>
    <w:rsid w:val="00C363D9"/>
    <w:rsid w:val="00C366A7"/>
    <w:rsid w:val="00C37589"/>
    <w:rsid w:val="00C404EF"/>
    <w:rsid w:val="00C41E75"/>
    <w:rsid w:val="00C45EBE"/>
    <w:rsid w:val="00C461FA"/>
    <w:rsid w:val="00C4727E"/>
    <w:rsid w:val="00C504CC"/>
    <w:rsid w:val="00C508FF"/>
    <w:rsid w:val="00C53AEA"/>
    <w:rsid w:val="00C552D2"/>
    <w:rsid w:val="00C55D05"/>
    <w:rsid w:val="00C60274"/>
    <w:rsid w:val="00C6298F"/>
    <w:rsid w:val="00C64E5D"/>
    <w:rsid w:val="00C66617"/>
    <w:rsid w:val="00C71FD5"/>
    <w:rsid w:val="00C72556"/>
    <w:rsid w:val="00C72DE7"/>
    <w:rsid w:val="00C72F66"/>
    <w:rsid w:val="00C74344"/>
    <w:rsid w:val="00C746FB"/>
    <w:rsid w:val="00C811BA"/>
    <w:rsid w:val="00C83726"/>
    <w:rsid w:val="00C84180"/>
    <w:rsid w:val="00C956A2"/>
    <w:rsid w:val="00CA4AF4"/>
    <w:rsid w:val="00CB1096"/>
    <w:rsid w:val="00CB62B8"/>
    <w:rsid w:val="00CC037A"/>
    <w:rsid w:val="00CC25FC"/>
    <w:rsid w:val="00CC444E"/>
    <w:rsid w:val="00CC4D45"/>
    <w:rsid w:val="00CD37A7"/>
    <w:rsid w:val="00CD3E6D"/>
    <w:rsid w:val="00CD4DBB"/>
    <w:rsid w:val="00CE353C"/>
    <w:rsid w:val="00CE4C5D"/>
    <w:rsid w:val="00CE5DE7"/>
    <w:rsid w:val="00CF2B4B"/>
    <w:rsid w:val="00CF31AF"/>
    <w:rsid w:val="00CF4718"/>
    <w:rsid w:val="00CF5816"/>
    <w:rsid w:val="00CF5E20"/>
    <w:rsid w:val="00CF61E6"/>
    <w:rsid w:val="00CF6655"/>
    <w:rsid w:val="00CF6E8E"/>
    <w:rsid w:val="00D006A1"/>
    <w:rsid w:val="00D00BE3"/>
    <w:rsid w:val="00D029E6"/>
    <w:rsid w:val="00D03AFD"/>
    <w:rsid w:val="00D04A6A"/>
    <w:rsid w:val="00D063AF"/>
    <w:rsid w:val="00D10DA6"/>
    <w:rsid w:val="00D14B80"/>
    <w:rsid w:val="00D1584C"/>
    <w:rsid w:val="00D20BB2"/>
    <w:rsid w:val="00D21193"/>
    <w:rsid w:val="00D22227"/>
    <w:rsid w:val="00D23C1A"/>
    <w:rsid w:val="00D23C52"/>
    <w:rsid w:val="00D23CEE"/>
    <w:rsid w:val="00D26BF7"/>
    <w:rsid w:val="00D27615"/>
    <w:rsid w:val="00D2797F"/>
    <w:rsid w:val="00D3070B"/>
    <w:rsid w:val="00D30980"/>
    <w:rsid w:val="00D34741"/>
    <w:rsid w:val="00D34C00"/>
    <w:rsid w:val="00D35C19"/>
    <w:rsid w:val="00D364E2"/>
    <w:rsid w:val="00D37C8F"/>
    <w:rsid w:val="00D37ED4"/>
    <w:rsid w:val="00D42B1F"/>
    <w:rsid w:val="00D4336B"/>
    <w:rsid w:val="00D45CB3"/>
    <w:rsid w:val="00D54DBB"/>
    <w:rsid w:val="00D55D97"/>
    <w:rsid w:val="00D56D64"/>
    <w:rsid w:val="00D57542"/>
    <w:rsid w:val="00D61425"/>
    <w:rsid w:val="00D639B0"/>
    <w:rsid w:val="00D647E2"/>
    <w:rsid w:val="00D65DFD"/>
    <w:rsid w:val="00D67874"/>
    <w:rsid w:val="00D67C26"/>
    <w:rsid w:val="00D70C16"/>
    <w:rsid w:val="00D71697"/>
    <w:rsid w:val="00D750B5"/>
    <w:rsid w:val="00D8328D"/>
    <w:rsid w:val="00D853DA"/>
    <w:rsid w:val="00D90CB4"/>
    <w:rsid w:val="00D926BF"/>
    <w:rsid w:val="00D96810"/>
    <w:rsid w:val="00D96D77"/>
    <w:rsid w:val="00D9720E"/>
    <w:rsid w:val="00D97554"/>
    <w:rsid w:val="00DA3BED"/>
    <w:rsid w:val="00DA6306"/>
    <w:rsid w:val="00DA69F3"/>
    <w:rsid w:val="00DA7721"/>
    <w:rsid w:val="00DB2A21"/>
    <w:rsid w:val="00DB2F95"/>
    <w:rsid w:val="00DB41E3"/>
    <w:rsid w:val="00DB4891"/>
    <w:rsid w:val="00DC1AA5"/>
    <w:rsid w:val="00DC2589"/>
    <w:rsid w:val="00DC2A0C"/>
    <w:rsid w:val="00DC45BA"/>
    <w:rsid w:val="00DC6982"/>
    <w:rsid w:val="00DD202B"/>
    <w:rsid w:val="00DD5877"/>
    <w:rsid w:val="00DD6E93"/>
    <w:rsid w:val="00DE1BB1"/>
    <w:rsid w:val="00DE55BD"/>
    <w:rsid w:val="00DE55F9"/>
    <w:rsid w:val="00DE7CF7"/>
    <w:rsid w:val="00DF3398"/>
    <w:rsid w:val="00DF3AFE"/>
    <w:rsid w:val="00DF6A9C"/>
    <w:rsid w:val="00E01480"/>
    <w:rsid w:val="00E01E76"/>
    <w:rsid w:val="00E04D16"/>
    <w:rsid w:val="00E05FA8"/>
    <w:rsid w:val="00E12F1C"/>
    <w:rsid w:val="00E14374"/>
    <w:rsid w:val="00E14844"/>
    <w:rsid w:val="00E14B3B"/>
    <w:rsid w:val="00E22FFA"/>
    <w:rsid w:val="00E307F0"/>
    <w:rsid w:val="00E30D44"/>
    <w:rsid w:val="00E317AC"/>
    <w:rsid w:val="00E32201"/>
    <w:rsid w:val="00E33FBA"/>
    <w:rsid w:val="00E350CF"/>
    <w:rsid w:val="00E352F1"/>
    <w:rsid w:val="00E47E60"/>
    <w:rsid w:val="00E50173"/>
    <w:rsid w:val="00E51D70"/>
    <w:rsid w:val="00E53872"/>
    <w:rsid w:val="00E55085"/>
    <w:rsid w:val="00E55299"/>
    <w:rsid w:val="00E64C7C"/>
    <w:rsid w:val="00E67560"/>
    <w:rsid w:val="00E7047F"/>
    <w:rsid w:val="00E73FA2"/>
    <w:rsid w:val="00E756D7"/>
    <w:rsid w:val="00E762AC"/>
    <w:rsid w:val="00E7790C"/>
    <w:rsid w:val="00E83607"/>
    <w:rsid w:val="00E838B8"/>
    <w:rsid w:val="00E87D8C"/>
    <w:rsid w:val="00E94721"/>
    <w:rsid w:val="00E953F1"/>
    <w:rsid w:val="00E97047"/>
    <w:rsid w:val="00EA016D"/>
    <w:rsid w:val="00EA2FBE"/>
    <w:rsid w:val="00EA3689"/>
    <w:rsid w:val="00EA467A"/>
    <w:rsid w:val="00EA511C"/>
    <w:rsid w:val="00EA562A"/>
    <w:rsid w:val="00EA5FF2"/>
    <w:rsid w:val="00EA78F6"/>
    <w:rsid w:val="00EC035A"/>
    <w:rsid w:val="00EC0577"/>
    <w:rsid w:val="00EC1817"/>
    <w:rsid w:val="00EC499A"/>
    <w:rsid w:val="00EC6621"/>
    <w:rsid w:val="00ED3B34"/>
    <w:rsid w:val="00ED43F1"/>
    <w:rsid w:val="00ED477D"/>
    <w:rsid w:val="00EE23EC"/>
    <w:rsid w:val="00EE3EEC"/>
    <w:rsid w:val="00EE4258"/>
    <w:rsid w:val="00EE5244"/>
    <w:rsid w:val="00EE5D90"/>
    <w:rsid w:val="00EE7A70"/>
    <w:rsid w:val="00EF37B8"/>
    <w:rsid w:val="00EF434E"/>
    <w:rsid w:val="00EF47D2"/>
    <w:rsid w:val="00EF72BD"/>
    <w:rsid w:val="00F035A8"/>
    <w:rsid w:val="00F0361B"/>
    <w:rsid w:val="00F0445A"/>
    <w:rsid w:val="00F12420"/>
    <w:rsid w:val="00F13BC5"/>
    <w:rsid w:val="00F166AC"/>
    <w:rsid w:val="00F208ED"/>
    <w:rsid w:val="00F22A00"/>
    <w:rsid w:val="00F246DD"/>
    <w:rsid w:val="00F25A3B"/>
    <w:rsid w:val="00F2727B"/>
    <w:rsid w:val="00F36FC2"/>
    <w:rsid w:val="00F4467D"/>
    <w:rsid w:val="00F4549D"/>
    <w:rsid w:val="00F47247"/>
    <w:rsid w:val="00F51FB1"/>
    <w:rsid w:val="00F5299E"/>
    <w:rsid w:val="00F60845"/>
    <w:rsid w:val="00F609EA"/>
    <w:rsid w:val="00F62316"/>
    <w:rsid w:val="00F66F7A"/>
    <w:rsid w:val="00F7061C"/>
    <w:rsid w:val="00F7653F"/>
    <w:rsid w:val="00F76D0F"/>
    <w:rsid w:val="00F8078A"/>
    <w:rsid w:val="00F82C3D"/>
    <w:rsid w:val="00F83DDA"/>
    <w:rsid w:val="00F85EC5"/>
    <w:rsid w:val="00F9070C"/>
    <w:rsid w:val="00F908D3"/>
    <w:rsid w:val="00F91526"/>
    <w:rsid w:val="00F960A4"/>
    <w:rsid w:val="00FA0C44"/>
    <w:rsid w:val="00FA4E3E"/>
    <w:rsid w:val="00FA56F5"/>
    <w:rsid w:val="00FA6031"/>
    <w:rsid w:val="00FA61F6"/>
    <w:rsid w:val="00FA70C6"/>
    <w:rsid w:val="00FB3472"/>
    <w:rsid w:val="00FB37F6"/>
    <w:rsid w:val="00FB57FD"/>
    <w:rsid w:val="00FC0D18"/>
    <w:rsid w:val="00FC2055"/>
    <w:rsid w:val="00FC218B"/>
    <w:rsid w:val="00FC2D14"/>
    <w:rsid w:val="00FC40EF"/>
    <w:rsid w:val="00FC4746"/>
    <w:rsid w:val="00FC4EFF"/>
    <w:rsid w:val="00FC55E9"/>
    <w:rsid w:val="00FC61B8"/>
    <w:rsid w:val="00FC652F"/>
    <w:rsid w:val="00FC6954"/>
    <w:rsid w:val="00FC7AAC"/>
    <w:rsid w:val="00FD0D8E"/>
    <w:rsid w:val="00FD1BC4"/>
    <w:rsid w:val="00FD44E8"/>
    <w:rsid w:val="00FD4683"/>
    <w:rsid w:val="00FD5D77"/>
    <w:rsid w:val="00FD7BB8"/>
    <w:rsid w:val="00FE4283"/>
    <w:rsid w:val="00FE70BA"/>
    <w:rsid w:val="00FF089F"/>
    <w:rsid w:val="00FF2B6F"/>
    <w:rsid w:val="00FF4688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242EE-F569-4ED6-821C-1DF9016F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F1A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Heading 2_sj,List Paragraph1,Listenabsatz1"/>
    <w:basedOn w:val="Standaard"/>
    <w:link w:val="LijstalineaChar"/>
    <w:uiPriority w:val="34"/>
    <w:qFormat/>
    <w:rsid w:val="00F0361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D3832"/>
    <w:rPr>
      <w:color w:val="0000FF" w:themeColor="hyperlink"/>
      <w:u w:val="single"/>
    </w:rPr>
  </w:style>
  <w:style w:type="paragraph" w:styleId="Voetnoottekst">
    <w:name w:val="footnote text"/>
    <w:aliases w:val="M Footnotes"/>
    <w:basedOn w:val="Standaard"/>
    <w:link w:val="VoetnoottekstChar"/>
    <w:uiPriority w:val="99"/>
    <w:unhideWhenUsed/>
    <w:qFormat/>
    <w:rsid w:val="005D3832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/>
    </w:rPr>
  </w:style>
  <w:style w:type="character" w:customStyle="1" w:styleId="VoetnoottekstChar">
    <w:name w:val="Voetnoottekst Char"/>
    <w:aliases w:val="M Footnotes Char"/>
    <w:basedOn w:val="Standaardalinea-lettertype"/>
    <w:link w:val="Voetnoottekst"/>
    <w:uiPriority w:val="99"/>
    <w:rsid w:val="005D3832"/>
    <w:rPr>
      <w:rFonts w:ascii="Calibri" w:eastAsia="Calibri" w:hAnsi="Calibri" w:cs="Times New Roman"/>
      <w:sz w:val="20"/>
      <w:szCs w:val="20"/>
      <w:lang w:val="de-DE"/>
    </w:rPr>
  </w:style>
  <w:style w:type="paragraph" w:customStyle="1" w:styleId="Tablecontents">
    <w:name w:val="Table contents"/>
    <w:basedOn w:val="Standaard"/>
    <w:uiPriority w:val="99"/>
    <w:qFormat/>
    <w:rsid w:val="000F1AFE"/>
    <w:pPr>
      <w:spacing w:before="60" w:after="60" w:line="240" w:lineRule="auto"/>
      <w:jc w:val="both"/>
    </w:pPr>
    <w:rPr>
      <w:rFonts w:ascii="Calibri" w:eastAsia="Times New Roman" w:hAnsi="Calibri" w:cs="Times New Roman"/>
      <w:sz w:val="18"/>
      <w:lang w:val="en-GB"/>
    </w:rPr>
  </w:style>
  <w:style w:type="character" w:styleId="Voetnootmarkering">
    <w:name w:val="footnote reference"/>
    <w:aliases w:val="SUPERS,stylish,BVI fnr,Footnote symbol,Footnote Refernece,callout,16 Point,Superscript 6 Point,Odwołanie przypisu,Footnote Reference Number,Footnote Reference Superscript,Times 10 Point,Exposant 3 Point,Ref,de nota al pie,FR, BVI fnr"/>
    <w:uiPriority w:val="99"/>
    <w:unhideWhenUsed/>
    <w:qFormat/>
    <w:rsid w:val="000F1AFE"/>
    <w:rPr>
      <w:vertAlign w:val="superscript"/>
    </w:rPr>
  </w:style>
  <w:style w:type="paragraph" w:customStyle="1" w:styleId="Tableheader">
    <w:name w:val="Table header"/>
    <w:basedOn w:val="Tablecontents"/>
    <w:uiPriority w:val="99"/>
    <w:qFormat/>
    <w:rsid w:val="000F1AFE"/>
    <w:rPr>
      <w:b/>
      <w:sz w:val="22"/>
    </w:rPr>
  </w:style>
  <w:style w:type="character" w:customStyle="1" w:styleId="Kop1Char">
    <w:name w:val="Kop 1 Char"/>
    <w:basedOn w:val="Standaardalinea-lettertype"/>
    <w:link w:val="Kop1"/>
    <w:uiPriority w:val="9"/>
    <w:rsid w:val="000F1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LijstalineaChar">
    <w:name w:val="Lijstalinea Char"/>
    <w:aliases w:val="Heading 2_sj Char,List Paragraph1 Char,Listenabsatz1 Char"/>
    <w:link w:val="Lijstalinea"/>
    <w:uiPriority w:val="34"/>
    <w:locked/>
    <w:rsid w:val="000F1AFE"/>
  </w:style>
  <w:style w:type="character" w:styleId="Verwijzingopmerking">
    <w:name w:val="annotation reference"/>
    <w:basedOn w:val="Standaardalinea-lettertype"/>
    <w:uiPriority w:val="99"/>
    <w:semiHidden/>
    <w:unhideWhenUsed/>
    <w:rsid w:val="00B51C1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51C1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51C1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51C1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1C1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1C1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420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ADFAA-76B4-4430-8E02-99B12224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1658</Words>
  <Characters>9457</Characters>
  <Application>Microsoft Office Word</Application>
  <DocSecurity>0</DocSecurity>
  <Lines>78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ARCADIS Belgium</Company>
  <LinksUpToDate>false</LinksUpToDate>
  <CharactersWithSpaces>11093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mariab</dc:creator>
  <cp:lastModifiedBy>Rommens, Wouter</cp:lastModifiedBy>
  <cp:revision>2</cp:revision>
  <dcterms:created xsi:type="dcterms:W3CDTF">2015-12-16T18:14:00Z</dcterms:created>
  <dcterms:modified xsi:type="dcterms:W3CDTF">2015-12-16T18:14:00Z</dcterms:modified>
</cp:coreProperties>
</file>