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8375" w14:textId="77777777" w:rsidR="00F7653F" w:rsidRPr="00D33701" w:rsidRDefault="005D3832" w:rsidP="00583D8D">
      <w:pPr>
        <w:rPr>
          <w:rFonts w:ascii="Arial" w:hAnsi="Arial" w:cs="Arial"/>
          <w:b/>
          <w:sz w:val="20"/>
          <w:szCs w:val="20"/>
          <w:lang w:val="en-GB"/>
        </w:rPr>
      </w:pPr>
      <w:r w:rsidRPr="00D33701">
        <w:rPr>
          <w:rFonts w:ascii="Arial" w:hAnsi="Arial" w:cs="Arial"/>
          <w:b/>
          <w:sz w:val="20"/>
          <w:szCs w:val="20"/>
          <w:lang w:val="en-GB"/>
        </w:rPr>
        <w:t>Factsheet</w:t>
      </w:r>
      <w:r w:rsidR="00663774" w:rsidRPr="00D33701">
        <w:rPr>
          <w:rFonts w:ascii="Arial" w:hAnsi="Arial" w:cs="Arial"/>
          <w:b/>
          <w:sz w:val="20"/>
          <w:szCs w:val="20"/>
          <w:lang w:val="en-GB"/>
        </w:rPr>
        <w:t xml:space="preserve"> for new measures</w:t>
      </w:r>
    </w:p>
    <w:p w14:paraId="3C9CC591" w14:textId="77777777" w:rsidR="00687FA0" w:rsidRPr="00D33701" w:rsidRDefault="0042570F" w:rsidP="00583D8D">
      <w:pPr>
        <w:rPr>
          <w:rFonts w:ascii="Arial" w:hAnsi="Arial" w:cs="Arial"/>
          <w:i/>
          <w:sz w:val="20"/>
          <w:szCs w:val="20"/>
          <w:lang w:val="en-GB"/>
        </w:rPr>
      </w:pPr>
      <w:r w:rsidRPr="00D33701">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w:t>
      </w:r>
      <w:proofErr w:type="spellStart"/>
      <w:r w:rsidRPr="00D33701">
        <w:rPr>
          <w:rFonts w:ascii="Arial" w:hAnsi="Arial" w:cs="Arial"/>
          <w:i/>
          <w:sz w:val="20"/>
          <w:szCs w:val="20"/>
          <w:lang w:val="en-GB"/>
        </w:rPr>
        <w:t>Intersus</w:t>
      </w:r>
      <w:proofErr w:type="spellEnd"/>
      <w:r w:rsidRPr="00D33701">
        <w:rPr>
          <w:rFonts w:ascii="Arial" w:hAnsi="Arial" w:cs="Arial"/>
          <w:i/>
          <w:sz w:val="20"/>
          <w:szCs w:val="20"/>
          <w:lang w:val="en-GB"/>
        </w:rPr>
        <w:t>, and the EC project (DG Environment) 'Technical and administrative support for the joint implementation of the Marine Strategy Framework Directive (MSFD) in Bulgaria and Romania – Phase 2', carried out by ARCADIS-Belgium.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568"/>
      </w:tblGrid>
      <w:tr w:rsidR="00D33701" w:rsidRPr="00D33701" w14:paraId="19DB707E" w14:textId="77777777" w:rsidTr="00D33701">
        <w:tc>
          <w:tcPr>
            <w:tcW w:w="2376" w:type="dxa"/>
            <w:shd w:val="clear" w:color="auto" w:fill="1F497D" w:themeFill="text2"/>
          </w:tcPr>
          <w:p w14:paraId="65543001"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r w:rsidRPr="00D33701">
              <w:rPr>
                <w:rFonts w:ascii="Arial" w:hAnsi="Arial" w:cs="Arial"/>
                <w:b/>
                <w:color w:val="FFFFFF" w:themeColor="background1"/>
                <w:sz w:val="20"/>
                <w:szCs w:val="20"/>
                <w:lang w:val="en-GB"/>
              </w:rPr>
              <w:t xml:space="preserve">Measure characteristics </w:t>
            </w:r>
          </w:p>
          <w:p w14:paraId="69C27884"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64965E35"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r w:rsidRPr="00D33701">
              <w:rPr>
                <w:rFonts w:ascii="Arial" w:hAnsi="Arial" w:cs="Arial"/>
                <w:b/>
                <w:color w:val="FFFFFF" w:themeColor="background1"/>
                <w:sz w:val="20"/>
                <w:szCs w:val="20"/>
                <w:lang w:val="en-GB"/>
              </w:rPr>
              <w:t>Management area:</w:t>
            </w:r>
          </w:p>
          <w:p w14:paraId="77A8F390" w14:textId="77777777" w:rsidR="005D3832" w:rsidRPr="00D33701"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D33701">
              <w:rPr>
                <w:rFonts w:ascii="Arial" w:hAnsi="Arial" w:cs="Arial"/>
                <w:b/>
                <w:i/>
                <w:color w:val="FFFFFF" w:themeColor="background1"/>
                <w:sz w:val="20"/>
                <w:szCs w:val="20"/>
                <w:lang w:val="en-GB"/>
              </w:rPr>
              <w:t>Black Sea</w:t>
            </w:r>
          </w:p>
          <w:p w14:paraId="2794D320" w14:textId="77777777" w:rsidR="005D3832" w:rsidRPr="00D33701" w:rsidRDefault="005D3832" w:rsidP="00E41209">
            <w:pPr>
              <w:spacing w:before="60" w:after="60" w:line="240" w:lineRule="auto"/>
              <w:rPr>
                <w:rFonts w:ascii="Arial" w:hAnsi="Arial" w:cs="Arial"/>
                <w:b/>
                <w:i/>
                <w:color w:val="FFFFFF" w:themeColor="background1"/>
                <w:sz w:val="20"/>
                <w:szCs w:val="20"/>
                <w:lang w:val="en-GB"/>
              </w:rPr>
            </w:pPr>
          </w:p>
          <w:p w14:paraId="13743730" w14:textId="77777777" w:rsidR="005D3832" w:rsidRPr="00D33701" w:rsidRDefault="005D3832" w:rsidP="00E41209">
            <w:pPr>
              <w:spacing w:before="60" w:after="60" w:line="240" w:lineRule="auto"/>
              <w:rPr>
                <w:rFonts w:ascii="Arial" w:hAnsi="Arial" w:cs="Arial"/>
                <w:b/>
                <w:i/>
                <w:color w:val="FFFFFF" w:themeColor="background1"/>
                <w:sz w:val="20"/>
                <w:szCs w:val="20"/>
                <w:lang w:val="en-GB"/>
              </w:rPr>
            </w:pPr>
            <w:r w:rsidRPr="00D33701">
              <w:rPr>
                <w:rFonts w:ascii="Arial" w:hAnsi="Arial" w:cs="Arial"/>
                <w:b/>
                <w:i/>
                <w:color w:val="FFFFFF" w:themeColor="background1"/>
                <w:sz w:val="20"/>
                <w:szCs w:val="20"/>
                <w:lang w:val="en-GB"/>
              </w:rPr>
              <w:t>Any other codes</w:t>
            </w:r>
          </w:p>
        </w:tc>
        <w:tc>
          <w:tcPr>
            <w:tcW w:w="2568" w:type="dxa"/>
            <w:shd w:val="clear" w:color="auto" w:fill="1F497D" w:themeFill="text2"/>
          </w:tcPr>
          <w:p w14:paraId="6C75E7A1"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r w:rsidRPr="00D33701">
              <w:rPr>
                <w:rFonts w:ascii="Arial" w:hAnsi="Arial" w:cs="Arial"/>
                <w:b/>
                <w:color w:val="FFFFFF" w:themeColor="background1"/>
                <w:sz w:val="20"/>
                <w:szCs w:val="20"/>
                <w:lang w:val="en-GB"/>
              </w:rPr>
              <w:t>Code:</w:t>
            </w:r>
          </w:p>
          <w:p w14:paraId="0243F85D" w14:textId="77777777" w:rsidR="005D3832" w:rsidRPr="00D33701" w:rsidRDefault="005D3832" w:rsidP="00E41209">
            <w:pPr>
              <w:spacing w:before="60" w:after="60" w:line="240" w:lineRule="auto"/>
              <w:rPr>
                <w:rFonts w:ascii="Arial" w:hAnsi="Arial" w:cs="Arial"/>
                <w:b/>
                <w:i/>
                <w:color w:val="FFFFFF" w:themeColor="background1"/>
                <w:sz w:val="20"/>
                <w:szCs w:val="20"/>
                <w:lang w:val="en-GB"/>
              </w:rPr>
            </w:pPr>
            <w:r w:rsidRPr="00D33701">
              <w:rPr>
                <w:rFonts w:ascii="Arial" w:hAnsi="Arial" w:cs="Arial"/>
                <w:b/>
                <w:i/>
                <w:color w:val="FFFFFF" w:themeColor="background1"/>
                <w:sz w:val="20"/>
                <w:szCs w:val="20"/>
                <w:lang w:val="en-GB"/>
              </w:rPr>
              <w:t>MSFD reporting code</w:t>
            </w:r>
          </w:p>
          <w:p w14:paraId="049BB86B"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p>
          <w:p w14:paraId="64FE8FED" w14:textId="77777777" w:rsidR="005D3832" w:rsidRPr="00D33701" w:rsidRDefault="005D3832" w:rsidP="00E41209">
            <w:pPr>
              <w:spacing w:before="60" w:after="60" w:line="240" w:lineRule="auto"/>
              <w:rPr>
                <w:rFonts w:ascii="Arial" w:hAnsi="Arial" w:cs="Arial"/>
                <w:b/>
                <w:color w:val="FFFFFF" w:themeColor="background1"/>
                <w:sz w:val="20"/>
                <w:szCs w:val="20"/>
                <w:lang w:val="en-GB"/>
              </w:rPr>
            </w:pPr>
            <w:r w:rsidRPr="00D33701">
              <w:rPr>
                <w:rFonts w:ascii="Arial" w:hAnsi="Arial" w:cs="Arial"/>
                <w:b/>
                <w:color w:val="FFFFFF" w:themeColor="background1"/>
                <w:sz w:val="20"/>
                <w:szCs w:val="20"/>
                <w:lang w:val="en-GB"/>
              </w:rPr>
              <w:t>No. of measure:</w:t>
            </w:r>
          </w:p>
          <w:p w14:paraId="14E46AA1" w14:textId="1E8951C2" w:rsidR="005D3832" w:rsidRPr="00D33701" w:rsidRDefault="00746F00" w:rsidP="00E41209">
            <w:pPr>
              <w:spacing w:before="60" w:after="60" w:line="240" w:lineRule="auto"/>
              <w:rPr>
                <w:rFonts w:ascii="Arial" w:hAnsi="Arial" w:cs="Arial"/>
                <w:b/>
                <w:i/>
                <w:color w:val="FFFFFF" w:themeColor="background1"/>
                <w:sz w:val="20"/>
                <w:szCs w:val="20"/>
                <w:lang w:val="en-GB"/>
              </w:rPr>
            </w:pPr>
            <w:r w:rsidRPr="00D33701">
              <w:rPr>
                <w:rFonts w:ascii="Arial" w:hAnsi="Arial" w:cs="Arial"/>
                <w:b/>
                <w:i/>
                <w:color w:val="FFFFFF" w:themeColor="background1"/>
                <w:sz w:val="20"/>
                <w:szCs w:val="20"/>
                <w:lang w:val="en-GB"/>
              </w:rPr>
              <w:t>2</w:t>
            </w:r>
          </w:p>
        </w:tc>
      </w:tr>
      <w:tr w:rsidR="005D3832" w:rsidRPr="00C34F01" w14:paraId="30BAC934" w14:textId="77777777" w:rsidTr="00544060">
        <w:trPr>
          <w:trHeight w:val="1265"/>
        </w:trPr>
        <w:tc>
          <w:tcPr>
            <w:tcW w:w="2376" w:type="dxa"/>
            <w:shd w:val="clear" w:color="auto" w:fill="auto"/>
          </w:tcPr>
          <w:p w14:paraId="127748A0"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Measure title</w:t>
            </w:r>
          </w:p>
        </w:tc>
        <w:tc>
          <w:tcPr>
            <w:tcW w:w="7405" w:type="dxa"/>
            <w:gridSpan w:val="2"/>
            <w:shd w:val="clear" w:color="auto" w:fill="auto"/>
          </w:tcPr>
          <w:p w14:paraId="0529D41B" w14:textId="7AB478B5" w:rsidR="00673549" w:rsidRPr="00D33701" w:rsidRDefault="00C61051" w:rsidP="000B67FF">
            <w:pPr>
              <w:rPr>
                <w:rFonts w:ascii="Arial" w:hAnsi="Arial" w:cs="Arial"/>
                <w:sz w:val="20"/>
                <w:szCs w:val="20"/>
                <w:lang w:val="bg-BG"/>
              </w:rPr>
            </w:pPr>
            <w:r w:rsidRPr="00D33701">
              <w:rPr>
                <w:rFonts w:ascii="Arial" w:hAnsi="Arial" w:cs="Arial"/>
                <w:sz w:val="20"/>
                <w:szCs w:val="20"/>
                <w:lang w:val="en-GB"/>
              </w:rPr>
              <w:t>Introduction of ecolabelling (based on of existing relevant ecolabels)</w:t>
            </w:r>
            <w:r w:rsidR="009749D7" w:rsidRPr="00D33701">
              <w:rPr>
                <w:rFonts w:ascii="Arial" w:hAnsi="Arial" w:cs="Arial"/>
                <w:sz w:val="20"/>
                <w:szCs w:val="20"/>
                <w:lang w:val="en-GB"/>
              </w:rPr>
              <w:t xml:space="preserve"> related to aquaculture (e.g. Blue mussels)</w:t>
            </w:r>
          </w:p>
        </w:tc>
      </w:tr>
      <w:tr w:rsidR="00A55560" w:rsidRPr="00D33701" w14:paraId="181BD40C" w14:textId="77777777" w:rsidTr="00152372">
        <w:tc>
          <w:tcPr>
            <w:tcW w:w="2376" w:type="dxa"/>
            <w:shd w:val="clear" w:color="auto" w:fill="auto"/>
          </w:tcPr>
          <w:p w14:paraId="08C5AEFA" w14:textId="77777777" w:rsidR="00A55560" w:rsidRPr="00D33701" w:rsidRDefault="00A55560"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Short, precise description of the measure</w:t>
            </w:r>
          </w:p>
        </w:tc>
        <w:tc>
          <w:tcPr>
            <w:tcW w:w="7405" w:type="dxa"/>
            <w:gridSpan w:val="2"/>
            <w:shd w:val="clear" w:color="auto" w:fill="auto"/>
          </w:tcPr>
          <w:p w14:paraId="6C6D11FC" w14:textId="77777777" w:rsidR="009749D7" w:rsidRPr="00D33701" w:rsidRDefault="009749D7" w:rsidP="009749D7">
            <w:pPr>
              <w:spacing w:after="0" w:line="240" w:lineRule="auto"/>
              <w:rPr>
                <w:rFonts w:ascii="Arial" w:hAnsi="Arial" w:cs="Arial"/>
                <w:sz w:val="20"/>
                <w:szCs w:val="20"/>
                <w:lang w:val="en-GB"/>
              </w:rPr>
            </w:pPr>
            <w:r w:rsidRPr="00D33701">
              <w:rPr>
                <w:rFonts w:ascii="Arial" w:hAnsi="Arial" w:cs="Arial"/>
                <w:sz w:val="20"/>
                <w:szCs w:val="20"/>
                <w:lang w:val="en-GB"/>
              </w:rPr>
              <w:t>Ecolabelling is a market-based mechanism designed to incentivize aquaculture management with potential market rewards,</w:t>
            </w:r>
          </w:p>
          <w:p w14:paraId="2F57E390" w14:textId="77777777" w:rsidR="009749D7" w:rsidRPr="00D33701" w:rsidRDefault="009749D7" w:rsidP="009749D7">
            <w:pPr>
              <w:spacing w:after="0" w:line="240" w:lineRule="auto"/>
              <w:rPr>
                <w:rFonts w:ascii="Arial" w:hAnsi="Arial" w:cs="Arial"/>
                <w:sz w:val="20"/>
                <w:szCs w:val="20"/>
                <w:lang w:val="en-GB"/>
              </w:rPr>
            </w:pPr>
            <w:r w:rsidRPr="00D33701">
              <w:rPr>
                <w:rFonts w:ascii="Arial" w:hAnsi="Arial" w:cs="Arial"/>
                <w:sz w:val="20"/>
                <w:szCs w:val="20"/>
                <w:lang w:val="en-GB"/>
              </w:rPr>
              <w:t xml:space="preserve">The measure aims to develop ecolabelling schemes for promoting sustainability of aquaculture and bring together elements of the market, industry, environmental interests and communities. An appropriate ecolabelling measure can facilitate the access on the new markets, consolidation or expansion of the market share on existing markets, greater credibility and increased earning through potential price premium. </w:t>
            </w:r>
          </w:p>
          <w:p w14:paraId="59C1DE42" w14:textId="77777777" w:rsidR="009749D7" w:rsidRPr="00D33701" w:rsidRDefault="009749D7" w:rsidP="009749D7">
            <w:pPr>
              <w:spacing w:after="0" w:line="240" w:lineRule="auto"/>
              <w:rPr>
                <w:rFonts w:ascii="Arial" w:hAnsi="Arial" w:cs="Arial"/>
                <w:sz w:val="20"/>
                <w:szCs w:val="20"/>
                <w:lang w:val="en-GB"/>
              </w:rPr>
            </w:pPr>
            <w:r w:rsidRPr="00D33701">
              <w:rPr>
                <w:rFonts w:ascii="Arial" w:hAnsi="Arial" w:cs="Arial"/>
                <w:sz w:val="20"/>
                <w:szCs w:val="20"/>
                <w:lang w:val="en-GB"/>
              </w:rPr>
              <w:t>Following actions are required for developing the measure:</w:t>
            </w:r>
          </w:p>
          <w:p w14:paraId="7D7866BC" w14:textId="77777777" w:rsidR="009749D7" w:rsidRPr="00D33701" w:rsidRDefault="009749D7" w:rsidP="009749D7">
            <w:pPr>
              <w:spacing w:after="0" w:line="240" w:lineRule="auto"/>
              <w:rPr>
                <w:rFonts w:ascii="Arial" w:hAnsi="Arial" w:cs="Arial"/>
                <w:sz w:val="20"/>
                <w:szCs w:val="20"/>
                <w:lang w:val="en-GB"/>
              </w:rPr>
            </w:pPr>
            <w:r w:rsidRPr="00D33701">
              <w:rPr>
                <w:rFonts w:ascii="Arial" w:hAnsi="Arial" w:cs="Arial"/>
                <w:sz w:val="20"/>
                <w:szCs w:val="20"/>
                <w:lang w:val="en-GB"/>
              </w:rPr>
              <w:t xml:space="preserve">2.1. setting up Working Groups </w:t>
            </w:r>
          </w:p>
          <w:p w14:paraId="0F0A358F" w14:textId="77777777" w:rsidR="009749D7" w:rsidRPr="00D33701" w:rsidRDefault="009749D7" w:rsidP="009749D7">
            <w:pPr>
              <w:spacing w:after="0" w:line="240" w:lineRule="auto"/>
              <w:rPr>
                <w:rFonts w:ascii="Arial" w:hAnsi="Arial" w:cs="Arial"/>
                <w:sz w:val="20"/>
                <w:szCs w:val="20"/>
                <w:lang w:val="en-GB"/>
              </w:rPr>
            </w:pPr>
            <w:r w:rsidRPr="00D33701">
              <w:rPr>
                <w:rFonts w:ascii="Arial" w:hAnsi="Arial" w:cs="Arial"/>
                <w:sz w:val="20"/>
                <w:szCs w:val="20"/>
                <w:lang w:val="en-GB"/>
              </w:rPr>
              <w:t>2.2. development of public awareness campaigns</w:t>
            </w:r>
          </w:p>
          <w:p w14:paraId="3A9658EE" w14:textId="0E72995E" w:rsidR="00C1363C" w:rsidRPr="00D33701" w:rsidRDefault="009749D7" w:rsidP="00C1363C">
            <w:pPr>
              <w:spacing w:after="0" w:line="240" w:lineRule="auto"/>
              <w:rPr>
                <w:rFonts w:ascii="Arial" w:hAnsi="Arial" w:cs="Arial"/>
                <w:sz w:val="20"/>
                <w:szCs w:val="20"/>
                <w:lang w:val="bg-BG"/>
              </w:rPr>
            </w:pPr>
            <w:r w:rsidRPr="00D33701">
              <w:rPr>
                <w:rFonts w:ascii="Arial" w:hAnsi="Arial" w:cs="Arial"/>
                <w:sz w:val="20"/>
                <w:szCs w:val="20"/>
                <w:lang w:val="en-GB"/>
              </w:rPr>
              <w:t>2.3. implementation (including permanent promotion material)</w:t>
            </w:r>
          </w:p>
          <w:p w14:paraId="69688E75" w14:textId="77777777" w:rsidR="009749D7" w:rsidRPr="00D33701" w:rsidRDefault="009749D7" w:rsidP="00C1363C">
            <w:pPr>
              <w:spacing w:after="0" w:line="240" w:lineRule="auto"/>
              <w:rPr>
                <w:rFonts w:ascii="Arial" w:hAnsi="Arial" w:cs="Arial"/>
                <w:sz w:val="20"/>
                <w:szCs w:val="20"/>
                <w:lang w:val="bg-BG"/>
              </w:rPr>
            </w:pPr>
          </w:p>
          <w:p w14:paraId="22D6738E" w14:textId="7A53B68D" w:rsidR="00A55560" w:rsidRPr="00D33701" w:rsidRDefault="00A55560" w:rsidP="006921CC">
            <w:pPr>
              <w:spacing w:after="60" w:line="240" w:lineRule="auto"/>
              <w:rPr>
                <w:rFonts w:ascii="Arial" w:hAnsi="Arial" w:cs="Arial"/>
                <w:sz w:val="20"/>
                <w:szCs w:val="20"/>
                <w:lang w:val="bg-BG"/>
              </w:rPr>
            </w:pPr>
          </w:p>
        </w:tc>
      </w:tr>
      <w:tr w:rsidR="009D45F8" w:rsidRPr="00D33701" w14:paraId="7ADEF630" w14:textId="77777777" w:rsidTr="00152372">
        <w:tc>
          <w:tcPr>
            <w:tcW w:w="2376" w:type="dxa"/>
            <w:shd w:val="clear" w:color="auto" w:fill="auto"/>
          </w:tcPr>
          <w:p w14:paraId="7EA29271" w14:textId="77777777" w:rsidR="009D45F8" w:rsidRPr="00D33701" w:rsidRDefault="009D45F8" w:rsidP="00664B7F">
            <w:pPr>
              <w:spacing w:before="60" w:after="60" w:line="240" w:lineRule="auto"/>
              <w:rPr>
                <w:rFonts w:ascii="Arial" w:hAnsi="Arial" w:cs="Arial"/>
                <w:b/>
                <w:sz w:val="20"/>
                <w:szCs w:val="20"/>
                <w:lang w:val="en-GB"/>
              </w:rPr>
            </w:pPr>
            <w:r w:rsidRPr="00D33701">
              <w:rPr>
                <w:rFonts w:ascii="Arial" w:hAnsi="Arial" w:cs="Arial"/>
                <w:b/>
                <w:sz w:val="20"/>
                <w:szCs w:val="20"/>
                <w:lang w:val="en-GB"/>
              </w:rPr>
              <w:t>EU measure category</w:t>
            </w:r>
          </w:p>
        </w:tc>
        <w:tc>
          <w:tcPr>
            <w:tcW w:w="7405" w:type="dxa"/>
            <w:gridSpan w:val="2"/>
            <w:shd w:val="clear" w:color="auto" w:fill="auto"/>
          </w:tcPr>
          <w:p w14:paraId="490FB6A7" w14:textId="77777777" w:rsidR="009D45F8" w:rsidRPr="00D33701" w:rsidRDefault="00F170F9" w:rsidP="00F170F9">
            <w:pPr>
              <w:spacing w:before="60" w:after="60"/>
              <w:rPr>
                <w:rFonts w:ascii="Arial" w:hAnsi="Arial" w:cs="Arial"/>
                <w:sz w:val="20"/>
                <w:szCs w:val="20"/>
                <w:lang w:val="en-GB"/>
              </w:rPr>
            </w:pPr>
            <w:r w:rsidRPr="00D33701">
              <w:rPr>
                <w:rFonts w:ascii="Arial" w:hAnsi="Arial" w:cs="Arial"/>
                <w:sz w:val="20"/>
                <w:szCs w:val="20"/>
                <w:lang w:val="en-GB"/>
              </w:rPr>
              <w:t>2a</w:t>
            </w:r>
          </w:p>
        </w:tc>
      </w:tr>
      <w:tr w:rsidR="005D3832" w:rsidRPr="00C34F01" w14:paraId="1552C426" w14:textId="77777777" w:rsidTr="00152372">
        <w:tc>
          <w:tcPr>
            <w:tcW w:w="2376" w:type="dxa"/>
            <w:shd w:val="clear" w:color="auto" w:fill="auto"/>
          </w:tcPr>
          <w:p w14:paraId="56978141" w14:textId="77777777" w:rsidR="005D3832" w:rsidRPr="00D33701" w:rsidRDefault="000F1AFE" w:rsidP="000F1AFE">
            <w:pPr>
              <w:spacing w:before="60" w:after="60" w:line="240" w:lineRule="auto"/>
              <w:rPr>
                <w:rFonts w:ascii="Arial" w:hAnsi="Arial" w:cs="Arial"/>
                <w:b/>
                <w:sz w:val="20"/>
                <w:szCs w:val="20"/>
                <w:lang w:val="en-GB"/>
              </w:rPr>
            </w:pPr>
            <w:r w:rsidRPr="00D33701">
              <w:rPr>
                <w:rFonts w:ascii="Arial" w:hAnsi="Arial" w:cs="Arial"/>
                <w:b/>
                <w:sz w:val="20"/>
                <w:szCs w:val="20"/>
                <w:lang w:val="en-GB"/>
              </w:rPr>
              <w:t>Key Types of Measures</w:t>
            </w:r>
          </w:p>
        </w:tc>
        <w:tc>
          <w:tcPr>
            <w:tcW w:w="7405" w:type="dxa"/>
            <w:gridSpan w:val="2"/>
            <w:shd w:val="clear" w:color="auto" w:fill="auto"/>
          </w:tcPr>
          <w:p w14:paraId="4737801C" w14:textId="2316FFA8" w:rsidR="00544060" w:rsidRPr="00D33701" w:rsidRDefault="00544060" w:rsidP="00E41209">
            <w:pPr>
              <w:spacing w:before="60" w:after="60" w:line="240" w:lineRule="auto"/>
              <w:rPr>
                <w:rFonts w:ascii="Arial" w:hAnsi="Arial" w:cs="Arial"/>
                <w:sz w:val="20"/>
                <w:szCs w:val="20"/>
                <w:lang w:val="en-US"/>
              </w:rPr>
            </w:pPr>
            <w:r w:rsidRPr="00D33701">
              <w:rPr>
                <w:rFonts w:ascii="Arial" w:hAnsi="Arial" w:cs="Arial"/>
                <w:sz w:val="20"/>
                <w:szCs w:val="20"/>
                <w:lang w:val="en-US"/>
              </w:rPr>
              <w:t>KTM 31 Measures to reduce contamination by hazardous substances (synthetic substances, non-synthetic substances, radio-nuclides) and the systematic and/or intentional release of substances in the marine environment from sea-based or air-based sources</w:t>
            </w:r>
          </w:p>
          <w:p w14:paraId="1169724E" w14:textId="43BCC739" w:rsidR="009749D7" w:rsidRPr="00D33701" w:rsidRDefault="009749D7" w:rsidP="00E41209">
            <w:pPr>
              <w:spacing w:before="60" w:after="60" w:line="240" w:lineRule="auto"/>
              <w:rPr>
                <w:rFonts w:ascii="Arial" w:hAnsi="Arial" w:cs="Arial"/>
                <w:sz w:val="20"/>
                <w:szCs w:val="20"/>
                <w:lang w:val="en-US"/>
              </w:rPr>
            </w:pPr>
            <w:r w:rsidRPr="00D33701">
              <w:rPr>
                <w:rFonts w:ascii="Arial" w:hAnsi="Arial" w:cs="Arial"/>
                <w:sz w:val="20"/>
                <w:szCs w:val="20"/>
                <w:lang w:val="en-US"/>
              </w:rPr>
              <w:t>KTM 36 - Measures to reduce other types of biological disturbance, including death, injury, disturbance, translocation of native marine species, the introduction of microbial pathogens and the introduction of genetically-modified individuals of marine species (e.g. from aquaculture)</w:t>
            </w:r>
          </w:p>
        </w:tc>
      </w:tr>
      <w:tr w:rsidR="005D3832" w:rsidRPr="00C34F01" w14:paraId="2A915682" w14:textId="77777777" w:rsidTr="00152372">
        <w:trPr>
          <w:trHeight w:val="489"/>
        </w:trPr>
        <w:tc>
          <w:tcPr>
            <w:tcW w:w="2376" w:type="dxa"/>
            <w:shd w:val="clear" w:color="auto" w:fill="auto"/>
          </w:tcPr>
          <w:p w14:paraId="233BA6EB"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Environmental targets</w:t>
            </w:r>
          </w:p>
        </w:tc>
        <w:tc>
          <w:tcPr>
            <w:tcW w:w="7405" w:type="dxa"/>
            <w:gridSpan w:val="2"/>
            <w:shd w:val="clear" w:color="auto" w:fill="auto"/>
          </w:tcPr>
          <w:p w14:paraId="72F524FC" w14:textId="77777777" w:rsidR="00CF05BE" w:rsidRDefault="00CF05BE" w:rsidP="00673549">
            <w:pPr>
              <w:pStyle w:val="Plattetekst"/>
              <w:spacing w:line="240" w:lineRule="auto"/>
              <w:rPr>
                <w:rFonts w:ascii="Arial" w:hAnsi="Arial" w:cs="Arial"/>
                <w:b/>
                <w:sz w:val="20"/>
                <w:szCs w:val="20"/>
                <w:lang w:val="en-GB"/>
              </w:rPr>
            </w:pPr>
            <w:r>
              <w:rPr>
                <w:rFonts w:ascii="Arial" w:hAnsi="Arial" w:cs="Arial"/>
                <w:b/>
                <w:sz w:val="20"/>
                <w:szCs w:val="20"/>
                <w:lang w:val="en-GB"/>
              </w:rPr>
              <w:t>RO targets</w:t>
            </w:r>
          </w:p>
          <w:p w14:paraId="1B35C4FE" w14:textId="77777777" w:rsidR="00CF05BE" w:rsidRPr="001349F1" w:rsidRDefault="00CF05BE" w:rsidP="00CF05BE">
            <w:pPr>
              <w:pStyle w:val="Plattetekst"/>
              <w:jc w:val="both"/>
              <w:rPr>
                <w:rFonts w:ascii="Arial" w:hAnsi="Arial" w:cs="Arial"/>
                <w:sz w:val="20"/>
                <w:szCs w:val="20"/>
                <w:lang w:val="en-GB"/>
              </w:rPr>
            </w:pPr>
            <w:r w:rsidRPr="001349F1">
              <w:rPr>
                <w:rFonts w:ascii="Arial" w:hAnsi="Arial" w:cs="Arial"/>
                <w:sz w:val="20"/>
                <w:szCs w:val="20"/>
                <w:lang w:val="en-GB"/>
              </w:rPr>
              <w:t xml:space="preserve">9.1.1. The levels of heavy metals (Cu, Cd, </w:t>
            </w:r>
            <w:proofErr w:type="spellStart"/>
            <w:r w:rsidRPr="001349F1">
              <w:rPr>
                <w:rFonts w:ascii="Arial" w:hAnsi="Arial" w:cs="Arial"/>
                <w:sz w:val="20"/>
                <w:szCs w:val="20"/>
                <w:lang w:val="en-GB"/>
              </w:rPr>
              <w:t>Pb</w:t>
            </w:r>
            <w:proofErr w:type="spellEnd"/>
            <w:r w:rsidRPr="001349F1">
              <w:rPr>
                <w:rFonts w:ascii="Arial" w:hAnsi="Arial" w:cs="Arial"/>
                <w:sz w:val="20"/>
                <w:szCs w:val="20"/>
                <w:lang w:val="en-GB"/>
              </w:rPr>
              <w:t xml:space="preserve">, Ni, and Cr) in fish and shellfish for human consumption are maintained below the thresholds values regulated by European legislation (REGULATION (EC) no. 1881/2006 setting maximum levels for certain contaminants in foodstuffs (including shellfish and fish), as amended by: Regulation (EC) no. 1126/2007; Regulation (EC) no. 565/2008; Regulation (EC) no. 629/2008; Regulation (EU) No. 105/2010; Regulation (EU) No. 165/2010).                              </w:t>
            </w:r>
          </w:p>
          <w:p w14:paraId="78D2F75F" w14:textId="77777777" w:rsidR="00CF05BE" w:rsidRPr="001349F1" w:rsidRDefault="00CF05BE" w:rsidP="00CF05BE">
            <w:pPr>
              <w:pStyle w:val="Plattetekst"/>
              <w:jc w:val="both"/>
              <w:rPr>
                <w:rFonts w:ascii="Arial" w:hAnsi="Arial" w:cs="Arial"/>
                <w:sz w:val="20"/>
                <w:szCs w:val="20"/>
                <w:lang w:val="en-GB"/>
              </w:rPr>
            </w:pPr>
            <w:r w:rsidRPr="001349F1">
              <w:rPr>
                <w:rFonts w:ascii="Arial" w:hAnsi="Arial" w:cs="Arial"/>
                <w:sz w:val="20"/>
                <w:szCs w:val="20"/>
                <w:lang w:val="en-GB"/>
              </w:rPr>
              <w:t xml:space="preserve">The levels of sum of 6 PCBs (PCB28, PCB52, PCB101, PCB138, PCB153, and PCB 180) are maintained below the thresholds values regulated by European legislation (REGULATION (EC) no. 1881/2006 setting maximum levels for certain contaminants in foodstuffs (including shellfish and fish), as amended by Regulation (EC) no. 1259/2011).                                                                                                            The levels of organochlorine pesticides (HCB, </w:t>
            </w:r>
            <w:proofErr w:type="spellStart"/>
            <w:r w:rsidRPr="001349F1">
              <w:rPr>
                <w:rFonts w:ascii="Arial" w:hAnsi="Arial" w:cs="Arial"/>
                <w:sz w:val="20"/>
                <w:szCs w:val="20"/>
                <w:lang w:val="en-GB"/>
              </w:rPr>
              <w:t>lindane</w:t>
            </w:r>
            <w:proofErr w:type="spellEnd"/>
            <w:r w:rsidRPr="001349F1">
              <w:rPr>
                <w:rFonts w:ascii="Arial" w:hAnsi="Arial" w:cs="Arial"/>
                <w:sz w:val="20"/>
                <w:szCs w:val="20"/>
                <w:lang w:val="en-GB"/>
              </w:rPr>
              <w:t xml:space="preserve">, </w:t>
            </w:r>
            <w:proofErr w:type="spellStart"/>
            <w:r w:rsidRPr="001349F1">
              <w:rPr>
                <w:rFonts w:ascii="Arial" w:hAnsi="Arial" w:cs="Arial"/>
                <w:sz w:val="20"/>
                <w:szCs w:val="20"/>
                <w:lang w:val="en-GB"/>
              </w:rPr>
              <w:t>aldrin</w:t>
            </w:r>
            <w:proofErr w:type="spellEnd"/>
            <w:r w:rsidRPr="001349F1">
              <w:rPr>
                <w:rFonts w:ascii="Arial" w:hAnsi="Arial" w:cs="Arial"/>
                <w:sz w:val="20"/>
                <w:szCs w:val="20"/>
                <w:lang w:val="en-GB"/>
              </w:rPr>
              <w:t xml:space="preserve">, </w:t>
            </w:r>
            <w:proofErr w:type="spellStart"/>
            <w:r w:rsidRPr="001349F1">
              <w:rPr>
                <w:rFonts w:ascii="Arial" w:hAnsi="Arial" w:cs="Arial"/>
                <w:sz w:val="20"/>
                <w:szCs w:val="20"/>
                <w:lang w:val="en-GB"/>
              </w:rPr>
              <w:t>endrin</w:t>
            </w:r>
            <w:proofErr w:type="spellEnd"/>
            <w:r w:rsidRPr="001349F1">
              <w:rPr>
                <w:rFonts w:ascii="Arial" w:hAnsi="Arial" w:cs="Arial"/>
                <w:sz w:val="20"/>
                <w:szCs w:val="20"/>
                <w:lang w:val="en-GB"/>
              </w:rPr>
              <w:t xml:space="preserve">, </w:t>
            </w:r>
            <w:proofErr w:type="spellStart"/>
            <w:r w:rsidRPr="001349F1">
              <w:rPr>
                <w:rFonts w:ascii="Arial" w:hAnsi="Arial" w:cs="Arial"/>
                <w:sz w:val="20"/>
                <w:szCs w:val="20"/>
                <w:lang w:val="en-GB"/>
              </w:rPr>
              <w:t>dieldrin</w:t>
            </w:r>
            <w:proofErr w:type="spellEnd"/>
            <w:r w:rsidRPr="001349F1">
              <w:rPr>
                <w:rFonts w:ascii="Arial" w:hAnsi="Arial" w:cs="Arial"/>
                <w:sz w:val="20"/>
                <w:szCs w:val="20"/>
                <w:lang w:val="en-GB"/>
              </w:rPr>
              <w:t xml:space="preserve">, </w:t>
            </w:r>
            <w:proofErr w:type="spellStart"/>
            <w:r w:rsidRPr="001349F1">
              <w:rPr>
                <w:rFonts w:ascii="Arial" w:hAnsi="Arial" w:cs="Arial"/>
                <w:sz w:val="20"/>
                <w:szCs w:val="20"/>
                <w:lang w:val="en-GB"/>
              </w:rPr>
              <w:t>p,p</w:t>
            </w:r>
            <w:proofErr w:type="spellEnd"/>
            <w:r w:rsidRPr="001349F1">
              <w:rPr>
                <w:rFonts w:ascii="Arial" w:hAnsi="Arial" w:cs="Arial"/>
                <w:sz w:val="20"/>
                <w:szCs w:val="20"/>
                <w:lang w:val="en-GB"/>
              </w:rPr>
              <w:t xml:space="preserve">’ DDE, </w:t>
            </w:r>
            <w:proofErr w:type="spellStart"/>
            <w:r w:rsidRPr="001349F1">
              <w:rPr>
                <w:rFonts w:ascii="Arial" w:hAnsi="Arial" w:cs="Arial"/>
                <w:sz w:val="20"/>
                <w:szCs w:val="20"/>
                <w:lang w:val="en-GB"/>
              </w:rPr>
              <w:t>p,p</w:t>
            </w:r>
            <w:proofErr w:type="spellEnd"/>
            <w:r w:rsidRPr="001349F1">
              <w:rPr>
                <w:rFonts w:ascii="Arial" w:hAnsi="Arial" w:cs="Arial"/>
                <w:sz w:val="20"/>
                <w:szCs w:val="20"/>
                <w:lang w:val="en-GB"/>
              </w:rPr>
              <w:t xml:space="preserve">’ DDD, </w:t>
            </w:r>
            <w:proofErr w:type="spellStart"/>
            <w:r w:rsidRPr="001349F1">
              <w:rPr>
                <w:rFonts w:ascii="Arial" w:hAnsi="Arial" w:cs="Arial"/>
                <w:sz w:val="20"/>
                <w:szCs w:val="20"/>
                <w:lang w:val="en-GB"/>
              </w:rPr>
              <w:t>p,p</w:t>
            </w:r>
            <w:proofErr w:type="spellEnd"/>
            <w:r w:rsidRPr="001349F1">
              <w:rPr>
                <w:rFonts w:ascii="Arial" w:hAnsi="Arial" w:cs="Arial"/>
                <w:sz w:val="20"/>
                <w:szCs w:val="20"/>
                <w:lang w:val="en-GB"/>
              </w:rPr>
              <w:t xml:space="preserve">’ DDT) are maintained below the thresholds values regulated </w:t>
            </w:r>
            <w:proofErr w:type="spellStart"/>
            <w:r w:rsidRPr="001349F1">
              <w:rPr>
                <w:rFonts w:ascii="Arial" w:hAnsi="Arial" w:cs="Arial"/>
                <w:sz w:val="20"/>
                <w:szCs w:val="20"/>
                <w:lang w:val="en-GB"/>
              </w:rPr>
              <w:t>bt</w:t>
            </w:r>
            <w:proofErr w:type="spellEnd"/>
            <w:r w:rsidRPr="001349F1">
              <w:rPr>
                <w:rFonts w:ascii="Arial" w:hAnsi="Arial" w:cs="Arial"/>
                <w:sz w:val="20"/>
                <w:szCs w:val="20"/>
                <w:lang w:val="en-GB"/>
              </w:rPr>
              <w:t xml:space="preserve"> national legislation (Order 147/2004 for the approval of veterinary rules and food safety in terms of pesticide residues in animal and non-animal </w:t>
            </w:r>
            <w:r w:rsidRPr="001349F1">
              <w:rPr>
                <w:rFonts w:ascii="Arial" w:hAnsi="Arial" w:cs="Arial"/>
                <w:sz w:val="20"/>
                <w:szCs w:val="20"/>
                <w:lang w:val="en-GB"/>
              </w:rPr>
              <w:lastRenderedPageBreak/>
              <w:t xml:space="preserve">products and veterinary drug residues in animal products).                                                                               </w:t>
            </w:r>
          </w:p>
          <w:p w14:paraId="5068F311" w14:textId="77777777" w:rsidR="00CF05BE" w:rsidRPr="001349F1" w:rsidRDefault="00CF05BE" w:rsidP="00CF05BE">
            <w:pPr>
              <w:pStyle w:val="Plattetekst"/>
              <w:jc w:val="both"/>
              <w:rPr>
                <w:rFonts w:ascii="Arial" w:hAnsi="Arial" w:cs="Arial"/>
                <w:sz w:val="20"/>
                <w:szCs w:val="20"/>
                <w:lang w:val="en-GB"/>
              </w:rPr>
            </w:pPr>
            <w:r w:rsidRPr="001349F1">
              <w:rPr>
                <w:rFonts w:ascii="Arial" w:hAnsi="Arial" w:cs="Arial"/>
                <w:sz w:val="20"/>
                <w:szCs w:val="20"/>
                <w:lang w:val="en-GB"/>
              </w:rPr>
              <w:t xml:space="preserve"> The levels of PAHs (benzo(a)</w:t>
            </w:r>
            <w:proofErr w:type="spellStart"/>
            <w:r w:rsidRPr="001349F1">
              <w:rPr>
                <w:rFonts w:ascii="Arial" w:hAnsi="Arial" w:cs="Arial"/>
                <w:sz w:val="20"/>
                <w:szCs w:val="20"/>
                <w:lang w:val="en-GB"/>
              </w:rPr>
              <w:t>piren</w:t>
            </w:r>
            <w:proofErr w:type="spellEnd"/>
            <w:r w:rsidRPr="001349F1">
              <w:rPr>
                <w:rFonts w:ascii="Arial" w:hAnsi="Arial" w:cs="Arial"/>
                <w:sz w:val="20"/>
                <w:szCs w:val="20"/>
                <w:lang w:val="en-GB"/>
              </w:rPr>
              <w:t>) are maintained below the thresholds values regulated by European legislation (REGULATION (EC) no. 1881/2006 setting maximum levels for certain contaminants in foodstuffs (including shellfish and fish)).</w:t>
            </w:r>
          </w:p>
          <w:p w14:paraId="6541C13E" w14:textId="77777777" w:rsidR="00CF05BE" w:rsidRPr="00C43040" w:rsidRDefault="00CF05BE" w:rsidP="00CF05BE">
            <w:pPr>
              <w:pStyle w:val="Plattetekst"/>
              <w:jc w:val="both"/>
              <w:rPr>
                <w:rFonts w:ascii="Arial" w:hAnsi="Arial" w:cs="Arial"/>
                <w:sz w:val="20"/>
                <w:szCs w:val="20"/>
                <w:lang w:val="en-GB"/>
              </w:rPr>
            </w:pPr>
            <w:r w:rsidRPr="00C43040">
              <w:rPr>
                <w:rFonts w:ascii="Arial" w:hAnsi="Arial" w:cs="Arial"/>
                <w:sz w:val="20"/>
                <w:szCs w:val="20"/>
                <w:lang w:val="en-GB"/>
              </w:rPr>
              <w:t xml:space="preserve">9.1.2 No more than 25% of all samples investigated in a year exceed the regulated levels for heavy metals; no more than 5% of all samples investigated in a year exceed the regulated levels for the sum of PCBs, PAHs and organochlorine pesticides. </w:t>
            </w:r>
          </w:p>
          <w:p w14:paraId="269F6135" w14:textId="77777777" w:rsidR="00CF05BE" w:rsidRPr="00C43040" w:rsidRDefault="00CF05BE" w:rsidP="00CF05BE">
            <w:pPr>
              <w:pStyle w:val="Plattetekst"/>
              <w:jc w:val="both"/>
              <w:rPr>
                <w:rFonts w:ascii="Arial" w:hAnsi="Arial" w:cs="Arial"/>
                <w:sz w:val="20"/>
                <w:szCs w:val="20"/>
                <w:lang w:val="en-GB"/>
              </w:rPr>
            </w:pPr>
            <w:r w:rsidRPr="00C43040">
              <w:rPr>
                <w:rFonts w:ascii="Arial" w:hAnsi="Arial" w:cs="Arial"/>
                <w:sz w:val="20"/>
                <w:szCs w:val="20"/>
                <w:lang w:val="en-GB"/>
              </w:rPr>
              <w:t>Regulated levels of heavy metals, PAHs and PCBs by European legislation: REGULATION (EC) no. 1881/2006 setting maximum levels for certain contaminants in foodstuffs (including shellfish and fish), as amended by: Regulation (EC) no. 1126/2007; Regulation (EC) no. 565/2008; Regulation (EC) no. 629/2008; Regulation (EU) No. 105/2010; Regulation (EU) No. 165/2010; Regulation (EC) no. 1259/2011.</w:t>
            </w:r>
          </w:p>
          <w:p w14:paraId="6469536C" w14:textId="77777777" w:rsidR="00CF05BE" w:rsidRPr="00C43040" w:rsidRDefault="00CF05BE" w:rsidP="00CF05BE">
            <w:pPr>
              <w:pStyle w:val="Plattetekst"/>
              <w:spacing w:line="240" w:lineRule="auto"/>
              <w:rPr>
                <w:rFonts w:ascii="Arial" w:hAnsi="Arial" w:cs="Arial"/>
                <w:sz w:val="20"/>
                <w:szCs w:val="20"/>
                <w:lang w:val="en-GB"/>
              </w:rPr>
            </w:pPr>
            <w:r w:rsidRPr="00C43040">
              <w:rPr>
                <w:rFonts w:ascii="Arial" w:hAnsi="Arial" w:cs="Arial"/>
                <w:sz w:val="20"/>
                <w:szCs w:val="20"/>
                <w:lang w:val="en-GB"/>
              </w:rPr>
              <w:t>Levels of organochlorine pesticides regulated by national legislation: Order 147/2004 for the approval of veterinary rules and food safety in terms of pesticide residues in animal and non-animal products and veterinary drug residues in animal products.</w:t>
            </w:r>
          </w:p>
          <w:p w14:paraId="4EC6D757" w14:textId="77777777" w:rsidR="00CF05BE" w:rsidRDefault="00CF05BE" w:rsidP="00CF05BE">
            <w:pPr>
              <w:pStyle w:val="Plattetekst"/>
              <w:spacing w:line="240" w:lineRule="auto"/>
              <w:rPr>
                <w:rFonts w:ascii="Arial" w:hAnsi="Arial" w:cs="Arial"/>
                <w:lang w:val="en-GB"/>
              </w:rPr>
            </w:pPr>
          </w:p>
          <w:p w14:paraId="3D3FFBF9" w14:textId="77777777" w:rsidR="00CF05BE" w:rsidRDefault="00CF05BE" w:rsidP="00CF05BE">
            <w:pPr>
              <w:pStyle w:val="Plattetekst"/>
              <w:spacing w:line="240" w:lineRule="auto"/>
              <w:rPr>
                <w:rFonts w:ascii="Arial" w:hAnsi="Arial" w:cs="Arial"/>
                <w:lang w:val="en-GB"/>
              </w:rPr>
            </w:pPr>
            <w:r>
              <w:rPr>
                <w:rFonts w:ascii="Arial" w:hAnsi="Arial" w:cs="Arial"/>
                <w:lang w:val="en-GB"/>
              </w:rPr>
              <w:t>BG</w:t>
            </w:r>
          </w:p>
          <w:p w14:paraId="2AE5D037" w14:textId="37B25098" w:rsidR="00673549" w:rsidRPr="00D33701" w:rsidRDefault="00673549" w:rsidP="00CF05BE">
            <w:pPr>
              <w:pStyle w:val="Plattetekst"/>
              <w:spacing w:line="240" w:lineRule="auto"/>
              <w:rPr>
                <w:rFonts w:ascii="Arial" w:hAnsi="Arial" w:cs="Arial"/>
                <w:sz w:val="20"/>
                <w:szCs w:val="20"/>
                <w:lang w:val="en-GB"/>
              </w:rPr>
            </w:pPr>
            <w:r w:rsidRPr="00D33701">
              <w:rPr>
                <w:rFonts w:ascii="Arial" w:hAnsi="Arial" w:cs="Arial"/>
                <w:b/>
                <w:sz w:val="20"/>
                <w:szCs w:val="20"/>
                <w:lang w:val="en-GB"/>
              </w:rPr>
              <w:t>9.1.1 Targets for fish species</w:t>
            </w:r>
            <w:r w:rsidRPr="00D33701">
              <w:rPr>
                <w:rFonts w:ascii="Arial" w:hAnsi="Arial" w:cs="Arial"/>
                <w:sz w:val="20"/>
                <w:szCs w:val="20"/>
                <w:lang w:val="en-GB"/>
              </w:rPr>
              <w:t xml:space="preserve"> – The levels of contaminants in the following fish species: </w:t>
            </w:r>
            <w:r w:rsidRPr="00D33701">
              <w:rPr>
                <w:rStyle w:val="Zwaar"/>
                <w:rFonts w:ascii="Arial" w:hAnsi="Arial" w:cs="Arial"/>
                <w:b w:val="0"/>
                <w:sz w:val="20"/>
                <w:szCs w:val="20"/>
              </w:rPr>
              <w:t>Е</w:t>
            </w:r>
            <w:proofErr w:type="spellStart"/>
            <w:r w:rsidRPr="00D33701">
              <w:rPr>
                <w:rStyle w:val="Zwaar"/>
                <w:rFonts w:ascii="Arial" w:hAnsi="Arial" w:cs="Arial"/>
                <w:b w:val="0"/>
                <w:sz w:val="20"/>
                <w:szCs w:val="20"/>
                <w:lang w:val="en-GB"/>
              </w:rPr>
              <w:t>uropean</w:t>
            </w:r>
            <w:proofErr w:type="spellEnd"/>
            <w:r w:rsidRPr="00D33701">
              <w:rPr>
                <w:rFonts w:ascii="Arial" w:hAnsi="Arial" w:cs="Arial"/>
                <w:sz w:val="20"/>
                <w:szCs w:val="20"/>
                <w:lang w:val="en-GB"/>
              </w:rPr>
              <w:t xml:space="preserve"> sprat (</w:t>
            </w:r>
            <w:proofErr w:type="spellStart"/>
            <w:r w:rsidRPr="00D33701">
              <w:rPr>
                <w:rFonts w:ascii="Arial" w:hAnsi="Arial" w:cs="Arial"/>
                <w:i/>
                <w:sz w:val="20"/>
                <w:szCs w:val="20"/>
                <w:lang w:val="en-GB"/>
              </w:rPr>
              <w:t>Sprattus</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sprattus</w:t>
            </w:r>
            <w:proofErr w:type="spellEnd"/>
            <w:r w:rsidRPr="00D33701">
              <w:rPr>
                <w:rFonts w:ascii="Arial" w:hAnsi="Arial" w:cs="Arial"/>
                <w:i/>
                <w:sz w:val="20"/>
                <w:szCs w:val="20"/>
                <w:lang w:val="en-GB"/>
              </w:rPr>
              <w:t xml:space="preserve"> </w:t>
            </w:r>
            <w:r w:rsidRPr="00D33701">
              <w:rPr>
                <w:rStyle w:val="Nadruk"/>
                <w:rFonts w:ascii="Arial" w:hAnsi="Arial" w:cs="Arial"/>
                <w:b/>
                <w:bCs/>
                <w:sz w:val="20"/>
                <w:szCs w:val="20"/>
                <w:lang w:val="en-GB"/>
              </w:rPr>
              <w:t xml:space="preserve"> </w:t>
            </w:r>
            <w:proofErr w:type="spellStart"/>
            <w:r w:rsidRPr="00D33701">
              <w:rPr>
                <w:rStyle w:val="Nadruk"/>
                <w:rFonts w:ascii="Arial" w:hAnsi="Arial" w:cs="Arial"/>
                <w:bCs/>
                <w:sz w:val="20"/>
                <w:szCs w:val="20"/>
                <w:lang w:val="en-GB"/>
              </w:rPr>
              <w:t>sulinus</w:t>
            </w:r>
            <w:proofErr w:type="spellEnd"/>
            <w:r w:rsidRPr="00D33701">
              <w:rPr>
                <w:rFonts w:ascii="Arial" w:hAnsi="Arial" w:cs="Arial"/>
                <w:sz w:val="20"/>
                <w:szCs w:val="20"/>
                <w:lang w:val="en-GB"/>
              </w:rPr>
              <w:t>), Anchovy (</w:t>
            </w:r>
            <w:proofErr w:type="spellStart"/>
            <w:r w:rsidRPr="00D33701">
              <w:rPr>
                <w:rFonts w:ascii="Arial" w:hAnsi="Arial" w:cs="Arial"/>
                <w:i/>
                <w:iCs/>
                <w:sz w:val="20"/>
                <w:szCs w:val="20"/>
                <w:lang w:val="en-GB"/>
              </w:rPr>
              <w:t>Engraulis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encrasicholus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ponticus</w:t>
            </w:r>
            <w:proofErr w:type="spellEnd"/>
            <w:r w:rsidRPr="00D33701">
              <w:rPr>
                <w:rFonts w:ascii="Arial" w:hAnsi="Arial" w:cs="Arial"/>
                <w:sz w:val="20"/>
                <w:szCs w:val="20"/>
                <w:lang w:val="en-GB"/>
              </w:rPr>
              <w:t>), Turbot (</w:t>
            </w:r>
            <w:proofErr w:type="spellStart"/>
            <w:r w:rsidRPr="00D33701">
              <w:rPr>
                <w:rFonts w:ascii="Arial" w:hAnsi="Arial" w:cs="Arial"/>
                <w:i/>
                <w:sz w:val="20"/>
                <w:szCs w:val="20"/>
                <w:lang w:val="en-GB"/>
              </w:rPr>
              <w:t>Psetta</w:t>
            </w:r>
            <w:proofErr w:type="spellEnd"/>
            <w:r w:rsidRPr="00D33701">
              <w:rPr>
                <w:rFonts w:ascii="Arial" w:hAnsi="Arial" w:cs="Arial"/>
                <w:i/>
                <w:sz w:val="20"/>
                <w:szCs w:val="20"/>
                <w:lang w:val="en-GB"/>
              </w:rPr>
              <w:t xml:space="preserve"> maxima </w:t>
            </w:r>
            <w:proofErr w:type="spellStart"/>
            <w:r w:rsidRPr="00D33701">
              <w:rPr>
                <w:rFonts w:ascii="Arial" w:hAnsi="Arial" w:cs="Arial"/>
                <w:i/>
                <w:sz w:val="20"/>
                <w:szCs w:val="20"/>
                <w:lang w:val="en-GB"/>
              </w:rPr>
              <w:t>maeotica</w:t>
            </w:r>
            <w:proofErr w:type="spellEnd"/>
            <w:r w:rsidRPr="00D33701">
              <w:rPr>
                <w:rFonts w:ascii="Arial" w:hAnsi="Arial" w:cs="Arial"/>
                <w:sz w:val="20"/>
                <w:szCs w:val="20"/>
                <w:lang w:val="en-GB"/>
              </w:rPr>
              <w:t xml:space="preserve">), </w:t>
            </w:r>
            <w:r w:rsidRPr="00D33701">
              <w:rPr>
                <w:rFonts w:ascii="Arial" w:hAnsi="Arial" w:cs="Arial"/>
                <w:sz w:val="20"/>
                <w:szCs w:val="20"/>
                <w:lang w:val="en"/>
              </w:rPr>
              <w:t>Blue</w:t>
            </w:r>
            <w:r w:rsidRPr="00D33701">
              <w:rPr>
                <w:rFonts w:ascii="Arial" w:hAnsi="Arial" w:cs="Arial"/>
                <w:sz w:val="20"/>
                <w:szCs w:val="20"/>
                <w:lang w:val="en-GB"/>
              </w:rPr>
              <w:t xml:space="preserve"> whiting (</w:t>
            </w:r>
            <w:proofErr w:type="spellStart"/>
            <w:r w:rsidRPr="00D33701">
              <w:rPr>
                <w:rFonts w:ascii="Arial" w:hAnsi="Arial" w:cs="Arial"/>
                <w:i/>
                <w:sz w:val="20"/>
                <w:szCs w:val="20"/>
                <w:lang w:val="en-GB"/>
              </w:rPr>
              <w:t>Merlangius</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merlangus</w:t>
            </w:r>
            <w:proofErr w:type="spellEnd"/>
            <w:r w:rsidRPr="00D33701">
              <w:rPr>
                <w:rFonts w:ascii="Arial" w:hAnsi="Arial" w:cs="Arial"/>
                <w:sz w:val="20"/>
                <w:szCs w:val="20"/>
                <w:lang w:val="en-GB"/>
              </w:rPr>
              <w:t xml:space="preserve">), </w:t>
            </w:r>
            <w:r w:rsidRPr="00D33701">
              <w:rPr>
                <w:rFonts w:ascii="Arial" w:hAnsi="Arial" w:cs="Arial"/>
                <w:iCs/>
                <w:color w:val="000000"/>
                <w:sz w:val="20"/>
                <w:szCs w:val="20"/>
                <w:lang w:val="en-GB"/>
              </w:rPr>
              <w:t xml:space="preserve">Spiny dogfish </w:t>
            </w:r>
            <w:r w:rsidRPr="00D33701">
              <w:rPr>
                <w:rFonts w:ascii="Arial" w:eastAsia="MS Mincho" w:hAnsi="Arial" w:cs="Arial"/>
                <w:iCs/>
                <w:color w:val="000000"/>
                <w:sz w:val="20"/>
                <w:szCs w:val="20"/>
                <w:shd w:val="clear" w:color="auto" w:fill="FFFFFF"/>
                <w:lang w:val="en-GB" w:eastAsia="ja-JP"/>
              </w:rPr>
              <w:t>(</w:t>
            </w:r>
            <w:r w:rsidRPr="00D33701">
              <w:rPr>
                <w:rFonts w:ascii="Arial" w:hAnsi="Arial" w:cs="Arial"/>
                <w:i/>
                <w:iCs/>
                <w:color w:val="000000"/>
                <w:sz w:val="20"/>
                <w:szCs w:val="20"/>
                <w:shd w:val="clear" w:color="auto" w:fill="FFFFFF"/>
                <w:lang w:val="en-GB"/>
              </w:rPr>
              <w:t xml:space="preserve">Squalus </w:t>
            </w:r>
            <w:proofErr w:type="spellStart"/>
            <w:r w:rsidRPr="00D33701">
              <w:rPr>
                <w:rFonts w:ascii="Arial" w:hAnsi="Arial" w:cs="Arial"/>
                <w:i/>
                <w:iCs/>
                <w:color w:val="000000"/>
                <w:sz w:val="20"/>
                <w:szCs w:val="20"/>
                <w:shd w:val="clear" w:color="auto" w:fill="FFFFFF"/>
                <w:lang w:val="en-GB"/>
              </w:rPr>
              <w:t>acanthias</w:t>
            </w:r>
            <w:proofErr w:type="spellEnd"/>
            <w:r w:rsidRPr="00D33701">
              <w:rPr>
                <w:rFonts w:ascii="Arial" w:hAnsi="Arial" w:cs="Arial"/>
                <w:color w:val="000000"/>
                <w:sz w:val="20"/>
                <w:szCs w:val="20"/>
                <w:shd w:val="clear" w:color="auto" w:fill="FFFFFF"/>
                <w:lang w:val="en-GB"/>
              </w:rPr>
              <w:t>)</w:t>
            </w:r>
            <w:r w:rsidRPr="00D33701">
              <w:rPr>
                <w:rFonts w:ascii="Arial" w:eastAsia="MS Mincho" w:hAnsi="Arial" w:cs="Arial"/>
                <w:color w:val="000000"/>
                <w:sz w:val="20"/>
                <w:szCs w:val="20"/>
                <w:shd w:val="clear" w:color="auto" w:fill="FFFFFF"/>
                <w:lang w:val="en-GB" w:eastAsia="ja-JP"/>
              </w:rPr>
              <w:t xml:space="preserve">, </w:t>
            </w:r>
            <w:r w:rsidRPr="00D33701">
              <w:rPr>
                <w:rFonts w:ascii="Arial" w:hAnsi="Arial" w:cs="Arial"/>
                <w:sz w:val="20"/>
                <w:szCs w:val="20"/>
                <w:lang w:val="en-GB"/>
              </w:rPr>
              <w:t>Goby (</w:t>
            </w:r>
            <w:proofErr w:type="spellStart"/>
            <w:r w:rsidRPr="00D33701">
              <w:rPr>
                <w:rFonts w:ascii="Arial" w:hAnsi="Arial" w:cs="Arial"/>
                <w:i/>
                <w:sz w:val="20"/>
                <w:szCs w:val="20"/>
                <w:lang w:val="en-GB"/>
              </w:rPr>
              <w:t>Neogobius</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melanostomus</w:t>
            </w:r>
            <w:proofErr w:type="spellEnd"/>
            <w:r w:rsidRPr="00D33701">
              <w:rPr>
                <w:rFonts w:ascii="Arial" w:hAnsi="Arial" w:cs="Arial"/>
                <w:sz w:val="20"/>
                <w:szCs w:val="20"/>
                <w:lang w:val="en-GB"/>
              </w:rPr>
              <w:t>)</w:t>
            </w:r>
            <w:r w:rsidRPr="00D33701">
              <w:rPr>
                <w:rFonts w:ascii="Arial" w:eastAsia="MS Mincho" w:hAnsi="Arial" w:cs="Arial"/>
                <w:bCs/>
                <w:iCs/>
                <w:sz w:val="20"/>
                <w:szCs w:val="20"/>
                <w:lang w:val="en-GB" w:eastAsia="ja-JP"/>
              </w:rPr>
              <w:t>, Bonito</w:t>
            </w:r>
            <w:r w:rsidRPr="00D33701">
              <w:rPr>
                <w:rFonts w:ascii="Arial" w:hAnsi="Arial" w:cs="Arial"/>
                <w:bCs/>
                <w:iCs/>
                <w:sz w:val="20"/>
                <w:szCs w:val="20"/>
                <w:lang w:val="en-GB"/>
              </w:rPr>
              <w:t xml:space="preserve"> (</w:t>
            </w:r>
            <w:proofErr w:type="spellStart"/>
            <w:r w:rsidRPr="00D33701">
              <w:rPr>
                <w:rFonts w:ascii="Arial" w:hAnsi="Arial" w:cs="Arial"/>
                <w:bCs/>
                <w:i/>
                <w:iCs/>
                <w:sz w:val="20"/>
                <w:szCs w:val="20"/>
                <w:lang w:val="en-GB"/>
              </w:rPr>
              <w:t>Sarda</w:t>
            </w:r>
            <w:proofErr w:type="spellEnd"/>
            <w:r w:rsidRPr="00D33701">
              <w:rPr>
                <w:rFonts w:ascii="Arial" w:hAnsi="Arial" w:cs="Arial"/>
                <w:bCs/>
                <w:i/>
                <w:iCs/>
                <w:sz w:val="20"/>
                <w:szCs w:val="20"/>
                <w:lang w:val="en-GB"/>
              </w:rPr>
              <w:t xml:space="preserve"> </w:t>
            </w:r>
            <w:proofErr w:type="spellStart"/>
            <w:r w:rsidRPr="00D33701">
              <w:rPr>
                <w:rFonts w:ascii="Arial" w:hAnsi="Arial" w:cs="Arial"/>
                <w:bCs/>
                <w:i/>
                <w:iCs/>
                <w:sz w:val="20"/>
                <w:szCs w:val="20"/>
                <w:lang w:val="en-GB"/>
              </w:rPr>
              <w:t>sarda</w:t>
            </w:r>
            <w:proofErr w:type="spellEnd"/>
            <w:r w:rsidRPr="00D33701">
              <w:rPr>
                <w:rFonts w:ascii="Arial" w:hAnsi="Arial" w:cs="Arial"/>
                <w:bCs/>
                <w:iCs/>
                <w:sz w:val="20"/>
                <w:szCs w:val="20"/>
                <w:lang w:val="en-GB"/>
              </w:rPr>
              <w:t xml:space="preserve">) </w:t>
            </w:r>
            <w:r w:rsidRPr="00D33701">
              <w:rPr>
                <w:rFonts w:ascii="Arial" w:eastAsia="MS Mincho" w:hAnsi="Arial" w:cs="Arial"/>
                <w:bCs/>
                <w:iCs/>
                <w:sz w:val="20"/>
                <w:szCs w:val="20"/>
                <w:lang w:val="en-GB" w:eastAsia="ja-JP"/>
              </w:rPr>
              <w:t>и Horse mackerel</w:t>
            </w:r>
            <w:r w:rsidRPr="00D33701">
              <w:rPr>
                <w:rFonts w:ascii="Arial" w:hAnsi="Arial" w:cs="Arial"/>
                <w:iCs/>
                <w:sz w:val="20"/>
                <w:szCs w:val="20"/>
                <w:lang w:val="en-GB"/>
              </w:rPr>
              <w:t xml:space="preserve"> (</w:t>
            </w:r>
            <w:proofErr w:type="spellStart"/>
            <w:r w:rsidRPr="00D33701">
              <w:rPr>
                <w:rFonts w:ascii="Arial" w:hAnsi="Arial" w:cs="Arial"/>
                <w:i/>
                <w:iCs/>
                <w:sz w:val="20"/>
                <w:szCs w:val="20"/>
                <w:lang w:val="en-GB"/>
              </w:rPr>
              <w:t>Trachurus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mediterraneus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ponticus</w:t>
            </w:r>
            <w:proofErr w:type="spellEnd"/>
            <w:r w:rsidRPr="00D33701">
              <w:rPr>
                <w:rFonts w:ascii="Arial" w:eastAsia="MS Mincho" w:hAnsi="Arial" w:cs="Arial"/>
                <w:iCs/>
                <w:sz w:val="20"/>
                <w:szCs w:val="20"/>
                <w:lang w:val="en-GB" w:eastAsia="ja-JP"/>
              </w:rPr>
              <w:t>)</w:t>
            </w:r>
            <w:r w:rsidRPr="00D33701">
              <w:rPr>
                <w:rFonts w:ascii="Arial" w:hAnsi="Arial" w:cs="Arial"/>
                <w:sz w:val="20"/>
                <w:szCs w:val="20"/>
                <w:lang w:val="en-GB"/>
              </w:rPr>
              <w:t xml:space="preserve"> are maintained below the following threshold values (Commission Regulation (EC) No 1881/2006, transposed in the national legislation in Order No 31/29.07.2004):</w:t>
            </w:r>
          </w:p>
          <w:p w14:paraId="4D71A62C"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proofErr w:type="spellStart"/>
            <w:r w:rsidRPr="00D33701">
              <w:rPr>
                <w:rFonts w:ascii="Arial" w:hAnsi="Arial" w:cs="Arial"/>
                <w:sz w:val="20"/>
                <w:szCs w:val="20"/>
                <w:lang w:val="en-GB"/>
              </w:rPr>
              <w:t>Pb</w:t>
            </w:r>
            <w:proofErr w:type="spellEnd"/>
            <w:r w:rsidRPr="00D33701">
              <w:rPr>
                <w:rFonts w:ascii="Arial" w:hAnsi="Arial" w:cs="Arial"/>
                <w:sz w:val="20"/>
                <w:szCs w:val="20"/>
                <w:lang w:val="en-GB"/>
              </w:rPr>
              <w:t xml:space="preserve"> &lt; 0.20 mg/kg; (for Horse mackerel </w:t>
            </w:r>
            <w:r w:rsidRPr="00D33701">
              <w:rPr>
                <w:rFonts w:ascii="Arial" w:hAnsi="Arial" w:cs="Arial"/>
                <w:iCs/>
                <w:sz w:val="20"/>
                <w:szCs w:val="20"/>
                <w:lang w:val="en-GB"/>
              </w:rPr>
              <w:t>(</w:t>
            </w:r>
            <w:proofErr w:type="spellStart"/>
            <w:r w:rsidRPr="00D33701">
              <w:rPr>
                <w:rFonts w:ascii="Arial" w:hAnsi="Arial" w:cs="Arial"/>
                <w:i/>
                <w:iCs/>
                <w:sz w:val="20"/>
                <w:szCs w:val="20"/>
                <w:lang w:val="en-GB"/>
              </w:rPr>
              <w:t>Trachurus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mediterraneus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ponticus</w:t>
            </w:r>
            <w:proofErr w:type="spellEnd"/>
            <w:r w:rsidRPr="00D33701">
              <w:rPr>
                <w:rFonts w:ascii="Arial" w:hAnsi="Arial" w:cs="Arial"/>
                <w:iCs/>
                <w:sz w:val="20"/>
                <w:szCs w:val="20"/>
                <w:lang w:val="en-GB"/>
              </w:rPr>
              <w:t xml:space="preserve">) </w:t>
            </w:r>
            <w:proofErr w:type="spellStart"/>
            <w:r w:rsidRPr="00D33701">
              <w:rPr>
                <w:rFonts w:ascii="Arial" w:hAnsi="Arial" w:cs="Arial"/>
                <w:iCs/>
                <w:sz w:val="20"/>
                <w:szCs w:val="20"/>
                <w:lang w:val="en-GB"/>
              </w:rPr>
              <w:t>Pb</w:t>
            </w:r>
            <w:proofErr w:type="spellEnd"/>
            <w:r w:rsidRPr="00D33701">
              <w:rPr>
                <w:rFonts w:ascii="Arial" w:hAnsi="Arial" w:cs="Arial"/>
                <w:iCs/>
                <w:sz w:val="20"/>
                <w:szCs w:val="20"/>
                <w:lang w:val="en-GB"/>
              </w:rPr>
              <w:t xml:space="preserve"> </w:t>
            </w:r>
            <w:r w:rsidRPr="00D33701">
              <w:rPr>
                <w:rFonts w:ascii="Arial" w:hAnsi="Arial" w:cs="Arial"/>
                <w:sz w:val="20"/>
                <w:szCs w:val="20"/>
                <w:lang w:val="en-GB"/>
              </w:rPr>
              <w:t>&lt; 0.4</w:t>
            </w:r>
            <w:r w:rsidRPr="00D33701">
              <w:rPr>
                <w:rFonts w:ascii="Arial" w:hAnsi="Arial" w:cs="Arial"/>
                <w:iCs/>
                <w:sz w:val="20"/>
                <w:szCs w:val="20"/>
                <w:lang w:val="en-GB"/>
              </w:rPr>
              <w:t xml:space="preserve"> mg/kg</w:t>
            </w:r>
            <w:r w:rsidRPr="00D33701">
              <w:rPr>
                <w:rFonts w:ascii="Arial" w:hAnsi="Arial" w:cs="Arial"/>
                <w:sz w:val="20"/>
                <w:szCs w:val="20"/>
                <w:lang w:val="en-GB"/>
              </w:rPr>
              <w:t>);</w:t>
            </w:r>
          </w:p>
          <w:p w14:paraId="1C00B7CF"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 xml:space="preserve">Cd &lt; 0.05 mg/kg; (for </w:t>
            </w:r>
            <w:r w:rsidRPr="00D33701">
              <w:rPr>
                <w:rFonts w:ascii="Arial" w:hAnsi="Arial" w:cs="Arial"/>
                <w:iCs/>
                <w:sz w:val="20"/>
                <w:szCs w:val="20"/>
                <w:lang w:val="en-GB"/>
              </w:rPr>
              <w:t>Bonito (</w:t>
            </w:r>
            <w:proofErr w:type="spellStart"/>
            <w:r w:rsidRPr="00D33701">
              <w:rPr>
                <w:rFonts w:ascii="Arial" w:hAnsi="Arial" w:cs="Arial"/>
                <w:i/>
                <w:iCs/>
                <w:sz w:val="20"/>
                <w:szCs w:val="20"/>
                <w:lang w:val="en-GB"/>
              </w:rPr>
              <w:t>Sarda</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sarda</w:t>
            </w:r>
            <w:proofErr w:type="spellEnd"/>
            <w:r w:rsidRPr="00D33701">
              <w:rPr>
                <w:rFonts w:ascii="Arial" w:hAnsi="Arial" w:cs="Arial"/>
                <w:iCs/>
                <w:sz w:val="20"/>
                <w:szCs w:val="20"/>
                <w:lang w:val="en-GB"/>
              </w:rPr>
              <w:t>) and for Horse mackerel (</w:t>
            </w:r>
            <w:proofErr w:type="spellStart"/>
            <w:r w:rsidRPr="00D33701">
              <w:rPr>
                <w:rFonts w:ascii="Arial" w:hAnsi="Arial" w:cs="Arial"/>
                <w:i/>
                <w:iCs/>
                <w:sz w:val="20"/>
                <w:szCs w:val="20"/>
                <w:lang w:val="en-GB"/>
              </w:rPr>
              <w:t>Trachurus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mediterraneus</w:t>
            </w:r>
            <w:proofErr w:type="spellEnd"/>
            <w:r w:rsidRPr="00D33701">
              <w:rPr>
                <w:rFonts w:ascii="Arial" w:hAnsi="Arial" w:cs="Arial"/>
                <w:i/>
                <w:iCs/>
                <w:sz w:val="20"/>
                <w:szCs w:val="20"/>
                <w:lang w:val="en-GB"/>
              </w:rPr>
              <w:t xml:space="preserve"> </w:t>
            </w:r>
            <w:proofErr w:type="spellStart"/>
            <w:r w:rsidRPr="00D33701">
              <w:rPr>
                <w:rFonts w:ascii="Arial" w:hAnsi="Arial" w:cs="Arial"/>
                <w:i/>
                <w:iCs/>
                <w:sz w:val="20"/>
                <w:szCs w:val="20"/>
                <w:lang w:val="en-GB"/>
              </w:rPr>
              <w:t>ponticus</w:t>
            </w:r>
            <w:proofErr w:type="spellEnd"/>
            <w:r w:rsidRPr="00D33701">
              <w:rPr>
                <w:rFonts w:ascii="Arial" w:hAnsi="Arial" w:cs="Arial"/>
                <w:iCs/>
                <w:sz w:val="20"/>
                <w:szCs w:val="20"/>
                <w:lang w:val="en-GB"/>
              </w:rPr>
              <w:t>) Cd &lt; 1 mg/kg)</w:t>
            </w:r>
          </w:p>
          <w:p w14:paraId="62984129" w14:textId="77777777" w:rsidR="00673549" w:rsidRPr="00D33701" w:rsidRDefault="00673549" w:rsidP="00673549">
            <w:pPr>
              <w:pStyle w:val="Plattetekst"/>
              <w:numPr>
                <w:ilvl w:val="0"/>
                <w:numId w:val="12"/>
              </w:numPr>
              <w:spacing w:line="240" w:lineRule="auto"/>
              <w:rPr>
                <w:rFonts w:ascii="Arial" w:hAnsi="Arial" w:cs="Arial"/>
                <w:sz w:val="20"/>
                <w:szCs w:val="20"/>
                <w:lang w:val="it-IT"/>
              </w:rPr>
            </w:pPr>
            <w:r w:rsidRPr="00D33701">
              <w:rPr>
                <w:rFonts w:ascii="Arial" w:hAnsi="Arial" w:cs="Arial"/>
                <w:sz w:val="20"/>
                <w:szCs w:val="20"/>
                <w:lang w:val="it-IT"/>
              </w:rPr>
              <w:t xml:space="preserve">Hg &lt; 0.05 mg/kg; (for Bonito (Sarda </w:t>
            </w:r>
            <w:proofErr w:type="spellStart"/>
            <w:r w:rsidRPr="00D33701">
              <w:rPr>
                <w:rFonts w:ascii="Arial" w:hAnsi="Arial" w:cs="Arial"/>
                <w:sz w:val="20"/>
                <w:szCs w:val="20"/>
                <w:lang w:val="it-IT"/>
              </w:rPr>
              <w:t>sarda</w:t>
            </w:r>
            <w:proofErr w:type="spellEnd"/>
            <w:r w:rsidRPr="00D33701">
              <w:rPr>
                <w:rFonts w:ascii="Arial" w:hAnsi="Arial" w:cs="Arial"/>
                <w:sz w:val="20"/>
                <w:szCs w:val="20"/>
                <w:lang w:val="it-IT"/>
              </w:rPr>
              <w:t xml:space="preserve"> Hg &lt;1 mg/kg)</w:t>
            </w:r>
          </w:p>
          <w:p w14:paraId="0608AE3F"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Al &lt; 30 mg/kg;</w:t>
            </w:r>
          </w:p>
          <w:p w14:paraId="16114D07"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As &lt; 5 mg/kg;</w:t>
            </w:r>
          </w:p>
          <w:p w14:paraId="30C4CA7A"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Cu &lt; 10 mg/kg;</w:t>
            </w:r>
          </w:p>
          <w:p w14:paraId="0898885C"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Ni &lt; 0,5 mg/kg;</w:t>
            </w:r>
          </w:p>
          <w:p w14:paraId="5EB3E353"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Cr &lt; 0,3 mg/kg;</w:t>
            </w:r>
          </w:p>
          <w:p w14:paraId="3624BFF1"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Zn &lt; 50 mg/kg;</w:t>
            </w:r>
          </w:p>
          <w:p w14:paraId="3AE463C2"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 xml:space="preserve">Dioxins &lt; 4 </w:t>
            </w:r>
            <w:proofErr w:type="spellStart"/>
            <w:r w:rsidRPr="00D33701">
              <w:rPr>
                <w:rFonts w:ascii="Arial" w:hAnsi="Arial" w:cs="Arial"/>
                <w:sz w:val="20"/>
                <w:szCs w:val="20"/>
                <w:lang w:val="en-GB"/>
              </w:rPr>
              <w:t>pg</w:t>
            </w:r>
            <w:proofErr w:type="spellEnd"/>
            <w:r w:rsidRPr="00D33701">
              <w:rPr>
                <w:rFonts w:ascii="Arial" w:hAnsi="Arial" w:cs="Arial"/>
                <w:sz w:val="20"/>
                <w:szCs w:val="20"/>
                <w:lang w:val="en-GB"/>
              </w:rPr>
              <w:t xml:space="preserve"> WHO-PCDD (F-TEQ) g live weight;</w:t>
            </w:r>
          </w:p>
          <w:p w14:paraId="66D3CFD5" w14:textId="77777777" w:rsidR="00673549" w:rsidRPr="00D33701" w:rsidRDefault="00673549" w:rsidP="00673549">
            <w:pPr>
              <w:pStyle w:val="Plattetekst"/>
              <w:numPr>
                <w:ilvl w:val="0"/>
                <w:numId w:val="12"/>
              </w:numPr>
              <w:spacing w:line="240" w:lineRule="auto"/>
              <w:rPr>
                <w:rFonts w:ascii="Arial" w:hAnsi="Arial" w:cs="Arial"/>
                <w:sz w:val="20"/>
                <w:szCs w:val="20"/>
                <w:lang w:val="it-IT"/>
              </w:rPr>
            </w:pPr>
            <w:proofErr w:type="spellStart"/>
            <w:r w:rsidRPr="00D33701">
              <w:rPr>
                <w:rFonts w:ascii="Arial" w:hAnsi="Arial" w:cs="Arial"/>
                <w:sz w:val="20"/>
                <w:szCs w:val="20"/>
                <w:lang w:val="it-IT"/>
              </w:rPr>
              <w:t>Benzo</w:t>
            </w:r>
            <w:proofErr w:type="spellEnd"/>
            <w:r w:rsidRPr="00D33701">
              <w:rPr>
                <w:rFonts w:ascii="Arial" w:hAnsi="Arial" w:cs="Arial"/>
                <w:sz w:val="20"/>
                <w:szCs w:val="20"/>
                <w:lang w:val="it-IT"/>
              </w:rPr>
              <w:t xml:space="preserve">(a) </w:t>
            </w:r>
            <w:proofErr w:type="spellStart"/>
            <w:r w:rsidRPr="00D33701">
              <w:rPr>
                <w:rFonts w:ascii="Arial" w:hAnsi="Arial" w:cs="Arial"/>
                <w:sz w:val="20"/>
                <w:szCs w:val="20"/>
                <w:lang w:val="it-IT"/>
              </w:rPr>
              <w:t>pyrene</w:t>
            </w:r>
            <w:proofErr w:type="spellEnd"/>
            <w:r w:rsidRPr="00D33701">
              <w:rPr>
                <w:rFonts w:ascii="Arial" w:hAnsi="Arial" w:cs="Arial"/>
                <w:sz w:val="20"/>
                <w:szCs w:val="20"/>
                <w:lang w:val="it-IT"/>
              </w:rPr>
              <w:t xml:space="preserve"> &lt; 2 µg/kg.</w:t>
            </w:r>
          </w:p>
          <w:p w14:paraId="66D90DB8" w14:textId="77777777" w:rsidR="00673549" w:rsidRPr="00D33701" w:rsidRDefault="00673549" w:rsidP="00673549">
            <w:pPr>
              <w:pStyle w:val="Plattetekst"/>
              <w:spacing w:line="240" w:lineRule="auto"/>
              <w:rPr>
                <w:rFonts w:ascii="Arial" w:hAnsi="Arial" w:cs="Arial"/>
                <w:i/>
                <w:sz w:val="20"/>
                <w:szCs w:val="20"/>
                <w:lang w:val="en-GB"/>
              </w:rPr>
            </w:pPr>
            <w:r w:rsidRPr="00D33701">
              <w:rPr>
                <w:rFonts w:ascii="Arial" w:hAnsi="Arial" w:cs="Arial"/>
                <w:b/>
                <w:i/>
                <w:sz w:val="20"/>
                <w:szCs w:val="20"/>
                <w:lang w:val="en-GB"/>
              </w:rPr>
              <w:t>Explanation</w:t>
            </w:r>
            <w:r w:rsidRPr="00D33701">
              <w:rPr>
                <w:rFonts w:ascii="Arial" w:hAnsi="Arial" w:cs="Arial"/>
                <w:i/>
                <w:sz w:val="20"/>
                <w:szCs w:val="20"/>
                <w:lang w:val="en-GB"/>
              </w:rPr>
              <w:t xml:space="preserve">: WHO - World Health Organization; PCDD -Polychlorinated </w:t>
            </w:r>
            <w:proofErr w:type="spellStart"/>
            <w:r w:rsidRPr="00D33701">
              <w:rPr>
                <w:rFonts w:ascii="Arial" w:hAnsi="Arial" w:cs="Arial"/>
                <w:i/>
                <w:sz w:val="20"/>
                <w:szCs w:val="20"/>
                <w:lang w:val="en-GB"/>
              </w:rPr>
              <w:t>dibenzodioxins</w:t>
            </w:r>
            <w:proofErr w:type="spellEnd"/>
            <w:r w:rsidRPr="00D33701">
              <w:rPr>
                <w:rFonts w:ascii="Arial" w:hAnsi="Arial" w:cs="Arial"/>
                <w:i/>
                <w:sz w:val="20"/>
                <w:szCs w:val="20"/>
                <w:lang w:val="en-GB"/>
              </w:rPr>
              <w:t xml:space="preserve"> (dioxins); F-TEQ - toxic equivalent concentration.</w:t>
            </w:r>
          </w:p>
          <w:p w14:paraId="2FF048E6"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sz w:val="20"/>
                <w:szCs w:val="20"/>
                <w:lang w:val="en-GB"/>
              </w:rPr>
              <w:t>The levels of contaminants in the following seafood are maintained below the threshold values in with the following threshold values of contaminants in the fish (Directive 2013/39/EC as regards priority substances in the field of water policy):</w:t>
            </w:r>
          </w:p>
          <w:p w14:paraId="30297F77"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Hg &lt; 20 µg/kg;</w:t>
            </w:r>
          </w:p>
          <w:p w14:paraId="430BBEE3"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HCB &lt; 10 µg/kg;</w:t>
            </w:r>
          </w:p>
          <w:p w14:paraId="34A6EF52"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HCBD &lt; 55 µg/kg;</w:t>
            </w:r>
          </w:p>
          <w:p w14:paraId="0337E300"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lastRenderedPageBreak/>
              <w:t>Heptachlor and heptachlor epoxide &lt;6,7*10-3 µg/kg;</w:t>
            </w:r>
          </w:p>
          <w:p w14:paraId="120C320C"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proofErr w:type="spellStart"/>
            <w:r w:rsidRPr="00D33701">
              <w:rPr>
                <w:rFonts w:ascii="Arial" w:hAnsi="Arial" w:cs="Arial"/>
                <w:sz w:val="20"/>
                <w:szCs w:val="20"/>
                <w:lang w:val="en-GB"/>
              </w:rPr>
              <w:t>Dicofol</w:t>
            </w:r>
            <w:proofErr w:type="spellEnd"/>
            <w:r w:rsidRPr="00D33701">
              <w:rPr>
                <w:rFonts w:ascii="Arial" w:hAnsi="Arial" w:cs="Arial"/>
                <w:sz w:val="20"/>
                <w:szCs w:val="20"/>
                <w:lang w:val="en-GB"/>
              </w:rPr>
              <w:t xml:space="preserve"> &lt; 33 µg/kg;</w:t>
            </w:r>
          </w:p>
          <w:p w14:paraId="78E8AEEE"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PFOS &lt; 9,1 µg/kg;</w:t>
            </w:r>
          </w:p>
          <w:p w14:paraId="118BD6A0"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BDEs &lt; 0,0085 µg/kg;</w:t>
            </w:r>
          </w:p>
          <w:p w14:paraId="3CB57CD6"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HBCDD &lt; 167 µg/kg;</w:t>
            </w:r>
          </w:p>
          <w:p w14:paraId="1982E6E0" w14:textId="77777777" w:rsidR="00673549" w:rsidRPr="00D33701" w:rsidRDefault="00673549" w:rsidP="00673549">
            <w:pPr>
              <w:pStyle w:val="Plattetekst"/>
              <w:spacing w:line="240" w:lineRule="auto"/>
              <w:ind w:left="360"/>
              <w:rPr>
                <w:rFonts w:ascii="Arial" w:hAnsi="Arial" w:cs="Arial"/>
                <w:sz w:val="20"/>
                <w:szCs w:val="20"/>
                <w:lang w:val="en-GB"/>
              </w:rPr>
            </w:pPr>
            <w:r w:rsidRPr="00D33701">
              <w:rPr>
                <w:rStyle w:val="hps"/>
                <w:rFonts w:ascii="Arial" w:hAnsi="Arial" w:cs="Arial"/>
                <w:sz w:val="20"/>
                <w:szCs w:val="20"/>
                <w:lang w:val="en"/>
              </w:rPr>
              <w:t>below the following</w:t>
            </w:r>
            <w:r w:rsidRPr="00D33701">
              <w:rPr>
                <w:rFonts w:ascii="Arial" w:hAnsi="Arial" w:cs="Arial"/>
                <w:sz w:val="20"/>
                <w:szCs w:val="20"/>
                <w:lang w:val="en"/>
              </w:rPr>
              <w:t xml:space="preserve"> </w:t>
            </w:r>
            <w:r w:rsidRPr="00D33701">
              <w:rPr>
                <w:rStyle w:val="hps"/>
                <w:rFonts w:ascii="Arial" w:hAnsi="Arial" w:cs="Arial"/>
                <w:sz w:val="20"/>
                <w:szCs w:val="20"/>
                <w:lang w:val="en"/>
              </w:rPr>
              <w:t>threshold value</w:t>
            </w:r>
            <w:r w:rsidRPr="00D33701">
              <w:rPr>
                <w:rFonts w:ascii="Arial" w:hAnsi="Arial" w:cs="Arial"/>
                <w:sz w:val="20"/>
                <w:szCs w:val="20"/>
                <w:lang w:val="en"/>
              </w:rPr>
              <w:t xml:space="preserve"> </w:t>
            </w:r>
            <w:r w:rsidRPr="00D33701">
              <w:rPr>
                <w:rStyle w:val="hps"/>
                <w:rFonts w:ascii="Arial" w:hAnsi="Arial" w:cs="Arial"/>
                <w:sz w:val="20"/>
                <w:szCs w:val="20"/>
                <w:lang w:val="en"/>
              </w:rPr>
              <w:t>in accordance with Directive</w:t>
            </w:r>
            <w:r w:rsidRPr="00D33701">
              <w:rPr>
                <w:rFonts w:ascii="Arial" w:hAnsi="Arial" w:cs="Arial"/>
                <w:sz w:val="20"/>
                <w:szCs w:val="20"/>
                <w:lang w:val="en"/>
              </w:rPr>
              <w:t xml:space="preserve"> </w:t>
            </w:r>
            <w:r w:rsidRPr="00D33701">
              <w:rPr>
                <w:rStyle w:val="hps"/>
                <w:rFonts w:ascii="Arial" w:hAnsi="Arial" w:cs="Arial"/>
                <w:sz w:val="20"/>
                <w:szCs w:val="20"/>
                <w:lang w:val="en"/>
              </w:rPr>
              <w:t>2013/39</w:t>
            </w:r>
            <w:r w:rsidRPr="00D33701">
              <w:rPr>
                <w:rFonts w:ascii="Arial" w:hAnsi="Arial" w:cs="Arial"/>
                <w:sz w:val="20"/>
                <w:szCs w:val="20"/>
                <w:lang w:val="en"/>
              </w:rPr>
              <w:t xml:space="preserve"> </w:t>
            </w:r>
            <w:r w:rsidRPr="00D33701">
              <w:rPr>
                <w:rStyle w:val="hps"/>
                <w:rFonts w:ascii="Arial" w:hAnsi="Arial" w:cs="Arial"/>
                <w:sz w:val="20"/>
                <w:szCs w:val="20"/>
                <w:lang w:val="en"/>
              </w:rPr>
              <w:t>/ EC for</w:t>
            </w:r>
            <w:r w:rsidRPr="00D33701">
              <w:rPr>
                <w:rFonts w:ascii="Arial" w:hAnsi="Arial" w:cs="Arial"/>
                <w:sz w:val="20"/>
                <w:szCs w:val="20"/>
                <w:lang w:val="en"/>
              </w:rPr>
              <w:t xml:space="preserve"> </w:t>
            </w:r>
            <w:r w:rsidRPr="00D33701">
              <w:rPr>
                <w:rStyle w:val="hps"/>
                <w:rFonts w:ascii="Arial" w:hAnsi="Arial" w:cs="Arial"/>
                <w:sz w:val="20"/>
                <w:szCs w:val="20"/>
                <w:lang w:val="en"/>
              </w:rPr>
              <w:t>fish</w:t>
            </w:r>
            <w:r w:rsidRPr="00D33701">
              <w:rPr>
                <w:rFonts w:ascii="Arial" w:hAnsi="Arial" w:cs="Arial"/>
                <w:sz w:val="20"/>
                <w:szCs w:val="20"/>
                <w:lang w:val="en"/>
              </w:rPr>
              <w:t xml:space="preserve"> </w:t>
            </w:r>
            <w:r w:rsidRPr="00D33701">
              <w:rPr>
                <w:rStyle w:val="hps"/>
                <w:rFonts w:ascii="Arial" w:hAnsi="Arial" w:cs="Arial"/>
                <w:sz w:val="20"/>
                <w:szCs w:val="20"/>
                <w:lang w:val="en"/>
              </w:rPr>
              <w:t>and</w:t>
            </w:r>
            <w:r w:rsidRPr="00D33701">
              <w:rPr>
                <w:rFonts w:ascii="Arial" w:hAnsi="Arial" w:cs="Arial"/>
                <w:sz w:val="20"/>
                <w:szCs w:val="20"/>
                <w:lang w:val="en"/>
              </w:rPr>
              <w:t xml:space="preserve"> </w:t>
            </w:r>
            <w:r w:rsidRPr="00D33701">
              <w:rPr>
                <w:rStyle w:val="hps"/>
                <w:rFonts w:ascii="Arial" w:hAnsi="Arial" w:cs="Arial"/>
                <w:sz w:val="20"/>
                <w:szCs w:val="20"/>
                <w:lang w:val="en"/>
              </w:rPr>
              <w:t>shellfish</w:t>
            </w:r>
            <w:r w:rsidRPr="00D33701">
              <w:rPr>
                <w:rFonts w:ascii="Arial" w:hAnsi="Arial" w:cs="Arial"/>
                <w:sz w:val="20"/>
                <w:szCs w:val="20"/>
                <w:lang w:val="en"/>
              </w:rPr>
              <w:t>:</w:t>
            </w:r>
            <w:r w:rsidRPr="00D33701">
              <w:rPr>
                <w:rFonts w:ascii="Arial" w:hAnsi="Arial" w:cs="Arial"/>
                <w:sz w:val="20"/>
                <w:szCs w:val="20"/>
                <w:lang w:val="en"/>
              </w:rPr>
              <w:br/>
            </w:r>
            <w:r w:rsidRPr="00D33701">
              <w:rPr>
                <w:rFonts w:ascii="Arial" w:hAnsi="Arial" w:cs="Arial"/>
                <w:sz w:val="20"/>
                <w:szCs w:val="20"/>
                <w:lang w:val="en-GB"/>
              </w:rPr>
              <w:t>Dioxins (PCDD+PCDF+PCB-DL) &lt; 0.0065 µg/kg</w:t>
            </w:r>
            <w:r w:rsidRPr="00D33701">
              <w:rPr>
                <w:rStyle w:val="hpsatn"/>
                <w:rFonts w:ascii="Arial" w:hAnsi="Arial" w:cs="Arial"/>
                <w:sz w:val="20"/>
                <w:szCs w:val="20"/>
                <w:lang w:val="en"/>
              </w:rPr>
              <w:t xml:space="preserve"> TEQ (</w:t>
            </w:r>
            <w:r w:rsidRPr="00D33701">
              <w:rPr>
                <w:rFonts w:ascii="Arial" w:hAnsi="Arial" w:cs="Arial"/>
                <w:sz w:val="20"/>
                <w:szCs w:val="20"/>
                <w:lang w:val="en"/>
              </w:rPr>
              <w:t>toxic equivalent concentration)</w:t>
            </w:r>
            <w:r w:rsidRPr="00D33701">
              <w:rPr>
                <w:rFonts w:ascii="Arial" w:hAnsi="Arial" w:cs="Arial"/>
                <w:sz w:val="20"/>
                <w:szCs w:val="20"/>
                <w:lang w:val="en-GB"/>
              </w:rPr>
              <w:t>.</w:t>
            </w:r>
          </w:p>
          <w:p w14:paraId="4DDFDDA4"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b/>
                <w:sz w:val="20"/>
                <w:szCs w:val="20"/>
                <w:lang w:val="en-GB"/>
              </w:rPr>
              <w:t>9.1.1 Targets for shellfish species</w:t>
            </w:r>
            <w:r w:rsidRPr="00D33701">
              <w:rPr>
                <w:rFonts w:ascii="Arial" w:hAnsi="Arial" w:cs="Arial"/>
                <w:sz w:val="20"/>
                <w:szCs w:val="20"/>
                <w:lang w:val="en-GB"/>
              </w:rPr>
              <w:t xml:space="preserve"> – The levels of contaminants in the following shellfish species: Veined </w:t>
            </w:r>
            <w:proofErr w:type="spellStart"/>
            <w:r w:rsidRPr="00D33701">
              <w:rPr>
                <w:rFonts w:ascii="Arial" w:hAnsi="Arial" w:cs="Arial"/>
                <w:sz w:val="20"/>
                <w:szCs w:val="20"/>
                <w:lang w:val="en-GB"/>
              </w:rPr>
              <w:t>rapa</w:t>
            </w:r>
            <w:proofErr w:type="spellEnd"/>
            <w:r w:rsidRPr="00D33701">
              <w:rPr>
                <w:rFonts w:ascii="Arial" w:hAnsi="Arial" w:cs="Arial"/>
                <w:sz w:val="20"/>
                <w:szCs w:val="20"/>
                <w:lang w:val="en-GB"/>
              </w:rPr>
              <w:t xml:space="preserve"> whelk (</w:t>
            </w:r>
            <w:proofErr w:type="spellStart"/>
            <w:r w:rsidRPr="00D33701">
              <w:rPr>
                <w:rFonts w:ascii="Arial" w:hAnsi="Arial" w:cs="Arial"/>
                <w:i/>
                <w:sz w:val="20"/>
                <w:szCs w:val="20"/>
                <w:lang w:val="en-GB"/>
              </w:rPr>
              <w:t>Rapana</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venosa</w:t>
            </w:r>
            <w:proofErr w:type="spellEnd"/>
            <w:r w:rsidRPr="00D33701">
              <w:rPr>
                <w:rFonts w:ascii="Arial" w:hAnsi="Arial" w:cs="Arial"/>
                <w:sz w:val="20"/>
                <w:szCs w:val="20"/>
                <w:lang w:val="en-GB"/>
              </w:rPr>
              <w:t>), Mediterranean mussel (</w:t>
            </w:r>
            <w:proofErr w:type="spellStart"/>
            <w:r w:rsidRPr="00D33701">
              <w:rPr>
                <w:rFonts w:ascii="Arial" w:hAnsi="Arial" w:cs="Arial"/>
                <w:i/>
                <w:sz w:val="20"/>
                <w:szCs w:val="20"/>
                <w:lang w:val="en-GB"/>
              </w:rPr>
              <w:t>Mytilus</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galloprovincialis</w:t>
            </w:r>
            <w:proofErr w:type="spellEnd"/>
            <w:r w:rsidRPr="00D33701">
              <w:rPr>
                <w:rFonts w:ascii="Arial" w:hAnsi="Arial" w:cs="Arial"/>
                <w:sz w:val="20"/>
                <w:szCs w:val="20"/>
                <w:lang w:val="en-GB"/>
              </w:rPr>
              <w:t>) are maintained below the following threshold values (Commission Regulation (EC) No 1881/2006, transposed in the national legislation in Order No 31/29.07.2004 and Black Sea Monitoring and Assessment Programme):</w:t>
            </w:r>
          </w:p>
          <w:p w14:paraId="2046B43F"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proofErr w:type="spellStart"/>
            <w:r w:rsidRPr="00D33701">
              <w:rPr>
                <w:rFonts w:ascii="Arial" w:hAnsi="Arial" w:cs="Arial"/>
                <w:sz w:val="20"/>
                <w:szCs w:val="20"/>
                <w:lang w:val="en-GB"/>
              </w:rPr>
              <w:t>Pb</w:t>
            </w:r>
            <w:proofErr w:type="spellEnd"/>
            <w:r w:rsidRPr="00D33701">
              <w:rPr>
                <w:rFonts w:ascii="Arial" w:hAnsi="Arial" w:cs="Arial"/>
                <w:sz w:val="20"/>
                <w:szCs w:val="20"/>
                <w:lang w:val="en-GB"/>
              </w:rPr>
              <w:t xml:space="preserve"> &lt; 1.5 mg/kg;</w:t>
            </w:r>
          </w:p>
          <w:p w14:paraId="537D9C4B"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Cd &lt; 1 mg/kg;</w:t>
            </w:r>
          </w:p>
          <w:p w14:paraId="14E1C70F"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Hg &lt; 0.5 mg/kg;</w:t>
            </w:r>
          </w:p>
          <w:p w14:paraId="349E4DD0"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As &lt; 2 mg/kg;</w:t>
            </w:r>
          </w:p>
          <w:p w14:paraId="381BE35A"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Cu &lt; 30 mg/kg;</w:t>
            </w:r>
          </w:p>
          <w:p w14:paraId="20EDD5C7"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Zn &lt; 200 mg/kg;</w:t>
            </w:r>
          </w:p>
          <w:p w14:paraId="5F2F0437" w14:textId="77777777" w:rsidR="00673549" w:rsidRPr="00D33701" w:rsidRDefault="00673549" w:rsidP="00673549">
            <w:pPr>
              <w:pStyle w:val="Plattetekst"/>
              <w:numPr>
                <w:ilvl w:val="0"/>
                <w:numId w:val="12"/>
              </w:numPr>
              <w:spacing w:line="240" w:lineRule="auto"/>
              <w:rPr>
                <w:rFonts w:ascii="Arial" w:hAnsi="Arial" w:cs="Arial"/>
                <w:sz w:val="20"/>
                <w:szCs w:val="20"/>
                <w:lang w:val="it-IT"/>
              </w:rPr>
            </w:pPr>
            <w:proofErr w:type="spellStart"/>
            <w:r w:rsidRPr="00D33701">
              <w:rPr>
                <w:rFonts w:ascii="Arial" w:hAnsi="Arial" w:cs="Arial"/>
                <w:sz w:val="20"/>
                <w:szCs w:val="20"/>
                <w:lang w:val="it-IT"/>
              </w:rPr>
              <w:t>Benzo</w:t>
            </w:r>
            <w:proofErr w:type="spellEnd"/>
            <w:r w:rsidRPr="00D33701">
              <w:rPr>
                <w:rFonts w:ascii="Arial" w:hAnsi="Arial" w:cs="Arial"/>
                <w:sz w:val="20"/>
                <w:szCs w:val="20"/>
                <w:lang w:val="it-IT"/>
              </w:rPr>
              <w:t>(a)</w:t>
            </w:r>
            <w:proofErr w:type="spellStart"/>
            <w:r w:rsidRPr="00D33701">
              <w:rPr>
                <w:rFonts w:ascii="Arial" w:hAnsi="Arial" w:cs="Arial"/>
                <w:sz w:val="20"/>
                <w:szCs w:val="20"/>
                <w:lang w:val="it-IT"/>
              </w:rPr>
              <w:t>pyrene</w:t>
            </w:r>
            <w:proofErr w:type="spellEnd"/>
            <w:r w:rsidRPr="00D33701">
              <w:rPr>
                <w:rFonts w:ascii="Arial" w:hAnsi="Arial" w:cs="Arial"/>
                <w:sz w:val="20"/>
                <w:szCs w:val="20"/>
                <w:lang w:val="it-IT"/>
              </w:rPr>
              <w:t xml:space="preserve"> &lt; 10 µg/kg.</w:t>
            </w:r>
          </w:p>
          <w:p w14:paraId="29C1926A"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b/>
                <w:sz w:val="20"/>
                <w:szCs w:val="20"/>
                <w:lang w:val="en-GB"/>
              </w:rPr>
              <w:t>below the threshold values set in Directive 2013/39/EC regarding the water policy on priority substances in shellfish species</w:t>
            </w:r>
            <w:r w:rsidRPr="00D33701">
              <w:rPr>
                <w:rFonts w:ascii="Arial" w:hAnsi="Arial" w:cs="Arial"/>
                <w:sz w:val="20"/>
                <w:szCs w:val="20"/>
                <w:lang w:val="en-GB"/>
              </w:rPr>
              <w:t>:</w:t>
            </w:r>
          </w:p>
          <w:p w14:paraId="021ABD96" w14:textId="77777777" w:rsidR="00673549" w:rsidRPr="00D33701" w:rsidRDefault="00673549" w:rsidP="00673549">
            <w:pPr>
              <w:pStyle w:val="Plattetekst"/>
              <w:numPr>
                <w:ilvl w:val="0"/>
                <w:numId w:val="12"/>
              </w:numPr>
              <w:spacing w:line="240" w:lineRule="auto"/>
              <w:rPr>
                <w:rFonts w:ascii="Arial" w:hAnsi="Arial" w:cs="Arial"/>
                <w:sz w:val="20"/>
                <w:szCs w:val="20"/>
                <w:lang w:val="it-IT"/>
              </w:rPr>
            </w:pPr>
            <w:proofErr w:type="spellStart"/>
            <w:r w:rsidRPr="00D33701">
              <w:rPr>
                <w:rFonts w:ascii="Arial" w:hAnsi="Arial" w:cs="Arial"/>
                <w:iCs/>
                <w:sz w:val="20"/>
                <w:szCs w:val="20"/>
                <w:lang w:val="it-IT"/>
              </w:rPr>
              <w:t>Benzo</w:t>
            </w:r>
            <w:proofErr w:type="spellEnd"/>
            <w:r w:rsidRPr="00D33701">
              <w:rPr>
                <w:rFonts w:ascii="Arial" w:hAnsi="Arial" w:cs="Arial"/>
                <w:iCs/>
                <w:sz w:val="20"/>
                <w:szCs w:val="20"/>
                <w:lang w:val="it-IT"/>
              </w:rPr>
              <w:t>(a</w:t>
            </w:r>
            <w:r w:rsidRPr="00D33701">
              <w:rPr>
                <w:rFonts w:ascii="Arial" w:hAnsi="Arial" w:cs="Arial"/>
                <w:sz w:val="20"/>
                <w:szCs w:val="20"/>
                <w:lang w:val="it-IT"/>
              </w:rPr>
              <w:t xml:space="preserve">) </w:t>
            </w:r>
            <w:proofErr w:type="spellStart"/>
            <w:r w:rsidRPr="00D33701">
              <w:rPr>
                <w:rFonts w:ascii="Arial" w:hAnsi="Arial" w:cs="Arial"/>
                <w:sz w:val="20"/>
                <w:szCs w:val="20"/>
                <w:lang w:val="it-IT"/>
              </w:rPr>
              <w:t>pyrene</w:t>
            </w:r>
            <w:proofErr w:type="spellEnd"/>
            <w:r w:rsidRPr="00D33701">
              <w:rPr>
                <w:rFonts w:ascii="Arial" w:hAnsi="Arial" w:cs="Arial"/>
                <w:sz w:val="20"/>
                <w:szCs w:val="20"/>
                <w:lang w:val="it-IT"/>
              </w:rPr>
              <w:t xml:space="preserve"> &lt; 5 µg/kg;</w:t>
            </w:r>
          </w:p>
          <w:p w14:paraId="56E7C522" w14:textId="77777777" w:rsidR="00673549" w:rsidRPr="00D33701" w:rsidRDefault="00673549" w:rsidP="00673549">
            <w:pPr>
              <w:pStyle w:val="Plattetekst"/>
              <w:numPr>
                <w:ilvl w:val="0"/>
                <w:numId w:val="12"/>
              </w:numPr>
              <w:spacing w:line="240" w:lineRule="auto"/>
              <w:rPr>
                <w:rFonts w:ascii="Arial" w:hAnsi="Arial" w:cs="Arial"/>
                <w:iCs/>
                <w:sz w:val="20"/>
                <w:szCs w:val="20"/>
                <w:lang w:val="en-GB"/>
              </w:rPr>
            </w:pPr>
            <w:proofErr w:type="spellStart"/>
            <w:r w:rsidRPr="00D33701">
              <w:rPr>
                <w:rFonts w:ascii="Arial" w:hAnsi="Arial" w:cs="Arial"/>
                <w:sz w:val="20"/>
                <w:szCs w:val="20"/>
                <w:lang w:val="en-GB"/>
              </w:rPr>
              <w:t>Fluoranthene</w:t>
            </w:r>
            <w:proofErr w:type="spellEnd"/>
            <w:r w:rsidRPr="00D33701">
              <w:rPr>
                <w:rFonts w:ascii="Arial" w:hAnsi="Arial" w:cs="Arial"/>
                <w:sz w:val="20"/>
                <w:szCs w:val="20"/>
                <w:lang w:val="en-GB"/>
              </w:rPr>
              <w:t xml:space="preserve"> &lt; 30</w:t>
            </w:r>
            <w:r w:rsidRPr="00D33701">
              <w:rPr>
                <w:rFonts w:ascii="Arial" w:hAnsi="Arial" w:cs="Arial"/>
                <w:bCs/>
                <w:sz w:val="20"/>
                <w:szCs w:val="20"/>
                <w:lang w:val="en-GB"/>
              </w:rPr>
              <w:t xml:space="preserve"> </w:t>
            </w:r>
            <w:r w:rsidRPr="00D33701">
              <w:rPr>
                <w:rFonts w:ascii="Arial" w:hAnsi="Arial" w:cs="Arial"/>
                <w:iCs/>
                <w:sz w:val="20"/>
                <w:szCs w:val="20"/>
                <w:lang w:val="en-GB"/>
              </w:rPr>
              <w:t>µg/kg.</w:t>
            </w:r>
          </w:p>
          <w:p w14:paraId="1482988D" w14:textId="77777777" w:rsidR="00673549" w:rsidRPr="00D33701" w:rsidRDefault="00673549" w:rsidP="00673549">
            <w:pPr>
              <w:pStyle w:val="Plattetekst"/>
              <w:spacing w:line="240" w:lineRule="auto"/>
              <w:rPr>
                <w:rFonts w:ascii="Arial" w:hAnsi="Arial" w:cs="Arial"/>
                <w:sz w:val="20"/>
                <w:szCs w:val="20"/>
                <w:lang w:val="en"/>
              </w:rPr>
            </w:pPr>
            <w:r w:rsidRPr="00D33701">
              <w:rPr>
                <w:rStyle w:val="hps"/>
                <w:rFonts w:ascii="Arial" w:hAnsi="Arial" w:cs="Arial"/>
                <w:sz w:val="20"/>
                <w:szCs w:val="20"/>
                <w:lang w:val="en"/>
              </w:rPr>
              <w:t>below the following</w:t>
            </w:r>
            <w:r w:rsidRPr="00D33701">
              <w:rPr>
                <w:rFonts w:ascii="Arial" w:hAnsi="Arial" w:cs="Arial"/>
                <w:sz w:val="20"/>
                <w:szCs w:val="20"/>
                <w:lang w:val="en"/>
              </w:rPr>
              <w:t xml:space="preserve"> </w:t>
            </w:r>
            <w:r w:rsidRPr="00D33701">
              <w:rPr>
                <w:rStyle w:val="hps"/>
                <w:rFonts w:ascii="Arial" w:hAnsi="Arial" w:cs="Arial"/>
                <w:sz w:val="20"/>
                <w:szCs w:val="20"/>
                <w:lang w:val="en"/>
              </w:rPr>
              <w:t>threshold value</w:t>
            </w:r>
            <w:r w:rsidRPr="00D33701">
              <w:rPr>
                <w:rFonts w:ascii="Arial" w:hAnsi="Arial" w:cs="Arial"/>
                <w:sz w:val="20"/>
                <w:szCs w:val="20"/>
                <w:lang w:val="en"/>
              </w:rPr>
              <w:t xml:space="preserve"> </w:t>
            </w:r>
            <w:r w:rsidRPr="00D33701">
              <w:rPr>
                <w:rStyle w:val="hps"/>
                <w:rFonts w:ascii="Arial" w:hAnsi="Arial" w:cs="Arial"/>
                <w:sz w:val="20"/>
                <w:szCs w:val="20"/>
                <w:lang w:val="en"/>
              </w:rPr>
              <w:t>in accordance with Directive</w:t>
            </w:r>
            <w:r w:rsidRPr="00D33701">
              <w:rPr>
                <w:rFonts w:ascii="Arial" w:hAnsi="Arial" w:cs="Arial"/>
                <w:sz w:val="20"/>
                <w:szCs w:val="20"/>
                <w:lang w:val="en"/>
              </w:rPr>
              <w:t xml:space="preserve"> </w:t>
            </w:r>
            <w:r w:rsidRPr="00D33701">
              <w:rPr>
                <w:rStyle w:val="hps"/>
                <w:rFonts w:ascii="Arial" w:hAnsi="Arial" w:cs="Arial"/>
                <w:sz w:val="20"/>
                <w:szCs w:val="20"/>
                <w:lang w:val="en"/>
              </w:rPr>
              <w:t>2013/39</w:t>
            </w:r>
            <w:r w:rsidRPr="00D33701">
              <w:rPr>
                <w:rFonts w:ascii="Arial" w:hAnsi="Arial" w:cs="Arial"/>
                <w:sz w:val="20"/>
                <w:szCs w:val="20"/>
                <w:lang w:val="en"/>
              </w:rPr>
              <w:t xml:space="preserve"> </w:t>
            </w:r>
            <w:r w:rsidRPr="00D33701">
              <w:rPr>
                <w:rStyle w:val="hps"/>
                <w:rFonts w:ascii="Arial" w:hAnsi="Arial" w:cs="Arial"/>
                <w:sz w:val="20"/>
                <w:szCs w:val="20"/>
                <w:lang w:val="en"/>
              </w:rPr>
              <w:t>/ EC for</w:t>
            </w:r>
            <w:r w:rsidRPr="00D33701">
              <w:rPr>
                <w:rFonts w:ascii="Arial" w:hAnsi="Arial" w:cs="Arial"/>
                <w:sz w:val="20"/>
                <w:szCs w:val="20"/>
                <w:lang w:val="en"/>
              </w:rPr>
              <w:t xml:space="preserve"> </w:t>
            </w:r>
            <w:r w:rsidRPr="00D33701">
              <w:rPr>
                <w:rStyle w:val="hps"/>
                <w:rFonts w:ascii="Arial" w:hAnsi="Arial" w:cs="Arial"/>
                <w:sz w:val="20"/>
                <w:szCs w:val="20"/>
                <w:lang w:val="en"/>
              </w:rPr>
              <w:t>fish</w:t>
            </w:r>
            <w:r w:rsidRPr="00D33701">
              <w:rPr>
                <w:rFonts w:ascii="Arial" w:hAnsi="Arial" w:cs="Arial"/>
                <w:sz w:val="20"/>
                <w:szCs w:val="20"/>
                <w:lang w:val="en"/>
              </w:rPr>
              <w:t xml:space="preserve"> </w:t>
            </w:r>
            <w:r w:rsidRPr="00D33701">
              <w:rPr>
                <w:rStyle w:val="hps"/>
                <w:rFonts w:ascii="Arial" w:hAnsi="Arial" w:cs="Arial"/>
                <w:sz w:val="20"/>
                <w:szCs w:val="20"/>
                <w:lang w:val="en"/>
              </w:rPr>
              <w:t>and</w:t>
            </w:r>
            <w:r w:rsidRPr="00D33701">
              <w:rPr>
                <w:rFonts w:ascii="Arial" w:hAnsi="Arial" w:cs="Arial"/>
                <w:sz w:val="20"/>
                <w:szCs w:val="20"/>
                <w:lang w:val="en"/>
              </w:rPr>
              <w:t xml:space="preserve"> </w:t>
            </w:r>
            <w:r w:rsidRPr="00D33701">
              <w:rPr>
                <w:rStyle w:val="hps"/>
                <w:rFonts w:ascii="Arial" w:hAnsi="Arial" w:cs="Arial"/>
                <w:sz w:val="20"/>
                <w:szCs w:val="20"/>
                <w:lang w:val="en"/>
              </w:rPr>
              <w:t>shellfish</w:t>
            </w:r>
            <w:r w:rsidRPr="00D33701">
              <w:rPr>
                <w:rFonts w:ascii="Arial" w:hAnsi="Arial" w:cs="Arial"/>
                <w:sz w:val="20"/>
                <w:szCs w:val="20"/>
                <w:lang w:val="en"/>
              </w:rPr>
              <w:t>:</w:t>
            </w:r>
          </w:p>
          <w:p w14:paraId="7123129D" w14:textId="77777777" w:rsidR="00673549" w:rsidRPr="00D33701" w:rsidRDefault="00673549" w:rsidP="00673549">
            <w:pPr>
              <w:pStyle w:val="Plattetekst"/>
              <w:numPr>
                <w:ilvl w:val="0"/>
                <w:numId w:val="13"/>
              </w:numPr>
              <w:spacing w:line="240" w:lineRule="auto"/>
              <w:rPr>
                <w:rFonts w:ascii="Arial" w:hAnsi="Arial" w:cs="Arial"/>
                <w:sz w:val="20"/>
                <w:szCs w:val="20"/>
                <w:lang w:val="en-GB"/>
              </w:rPr>
            </w:pPr>
            <w:r w:rsidRPr="00D33701">
              <w:rPr>
                <w:rFonts w:ascii="Arial" w:hAnsi="Arial" w:cs="Arial"/>
                <w:sz w:val="20"/>
                <w:szCs w:val="20"/>
                <w:lang w:val="en-GB"/>
              </w:rPr>
              <w:t>Dioxins  (PCDD+PCDF+PCB-DL) &lt; 0.0065 µg/kg</w:t>
            </w:r>
            <w:r w:rsidRPr="00D33701">
              <w:rPr>
                <w:rStyle w:val="hpsatn"/>
                <w:rFonts w:ascii="Arial" w:hAnsi="Arial" w:cs="Arial"/>
                <w:sz w:val="20"/>
                <w:szCs w:val="20"/>
                <w:lang w:val="en"/>
              </w:rPr>
              <w:t xml:space="preserve"> TEQ (</w:t>
            </w:r>
            <w:r w:rsidRPr="00D33701">
              <w:rPr>
                <w:rFonts w:ascii="Arial" w:hAnsi="Arial" w:cs="Arial"/>
                <w:sz w:val="20"/>
                <w:szCs w:val="20"/>
                <w:lang w:val="en"/>
              </w:rPr>
              <w:t>toxic equivalent concentration)</w:t>
            </w:r>
            <w:r w:rsidRPr="00D33701">
              <w:rPr>
                <w:rFonts w:ascii="Arial" w:hAnsi="Arial" w:cs="Arial"/>
                <w:sz w:val="20"/>
                <w:szCs w:val="20"/>
                <w:lang w:val="en-GB"/>
              </w:rPr>
              <w:t>.</w:t>
            </w:r>
          </w:p>
          <w:p w14:paraId="698E167B"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b/>
                <w:sz w:val="20"/>
                <w:szCs w:val="20"/>
                <w:lang w:val="en-GB"/>
              </w:rPr>
              <w:t>9.1.1 Target for radionuclides in fish and shellfish products</w:t>
            </w:r>
            <w:r w:rsidRPr="00D33701">
              <w:rPr>
                <w:rFonts w:ascii="Arial" w:hAnsi="Arial" w:cs="Arial"/>
                <w:sz w:val="20"/>
                <w:szCs w:val="20"/>
                <w:lang w:val="en-GB"/>
              </w:rPr>
              <w:t xml:space="preserve"> </w:t>
            </w:r>
            <w:r w:rsidRPr="00D33701">
              <w:rPr>
                <w:rStyle w:val="hps"/>
                <w:rFonts w:ascii="Arial" w:hAnsi="Arial" w:cs="Arial"/>
                <w:b/>
                <w:sz w:val="20"/>
                <w:szCs w:val="20"/>
                <w:lang w:val="en"/>
              </w:rPr>
              <w:t>used as</w:t>
            </w:r>
            <w:r w:rsidRPr="00D33701">
              <w:rPr>
                <w:rStyle w:val="shorttext"/>
                <w:rFonts w:ascii="Arial" w:hAnsi="Arial" w:cs="Arial"/>
                <w:b/>
                <w:sz w:val="20"/>
                <w:szCs w:val="20"/>
                <w:lang w:val="en"/>
              </w:rPr>
              <w:t xml:space="preserve"> </w:t>
            </w:r>
            <w:r w:rsidRPr="00D33701">
              <w:rPr>
                <w:rStyle w:val="hpsalt-edited"/>
                <w:rFonts w:ascii="Arial" w:hAnsi="Arial" w:cs="Arial"/>
                <w:b/>
                <w:sz w:val="20"/>
                <w:szCs w:val="20"/>
                <w:lang w:val="en"/>
              </w:rPr>
              <w:t xml:space="preserve">seafood </w:t>
            </w:r>
            <w:r w:rsidRPr="00D33701">
              <w:rPr>
                <w:rFonts w:ascii="Arial" w:hAnsi="Arial" w:cs="Arial"/>
                <w:sz w:val="20"/>
                <w:szCs w:val="20"/>
                <w:lang w:val="en-GB"/>
              </w:rPr>
              <w:t xml:space="preserve">– the concentration of radionuclides in the Black Sea fish and shellfish species like </w:t>
            </w:r>
            <w:r w:rsidRPr="00D33701">
              <w:rPr>
                <w:rFonts w:ascii="Arial" w:hAnsi="Arial" w:cs="Arial"/>
                <w:bCs/>
                <w:sz w:val="20"/>
                <w:szCs w:val="20"/>
              </w:rPr>
              <w:t>Mediterranean mussel</w:t>
            </w:r>
            <w:r w:rsidRPr="00D33701">
              <w:rPr>
                <w:rFonts w:ascii="Arial" w:hAnsi="Arial" w:cs="Arial"/>
                <w:sz w:val="20"/>
                <w:szCs w:val="20"/>
                <w:lang w:val="en-GB"/>
              </w:rPr>
              <w:t xml:space="preserve"> (</w:t>
            </w:r>
            <w:proofErr w:type="spellStart"/>
            <w:r w:rsidRPr="00D33701">
              <w:rPr>
                <w:rFonts w:ascii="Arial" w:hAnsi="Arial" w:cs="Arial"/>
                <w:i/>
                <w:sz w:val="20"/>
                <w:szCs w:val="20"/>
                <w:lang w:val="en-GB"/>
              </w:rPr>
              <w:t>Mytilus</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galloprovincialis</w:t>
            </w:r>
            <w:proofErr w:type="spellEnd"/>
            <w:r w:rsidRPr="00D33701">
              <w:rPr>
                <w:rFonts w:ascii="Arial" w:hAnsi="Arial" w:cs="Arial"/>
                <w:sz w:val="20"/>
                <w:szCs w:val="20"/>
                <w:lang w:val="en-GB"/>
              </w:rPr>
              <w:t xml:space="preserve">) and Veined </w:t>
            </w:r>
            <w:proofErr w:type="spellStart"/>
            <w:r w:rsidRPr="00D33701">
              <w:rPr>
                <w:rFonts w:ascii="Arial" w:hAnsi="Arial" w:cs="Arial"/>
                <w:sz w:val="20"/>
                <w:szCs w:val="20"/>
                <w:lang w:val="en-GB"/>
              </w:rPr>
              <w:t>rapa</w:t>
            </w:r>
            <w:proofErr w:type="spellEnd"/>
            <w:r w:rsidRPr="00D33701">
              <w:rPr>
                <w:rFonts w:ascii="Arial" w:hAnsi="Arial" w:cs="Arial"/>
                <w:sz w:val="20"/>
                <w:szCs w:val="20"/>
                <w:lang w:val="en-GB"/>
              </w:rPr>
              <w:t xml:space="preserve"> whelk (</w:t>
            </w:r>
            <w:proofErr w:type="spellStart"/>
            <w:r w:rsidRPr="00D33701">
              <w:rPr>
                <w:rFonts w:ascii="Arial" w:hAnsi="Arial" w:cs="Arial"/>
                <w:i/>
                <w:sz w:val="20"/>
                <w:szCs w:val="20"/>
                <w:lang w:val="en-GB"/>
              </w:rPr>
              <w:t>Rapana</w:t>
            </w:r>
            <w:proofErr w:type="spellEnd"/>
            <w:r w:rsidRPr="00D33701">
              <w:rPr>
                <w:rFonts w:ascii="Arial" w:hAnsi="Arial" w:cs="Arial"/>
                <w:i/>
                <w:sz w:val="20"/>
                <w:szCs w:val="20"/>
                <w:lang w:val="en-GB"/>
              </w:rPr>
              <w:t xml:space="preserve"> </w:t>
            </w:r>
            <w:proofErr w:type="spellStart"/>
            <w:r w:rsidRPr="00D33701">
              <w:rPr>
                <w:rFonts w:ascii="Arial" w:hAnsi="Arial" w:cs="Arial"/>
                <w:i/>
                <w:sz w:val="20"/>
                <w:szCs w:val="20"/>
                <w:lang w:val="en-GB"/>
              </w:rPr>
              <w:t>venosa</w:t>
            </w:r>
            <w:proofErr w:type="spellEnd"/>
            <w:r w:rsidRPr="00D33701">
              <w:rPr>
                <w:rFonts w:ascii="Arial" w:hAnsi="Arial" w:cs="Arial"/>
                <w:sz w:val="20"/>
                <w:szCs w:val="20"/>
                <w:lang w:val="en-GB"/>
              </w:rPr>
              <w:t>) is below the threshold values (thresholds based on the values set in Council regulation (EURATOM) No 3954/87, transposed in the national legislation through Order No. 11 from 18.04.2002):</w:t>
            </w:r>
          </w:p>
          <w:p w14:paraId="0B0159DC"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 xml:space="preserve">The levels of the isotopes of strontium, notably Sr-90, is below 750 </w:t>
            </w:r>
            <w:proofErr w:type="spellStart"/>
            <w:r w:rsidRPr="00D33701">
              <w:rPr>
                <w:rFonts w:ascii="Arial" w:hAnsi="Arial" w:cs="Arial"/>
                <w:sz w:val="20"/>
                <w:szCs w:val="20"/>
                <w:lang w:val="en-GB"/>
              </w:rPr>
              <w:t>Bq</w:t>
            </w:r>
            <w:proofErr w:type="spellEnd"/>
            <w:r w:rsidRPr="00D33701">
              <w:rPr>
                <w:rFonts w:ascii="Arial" w:hAnsi="Arial" w:cs="Arial"/>
                <w:sz w:val="20"/>
                <w:szCs w:val="20"/>
                <w:lang w:val="en-GB"/>
              </w:rPr>
              <w:t>/kg;</w:t>
            </w:r>
          </w:p>
          <w:p w14:paraId="4DE0F2FC"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 xml:space="preserve">All other radionuclides of half-life greater than 10 days, notable Cs-134 and Cs-137 is below 1250 </w:t>
            </w:r>
            <w:proofErr w:type="spellStart"/>
            <w:r w:rsidRPr="00D33701">
              <w:rPr>
                <w:rFonts w:ascii="Arial" w:hAnsi="Arial" w:cs="Arial"/>
                <w:sz w:val="20"/>
                <w:szCs w:val="20"/>
                <w:lang w:val="en-GB"/>
              </w:rPr>
              <w:t>Bq</w:t>
            </w:r>
            <w:proofErr w:type="spellEnd"/>
            <w:r w:rsidRPr="00D33701">
              <w:rPr>
                <w:rFonts w:ascii="Arial" w:hAnsi="Arial" w:cs="Arial"/>
                <w:sz w:val="20"/>
                <w:szCs w:val="20"/>
                <w:lang w:val="en-GB"/>
              </w:rPr>
              <w:t>/kg;</w:t>
            </w:r>
          </w:p>
          <w:p w14:paraId="49D691E0"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b/>
                <w:sz w:val="20"/>
                <w:szCs w:val="20"/>
                <w:lang w:val="en-GB"/>
              </w:rPr>
              <w:t>Target on indicator 9.1.1 for contaminants relevant to fish and shellfish products for which regulatory levels have not been set</w:t>
            </w:r>
            <w:r w:rsidRPr="00D33701">
              <w:rPr>
                <w:rFonts w:ascii="Arial" w:hAnsi="Arial" w:cs="Arial"/>
                <w:sz w:val="20"/>
                <w:szCs w:val="20"/>
                <w:lang w:val="en-GB"/>
              </w:rPr>
              <w:t>:</w:t>
            </w:r>
          </w:p>
          <w:p w14:paraId="47A72088"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Polychlorinated biphenyls (PCBs) - decreasing trend in the concentration of Non dioxin-like Polychlorinated biphenyls (PCBs) in fish and shellfish;</w:t>
            </w:r>
          </w:p>
          <w:p w14:paraId="7197D94B" w14:textId="77777777" w:rsidR="00673549" w:rsidRPr="00D33701" w:rsidRDefault="00673549" w:rsidP="00673549">
            <w:pPr>
              <w:pStyle w:val="Plattetekst"/>
              <w:numPr>
                <w:ilvl w:val="0"/>
                <w:numId w:val="12"/>
              </w:numPr>
              <w:spacing w:line="240" w:lineRule="auto"/>
              <w:rPr>
                <w:rFonts w:ascii="Arial" w:hAnsi="Arial" w:cs="Arial"/>
                <w:sz w:val="20"/>
                <w:szCs w:val="20"/>
                <w:lang w:val="en-GB"/>
              </w:rPr>
            </w:pPr>
            <w:r w:rsidRPr="00D33701">
              <w:rPr>
                <w:rFonts w:ascii="Arial" w:hAnsi="Arial" w:cs="Arial"/>
                <w:sz w:val="20"/>
                <w:szCs w:val="20"/>
                <w:lang w:val="en-GB"/>
              </w:rPr>
              <w:t xml:space="preserve">Decreasing trends in the concentration of </w:t>
            </w:r>
            <w:proofErr w:type="spellStart"/>
            <w:r w:rsidRPr="00D33701">
              <w:rPr>
                <w:rFonts w:ascii="Arial" w:hAnsi="Arial" w:cs="Arial"/>
                <w:sz w:val="20"/>
                <w:szCs w:val="20"/>
                <w:lang w:val="en-GB"/>
              </w:rPr>
              <w:t>p,p</w:t>
            </w:r>
            <w:proofErr w:type="spellEnd"/>
            <w:r w:rsidRPr="00D33701">
              <w:rPr>
                <w:rFonts w:ascii="Arial" w:hAnsi="Arial" w:cs="Arial"/>
                <w:sz w:val="20"/>
                <w:szCs w:val="20"/>
                <w:lang w:val="en-GB"/>
              </w:rPr>
              <w:t xml:space="preserve">’-DDE, </w:t>
            </w:r>
            <w:proofErr w:type="spellStart"/>
            <w:r w:rsidRPr="00D33701">
              <w:rPr>
                <w:rFonts w:ascii="Arial" w:hAnsi="Arial" w:cs="Arial"/>
                <w:sz w:val="20"/>
                <w:szCs w:val="20"/>
                <w:lang w:val="en-GB"/>
              </w:rPr>
              <w:t>p,p</w:t>
            </w:r>
            <w:proofErr w:type="spellEnd"/>
            <w:r w:rsidRPr="00D33701">
              <w:rPr>
                <w:rFonts w:ascii="Arial" w:hAnsi="Arial" w:cs="Arial"/>
                <w:sz w:val="20"/>
                <w:szCs w:val="20"/>
                <w:lang w:val="en-GB"/>
              </w:rPr>
              <w:t xml:space="preserve">’-DDD, </w:t>
            </w:r>
            <w:proofErr w:type="spellStart"/>
            <w:r w:rsidRPr="00D33701">
              <w:rPr>
                <w:rFonts w:ascii="Arial" w:hAnsi="Arial" w:cs="Arial"/>
                <w:sz w:val="20"/>
                <w:szCs w:val="20"/>
                <w:lang w:val="en-GB"/>
              </w:rPr>
              <w:t>p,p</w:t>
            </w:r>
            <w:proofErr w:type="spellEnd"/>
            <w:r w:rsidRPr="00D33701">
              <w:rPr>
                <w:rFonts w:ascii="Arial" w:hAnsi="Arial" w:cs="Arial"/>
                <w:sz w:val="20"/>
                <w:szCs w:val="20"/>
                <w:lang w:val="en-GB"/>
              </w:rPr>
              <w:t>’-DDT.</w:t>
            </w:r>
          </w:p>
          <w:p w14:paraId="697814EB" w14:textId="77777777" w:rsidR="00673549" w:rsidRPr="00D33701" w:rsidRDefault="00673549" w:rsidP="00673549">
            <w:pPr>
              <w:pStyle w:val="Plattetekst"/>
              <w:spacing w:line="240" w:lineRule="auto"/>
              <w:rPr>
                <w:rFonts w:ascii="Arial" w:hAnsi="Arial" w:cs="Arial"/>
                <w:sz w:val="20"/>
                <w:szCs w:val="20"/>
                <w:lang w:val="en-GB"/>
              </w:rPr>
            </w:pPr>
            <w:r w:rsidRPr="00D33701">
              <w:rPr>
                <w:rFonts w:ascii="Arial" w:hAnsi="Arial" w:cs="Arial"/>
                <w:b/>
                <w:sz w:val="20"/>
                <w:szCs w:val="20"/>
                <w:lang w:val="en-GB"/>
              </w:rPr>
              <w:t>Target on indicator 9.1.1 on the number of contaminants which have exceeded maximum regulatory levels</w:t>
            </w:r>
            <w:r w:rsidRPr="00D33701">
              <w:rPr>
                <w:rFonts w:ascii="Arial" w:hAnsi="Arial" w:cs="Arial"/>
                <w:sz w:val="20"/>
                <w:szCs w:val="20"/>
                <w:lang w:val="en-GB"/>
              </w:rPr>
              <w:t xml:space="preserve"> – the number of contaminants, which have exceeded maximum regulatory levels, is decreasing.</w:t>
            </w:r>
          </w:p>
          <w:p w14:paraId="427F594A" w14:textId="3EC7732F" w:rsidR="00673549" w:rsidRPr="00D33701" w:rsidRDefault="00673549" w:rsidP="00673549">
            <w:pPr>
              <w:spacing w:before="60" w:after="60" w:line="240" w:lineRule="auto"/>
              <w:rPr>
                <w:rFonts w:ascii="Arial" w:hAnsi="Arial" w:cs="Arial"/>
                <w:i/>
                <w:sz w:val="20"/>
                <w:szCs w:val="20"/>
                <w:lang w:val="en-GB"/>
              </w:rPr>
            </w:pPr>
            <w:r w:rsidRPr="00D33701">
              <w:rPr>
                <w:rFonts w:ascii="Arial" w:hAnsi="Arial" w:cs="Arial"/>
                <w:b/>
                <w:sz w:val="20"/>
                <w:szCs w:val="20"/>
                <w:lang w:val="en-GB"/>
              </w:rPr>
              <w:t>Target on indicator 9.1.2 on the frequency of regulatory levels being exceeded</w:t>
            </w:r>
            <w:r w:rsidRPr="00D33701">
              <w:rPr>
                <w:rFonts w:ascii="Arial" w:hAnsi="Arial" w:cs="Arial"/>
                <w:sz w:val="20"/>
                <w:szCs w:val="20"/>
                <w:lang w:val="en-GB"/>
              </w:rPr>
              <w:t xml:space="preserve"> – Frequency of regulatory levels being exceeded is decreasing.</w:t>
            </w:r>
          </w:p>
        </w:tc>
      </w:tr>
      <w:tr w:rsidR="005D3832" w:rsidRPr="00D33701" w14:paraId="0C581C64" w14:textId="77777777" w:rsidTr="00152372">
        <w:tc>
          <w:tcPr>
            <w:tcW w:w="2376" w:type="dxa"/>
            <w:shd w:val="clear" w:color="auto" w:fill="auto"/>
          </w:tcPr>
          <w:p w14:paraId="24B07EE9" w14:textId="5AB2515A"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lastRenderedPageBreak/>
              <w:t>Descriptors</w:t>
            </w:r>
          </w:p>
        </w:tc>
        <w:tc>
          <w:tcPr>
            <w:tcW w:w="7405" w:type="dxa"/>
            <w:gridSpan w:val="2"/>
            <w:shd w:val="clear" w:color="auto" w:fill="auto"/>
          </w:tcPr>
          <w:p w14:paraId="2FBD4DA2" w14:textId="77777777" w:rsidR="000F1AFE" w:rsidRPr="00D33701" w:rsidRDefault="000F1AFE" w:rsidP="00E41209">
            <w:pPr>
              <w:spacing w:before="60" w:after="60" w:line="240" w:lineRule="auto"/>
              <w:rPr>
                <w:rFonts w:ascii="Arial" w:hAnsi="Arial" w:cs="Arial"/>
                <w:sz w:val="20"/>
                <w:szCs w:val="20"/>
                <w:lang w:val="en-US"/>
              </w:rPr>
            </w:pPr>
            <w:r w:rsidRPr="00D33701">
              <w:rPr>
                <w:rFonts w:ascii="Arial" w:hAnsi="Arial" w:cs="Arial"/>
                <w:sz w:val="20"/>
                <w:szCs w:val="20"/>
                <w:lang w:val="en-US"/>
              </w:rPr>
              <w:t>D9 – Contaminants in food</w:t>
            </w:r>
          </w:p>
        </w:tc>
      </w:tr>
      <w:tr w:rsidR="008B05CB" w:rsidRPr="00C34F01" w14:paraId="292D6018" w14:textId="77777777" w:rsidTr="00152372">
        <w:tc>
          <w:tcPr>
            <w:tcW w:w="2376" w:type="dxa"/>
            <w:shd w:val="clear" w:color="auto" w:fill="auto"/>
          </w:tcPr>
          <w:p w14:paraId="2B45E852" w14:textId="77777777" w:rsidR="008B05CB" w:rsidRPr="00D33701" w:rsidRDefault="008B05CB"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Main pressures</w:t>
            </w:r>
          </w:p>
        </w:tc>
        <w:tc>
          <w:tcPr>
            <w:tcW w:w="7405" w:type="dxa"/>
            <w:gridSpan w:val="2"/>
            <w:shd w:val="clear" w:color="auto" w:fill="auto"/>
          </w:tcPr>
          <w:p w14:paraId="1DC4ED26"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Contamination by hazardous substances</w:t>
            </w:r>
          </w:p>
          <w:p w14:paraId="26CA7D29"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 xml:space="preserve">— introduction of synthetic compounds (e.g. priority substances under Directive 2000/60/EC which are relevant for the marine environment such as pesticides, </w:t>
            </w:r>
            <w:proofErr w:type="spellStart"/>
            <w:r w:rsidRPr="00D33701">
              <w:rPr>
                <w:rFonts w:ascii="Arial" w:hAnsi="Arial" w:cs="Arial"/>
                <w:i/>
                <w:sz w:val="20"/>
                <w:szCs w:val="20"/>
                <w:lang w:val="en-GB"/>
              </w:rPr>
              <w:t>antifoulants</w:t>
            </w:r>
            <w:proofErr w:type="spellEnd"/>
            <w:r w:rsidRPr="00D33701">
              <w:rPr>
                <w:rFonts w:ascii="Arial" w:hAnsi="Arial" w:cs="Arial"/>
                <w:i/>
                <w:sz w:val="20"/>
                <w:szCs w:val="20"/>
                <w:lang w:val="en-GB"/>
              </w:rPr>
              <w:t>, pharmaceuticals, resulting, for example, from losses from diffuse sources, pollution by ships, atmospheric deposition and biologically active substances),</w:t>
            </w:r>
          </w:p>
          <w:p w14:paraId="413043C5"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 introduction of non-synthetic substances and compounds (e.g. heavy metals, hydrocarbons, resulting, for example, from pollution by ships and oil, gas and mineral exploration and exploitation, atmospheric deposition, riverine inputs),</w:t>
            </w:r>
          </w:p>
          <w:p w14:paraId="73A4A70B"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 introduction of radionuclides</w:t>
            </w:r>
          </w:p>
          <w:p w14:paraId="0EA93FF8"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Biological disturbances</w:t>
            </w:r>
          </w:p>
          <w:p w14:paraId="0E07C106" w14:textId="77777777" w:rsidR="00C65FCC" w:rsidRPr="00D33701" w:rsidRDefault="00C65FCC" w:rsidP="00C65FCC">
            <w:pPr>
              <w:spacing w:before="60" w:after="60" w:line="240" w:lineRule="auto"/>
              <w:rPr>
                <w:rFonts w:ascii="Arial" w:hAnsi="Arial" w:cs="Arial"/>
                <w:i/>
                <w:sz w:val="20"/>
                <w:szCs w:val="20"/>
                <w:lang w:val="en-GB"/>
              </w:rPr>
            </w:pPr>
            <w:r w:rsidRPr="00D33701">
              <w:rPr>
                <w:rFonts w:ascii="Arial" w:hAnsi="Arial" w:cs="Arial"/>
                <w:i/>
                <w:sz w:val="20"/>
                <w:szCs w:val="20"/>
                <w:lang w:val="en-GB"/>
              </w:rPr>
              <w:t>-</w:t>
            </w:r>
            <w:r w:rsidRPr="00D33701">
              <w:rPr>
                <w:rFonts w:ascii="Arial" w:hAnsi="Arial" w:cs="Arial"/>
                <w:i/>
                <w:sz w:val="20"/>
                <w:szCs w:val="20"/>
                <w:lang w:val="en-GB"/>
              </w:rPr>
              <w:tab/>
              <w:t>introduction of microbial pathogens</w:t>
            </w:r>
          </w:p>
          <w:p w14:paraId="13792281" w14:textId="1EF63B98" w:rsidR="00673549" w:rsidRPr="00D33701" w:rsidRDefault="00C65FCC" w:rsidP="000B67FF">
            <w:pPr>
              <w:rPr>
                <w:rFonts w:ascii="Arial" w:hAnsi="Arial" w:cs="Arial"/>
                <w:i/>
                <w:sz w:val="20"/>
                <w:szCs w:val="20"/>
                <w:lang w:val="en-GB"/>
              </w:rPr>
            </w:pPr>
            <w:r w:rsidRPr="00D33701">
              <w:rPr>
                <w:rFonts w:ascii="Arial" w:hAnsi="Arial" w:cs="Arial"/>
                <w:i/>
                <w:sz w:val="20"/>
                <w:szCs w:val="20"/>
                <w:lang w:val="en-GB"/>
              </w:rPr>
              <w:t>Systematic and/or intentional release of substances</w:t>
            </w:r>
          </w:p>
        </w:tc>
      </w:tr>
      <w:tr w:rsidR="00AF66BF" w:rsidRPr="00C34F01" w14:paraId="57A7B937" w14:textId="77777777" w:rsidTr="00152372">
        <w:tc>
          <w:tcPr>
            <w:tcW w:w="2376" w:type="dxa"/>
            <w:shd w:val="clear" w:color="auto" w:fill="auto"/>
          </w:tcPr>
          <w:p w14:paraId="4CCC3928" w14:textId="75648A19" w:rsidR="00AF66BF" w:rsidRPr="00D33701" w:rsidRDefault="00AF66BF"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Main drivers</w:t>
            </w:r>
          </w:p>
        </w:tc>
        <w:tc>
          <w:tcPr>
            <w:tcW w:w="7405" w:type="dxa"/>
            <w:gridSpan w:val="2"/>
            <w:shd w:val="clear" w:color="auto" w:fill="auto"/>
          </w:tcPr>
          <w:p w14:paraId="51B99576" w14:textId="37618245" w:rsidR="00AF66BF" w:rsidRPr="00D33701" w:rsidRDefault="00C65FCC" w:rsidP="00E41209">
            <w:pPr>
              <w:spacing w:before="60" w:after="60" w:line="240" w:lineRule="auto"/>
              <w:rPr>
                <w:rFonts w:ascii="Arial" w:hAnsi="Arial" w:cs="Arial"/>
                <w:i/>
                <w:sz w:val="20"/>
                <w:szCs w:val="20"/>
                <w:lang w:val="en-GB"/>
              </w:rPr>
            </w:pPr>
            <w:r w:rsidRPr="00D33701">
              <w:rPr>
                <w:rFonts w:ascii="Arial" w:hAnsi="Arial" w:cs="Arial"/>
                <w:i/>
                <w:sz w:val="20"/>
                <w:szCs w:val="20"/>
                <w:lang w:val="en-GB"/>
              </w:rPr>
              <w:t>Industry, Agriculture, Tourism and Recreational activities, Shipping, Energy production (offshore platforms), Waste Disposal, Extraction of non-living resources, Port operations, Urban discharges</w:t>
            </w:r>
          </w:p>
        </w:tc>
      </w:tr>
      <w:tr w:rsidR="005D3832" w:rsidRPr="00D33701" w14:paraId="4F7BAD58" w14:textId="77777777" w:rsidTr="00152372">
        <w:tc>
          <w:tcPr>
            <w:tcW w:w="2376" w:type="dxa"/>
            <w:shd w:val="clear" w:color="auto" w:fill="auto"/>
          </w:tcPr>
          <w:p w14:paraId="58795BA7"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Characteristics</w:t>
            </w:r>
          </w:p>
        </w:tc>
        <w:tc>
          <w:tcPr>
            <w:tcW w:w="7405" w:type="dxa"/>
            <w:gridSpan w:val="2"/>
            <w:shd w:val="clear" w:color="auto" w:fill="auto"/>
          </w:tcPr>
          <w:p w14:paraId="66010076" w14:textId="5C7C9BA2" w:rsidR="00AC31C7" w:rsidRPr="00D33701" w:rsidRDefault="00AE6ACD" w:rsidP="000B67FF">
            <w:pPr>
              <w:pStyle w:val="Lijstalinea"/>
              <w:numPr>
                <w:ilvl w:val="0"/>
                <w:numId w:val="9"/>
              </w:numPr>
              <w:spacing w:before="60" w:after="60" w:line="240" w:lineRule="auto"/>
              <w:rPr>
                <w:rFonts w:ascii="Arial" w:hAnsi="Arial" w:cs="Arial"/>
                <w:i/>
                <w:sz w:val="20"/>
                <w:szCs w:val="20"/>
                <w:lang w:val="en-GB"/>
              </w:rPr>
            </w:pPr>
            <w:r w:rsidRPr="00D33701">
              <w:rPr>
                <w:rFonts w:ascii="Arial" w:hAnsi="Arial" w:cs="Arial"/>
                <w:sz w:val="20"/>
                <w:szCs w:val="20"/>
                <w:lang w:val="en-GB"/>
              </w:rPr>
              <w:t>Benthic habitats</w:t>
            </w:r>
          </w:p>
        </w:tc>
      </w:tr>
      <w:tr w:rsidR="005D3832" w:rsidRPr="00C34F01" w14:paraId="5C588249" w14:textId="77777777" w:rsidTr="00152372">
        <w:tc>
          <w:tcPr>
            <w:tcW w:w="2376" w:type="dxa"/>
            <w:shd w:val="clear" w:color="auto" w:fill="auto"/>
          </w:tcPr>
          <w:p w14:paraId="56B5FA2F" w14:textId="4DB2A904" w:rsidR="005D3832" w:rsidRPr="00D33701" w:rsidRDefault="00AF66BF" w:rsidP="00AF66BF">
            <w:pPr>
              <w:spacing w:before="60" w:after="60" w:line="240" w:lineRule="auto"/>
              <w:rPr>
                <w:rFonts w:ascii="Arial" w:hAnsi="Arial" w:cs="Arial"/>
                <w:b/>
                <w:sz w:val="20"/>
                <w:szCs w:val="20"/>
                <w:lang w:val="en-GB"/>
              </w:rPr>
            </w:pPr>
            <w:r w:rsidRPr="00D33701">
              <w:rPr>
                <w:rFonts w:ascii="Arial" w:hAnsi="Arial" w:cs="Arial"/>
                <w:b/>
                <w:sz w:val="20"/>
                <w:szCs w:val="20"/>
                <w:lang w:val="en-GB"/>
              </w:rPr>
              <w:t>Link to other directive/legislation/policy</w:t>
            </w:r>
          </w:p>
        </w:tc>
        <w:tc>
          <w:tcPr>
            <w:tcW w:w="7405" w:type="dxa"/>
            <w:gridSpan w:val="2"/>
            <w:shd w:val="clear" w:color="auto" w:fill="auto"/>
          </w:tcPr>
          <w:p w14:paraId="1D2D0CE9" w14:textId="34C1720B" w:rsidR="00C65FCC" w:rsidRPr="00D33701" w:rsidRDefault="00C65FCC" w:rsidP="00C65FCC">
            <w:pPr>
              <w:pStyle w:val="Plattetekst"/>
              <w:spacing w:line="240" w:lineRule="auto"/>
              <w:rPr>
                <w:rFonts w:ascii="Arial" w:hAnsi="Arial" w:cs="Arial"/>
                <w:sz w:val="20"/>
                <w:szCs w:val="20"/>
                <w:lang w:val="en-GB"/>
              </w:rPr>
            </w:pPr>
            <w:r w:rsidRPr="00D33701">
              <w:rPr>
                <w:rFonts w:ascii="Arial" w:hAnsi="Arial" w:cs="Arial"/>
                <w:sz w:val="20"/>
                <w:szCs w:val="20"/>
                <w:lang w:val="en-GB"/>
              </w:rPr>
              <w:t>Directive 2013/39/EC as regards priority substances in the field of water policy (in shellfish species)</w:t>
            </w:r>
          </w:p>
          <w:p w14:paraId="6454F65F" w14:textId="10E81ED4" w:rsidR="00C65FCC" w:rsidRPr="00D33701" w:rsidRDefault="00C65FCC" w:rsidP="00C65FCC">
            <w:pPr>
              <w:pStyle w:val="Plattetekst"/>
              <w:spacing w:line="240" w:lineRule="auto"/>
              <w:rPr>
                <w:rFonts w:ascii="Arial" w:hAnsi="Arial" w:cs="Arial"/>
                <w:sz w:val="20"/>
                <w:szCs w:val="20"/>
                <w:lang w:val="en-GB"/>
              </w:rPr>
            </w:pPr>
            <w:r w:rsidRPr="00D33701">
              <w:rPr>
                <w:rFonts w:ascii="Arial" w:hAnsi="Arial" w:cs="Arial"/>
                <w:sz w:val="20"/>
                <w:szCs w:val="20"/>
                <w:lang w:val="en-GB"/>
              </w:rPr>
              <w:t>Regulation (EC) no. 1881/2006 amended by Regulation (EC) no. 1126/2007; Regulation (EC) no. 565/2008; Regulation (EC) no. 629/2008; Regulation (EU) No. 105/2010; Regulation (EU) No. 165/2010, Regulation (EC) no. 1259/2011;</w:t>
            </w:r>
          </w:p>
          <w:p w14:paraId="3AA2F4BC" w14:textId="3097D660" w:rsidR="00C65FCC" w:rsidRPr="00D33701" w:rsidRDefault="00C65FCC" w:rsidP="00C65FCC">
            <w:pPr>
              <w:pStyle w:val="Plattetekst"/>
              <w:spacing w:line="240" w:lineRule="auto"/>
              <w:rPr>
                <w:rFonts w:ascii="Arial" w:hAnsi="Arial" w:cs="Arial"/>
                <w:sz w:val="20"/>
                <w:szCs w:val="20"/>
                <w:lang w:val="en-GB"/>
              </w:rPr>
            </w:pPr>
            <w:r w:rsidRPr="00D33701">
              <w:rPr>
                <w:rFonts w:ascii="Arial" w:hAnsi="Arial" w:cs="Arial"/>
                <w:sz w:val="20"/>
                <w:szCs w:val="20"/>
                <w:lang w:val="en-GB"/>
              </w:rPr>
              <w:t>Romanian legislation: Order 147/2004 for the approval of veterinary rules and food safety in terms of pesticide residues in animal and non-animal products and veterinary drug residues in animal products</w:t>
            </w:r>
          </w:p>
          <w:p w14:paraId="0FE6250D" w14:textId="4CCCC231" w:rsidR="00B6404A" w:rsidRPr="00D33701" w:rsidRDefault="00B6404A" w:rsidP="00B6404A">
            <w:pPr>
              <w:pStyle w:val="Plattetekst"/>
              <w:spacing w:line="240" w:lineRule="auto"/>
              <w:rPr>
                <w:rFonts w:ascii="Arial" w:hAnsi="Arial" w:cs="Arial"/>
                <w:color w:val="FF0000"/>
                <w:sz w:val="20"/>
                <w:szCs w:val="20"/>
                <w:lang w:val="bg-BG"/>
              </w:rPr>
            </w:pPr>
            <w:r w:rsidRPr="00D33701">
              <w:rPr>
                <w:rFonts w:ascii="Arial" w:hAnsi="Arial" w:cs="Arial"/>
                <w:sz w:val="20"/>
                <w:szCs w:val="20"/>
                <w:lang w:val="en-GB"/>
              </w:rPr>
              <w:t>Commission Recommendation</w:t>
            </w:r>
            <w:r w:rsidRPr="00D33701">
              <w:rPr>
                <w:rFonts w:ascii="Arial" w:hAnsi="Arial" w:cs="Arial"/>
                <w:sz w:val="20"/>
                <w:szCs w:val="20"/>
              </w:rPr>
              <w:t xml:space="preserve"> of 8 June 2000 on the application of Article 36 of the Euratom Treaty concerning the monitoring of the levels of radioactivity in the environment for the purpose of assessing the exposure of the population as a whole</w:t>
            </w:r>
            <w:r w:rsidRPr="00D33701">
              <w:rPr>
                <w:rFonts w:ascii="Arial" w:hAnsi="Arial" w:cs="Arial"/>
                <w:color w:val="FF0000"/>
                <w:sz w:val="20"/>
                <w:szCs w:val="20"/>
                <w:lang w:val="bg-BG"/>
              </w:rPr>
              <w:t xml:space="preserve"> </w:t>
            </w:r>
          </w:p>
          <w:p w14:paraId="6ED317A0" w14:textId="63A0A079" w:rsidR="00B6404A" w:rsidRPr="00D33701" w:rsidRDefault="00B6404A" w:rsidP="00B6404A">
            <w:pPr>
              <w:pStyle w:val="Plattetekst"/>
              <w:spacing w:line="240" w:lineRule="auto"/>
              <w:rPr>
                <w:rFonts w:ascii="Arial" w:hAnsi="Arial" w:cs="Arial"/>
                <w:sz w:val="20"/>
                <w:szCs w:val="20"/>
                <w:lang w:val="bg-BG"/>
              </w:rPr>
            </w:pPr>
            <w:r w:rsidRPr="00D33701">
              <w:rPr>
                <w:rFonts w:ascii="Arial" w:hAnsi="Arial" w:cs="Arial"/>
                <w:sz w:val="20"/>
                <w:szCs w:val="20"/>
                <w:lang w:val="en-GB"/>
              </w:rPr>
              <w:t xml:space="preserve">Commission Regulation (EC) No 1881/2006, transposed in the Bulgarian national legislation in Order № 31/29.07.2004) </w:t>
            </w:r>
          </w:p>
          <w:p w14:paraId="0A2D6035" w14:textId="52A9FC6B" w:rsidR="00B6404A" w:rsidRPr="00D33701" w:rsidRDefault="00B6404A" w:rsidP="00B6404A">
            <w:pPr>
              <w:pStyle w:val="Plattetekst"/>
              <w:spacing w:line="240" w:lineRule="auto"/>
              <w:rPr>
                <w:rFonts w:ascii="Arial" w:hAnsi="Arial" w:cs="Arial"/>
                <w:sz w:val="20"/>
                <w:szCs w:val="20"/>
                <w:lang w:val="en-GB"/>
              </w:rPr>
            </w:pPr>
            <w:r w:rsidRPr="00D33701">
              <w:rPr>
                <w:rFonts w:ascii="Arial" w:hAnsi="Arial" w:cs="Arial"/>
                <w:sz w:val="20"/>
                <w:szCs w:val="20"/>
                <w:lang w:val="en-GB"/>
              </w:rPr>
              <w:t>Council regulation (EURATOM) No 3954/87, transposed in the Bulgarian national legislation through Order № 11 from 18.04.2002)</w:t>
            </w:r>
          </w:p>
          <w:p w14:paraId="0824D622" w14:textId="77777777" w:rsidR="00B6404A" w:rsidRPr="00D33701" w:rsidRDefault="00B6404A" w:rsidP="00B6404A">
            <w:pPr>
              <w:pStyle w:val="Plattetekst"/>
              <w:spacing w:line="240" w:lineRule="auto"/>
              <w:rPr>
                <w:rFonts w:ascii="Arial" w:hAnsi="Arial" w:cs="Arial"/>
                <w:color w:val="000000" w:themeColor="text1"/>
                <w:sz w:val="20"/>
                <w:szCs w:val="20"/>
                <w:lang w:val="en-US"/>
              </w:rPr>
            </w:pPr>
            <w:r w:rsidRPr="00D33701">
              <w:rPr>
                <w:rFonts w:ascii="Arial" w:hAnsi="Arial" w:cs="Arial"/>
                <w:sz w:val="20"/>
                <w:szCs w:val="20"/>
                <w:lang w:val="en-GB"/>
              </w:rPr>
              <w:t xml:space="preserve">Black Sea Monitoring and Assessment </w:t>
            </w:r>
            <w:r w:rsidRPr="00D33701">
              <w:rPr>
                <w:rFonts w:ascii="Arial" w:hAnsi="Arial" w:cs="Arial"/>
                <w:color w:val="000000" w:themeColor="text1"/>
                <w:sz w:val="20"/>
                <w:szCs w:val="20"/>
                <w:lang w:val="en-GB"/>
              </w:rPr>
              <w:t>Programme</w:t>
            </w:r>
            <w:r w:rsidRPr="00D33701">
              <w:rPr>
                <w:rFonts w:ascii="Arial" w:hAnsi="Arial" w:cs="Arial"/>
                <w:color w:val="000000" w:themeColor="text1"/>
                <w:sz w:val="20"/>
                <w:szCs w:val="20"/>
                <w:lang w:val="bg-BG"/>
              </w:rPr>
              <w:t xml:space="preserve"> (</w:t>
            </w:r>
            <w:r w:rsidRPr="00D33701">
              <w:rPr>
                <w:rFonts w:ascii="Arial" w:hAnsi="Arial" w:cs="Arial"/>
                <w:color w:val="000000" w:themeColor="text1"/>
                <w:sz w:val="20"/>
                <w:szCs w:val="20"/>
                <w:lang w:val="en-US"/>
              </w:rPr>
              <w:t>BSIMAP) to the Black sea Commission</w:t>
            </w:r>
          </w:p>
          <w:p w14:paraId="1E4BC886" w14:textId="089D23D4" w:rsidR="00C65FCC" w:rsidRPr="00D33701" w:rsidRDefault="00C65FCC" w:rsidP="00B6404A">
            <w:pPr>
              <w:pStyle w:val="Plattetekst"/>
              <w:spacing w:line="240" w:lineRule="auto"/>
              <w:rPr>
                <w:rFonts w:ascii="Arial" w:hAnsi="Arial" w:cs="Arial"/>
                <w:sz w:val="20"/>
                <w:szCs w:val="20"/>
                <w:lang w:val="bg-BG"/>
              </w:rPr>
            </w:pPr>
            <w:r w:rsidRPr="00D33701">
              <w:rPr>
                <w:rFonts w:ascii="Arial" w:hAnsi="Arial" w:cs="Arial"/>
                <w:sz w:val="20"/>
                <w:szCs w:val="20"/>
                <w:lang w:val="bg-BG"/>
              </w:rPr>
              <w:t>Romanian legislation: Order 147/2004 for the approval of veterinary rules and food safety in terms of pesticide residues in animal and non-animal products and veterinary drug residues in animal products</w:t>
            </w:r>
          </w:p>
        </w:tc>
      </w:tr>
      <w:tr w:rsidR="005D3832" w:rsidRPr="00D33701" w14:paraId="2AA27D74"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4A8B20E8" w14:textId="51110670"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Necessity for transnational regulation</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567A3DD2" w14:textId="59030723" w:rsidR="005D3832" w:rsidRPr="00D33701" w:rsidRDefault="00C65FCC" w:rsidP="00E41209">
            <w:pPr>
              <w:pStyle w:val="Lijstalinea"/>
              <w:spacing w:after="0" w:line="240" w:lineRule="auto"/>
              <w:ind w:left="0"/>
              <w:rPr>
                <w:rFonts w:ascii="Arial" w:hAnsi="Arial" w:cs="Arial"/>
                <w:sz w:val="20"/>
                <w:szCs w:val="20"/>
                <w:lang w:val="en-GB"/>
              </w:rPr>
            </w:pPr>
            <w:r w:rsidRPr="00D33701">
              <w:rPr>
                <w:rFonts w:ascii="Arial" w:hAnsi="Arial" w:cs="Arial"/>
                <w:sz w:val="20"/>
                <w:szCs w:val="20"/>
                <w:lang w:val="en-GB"/>
              </w:rPr>
              <w:t>No</w:t>
            </w:r>
          </w:p>
        </w:tc>
      </w:tr>
      <w:tr w:rsidR="005D3832" w:rsidRPr="00D33701" w14:paraId="16D6DFEA"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36B38EA7" w14:textId="53F60E68" w:rsidR="005D3832" w:rsidRPr="00D33701" w:rsidRDefault="005D3832" w:rsidP="00C43040">
            <w:pPr>
              <w:spacing w:before="60" w:after="60" w:line="240" w:lineRule="auto"/>
              <w:rPr>
                <w:rFonts w:ascii="Arial" w:hAnsi="Arial" w:cs="Arial"/>
                <w:b/>
                <w:sz w:val="20"/>
                <w:szCs w:val="20"/>
                <w:lang w:val="en-GB"/>
              </w:rPr>
            </w:pPr>
            <w:r w:rsidRPr="00D33701">
              <w:rPr>
                <w:rFonts w:ascii="Arial" w:hAnsi="Arial" w:cs="Arial"/>
                <w:b/>
                <w:sz w:val="20"/>
                <w:szCs w:val="20"/>
                <w:lang w:val="en-GB"/>
              </w:rPr>
              <w:t>Instrument for implementation</w:t>
            </w:r>
            <w:r w:rsidR="00583D8D" w:rsidRPr="00D33701">
              <w:rPr>
                <w:rFonts w:ascii="Arial" w:hAnsi="Arial" w:cs="Arial"/>
                <w:b/>
                <w:sz w:val="20"/>
                <w:szCs w:val="20"/>
                <w:lang w:val="en-GB"/>
              </w:rPr>
              <w:t>/</w:t>
            </w:r>
            <w:r w:rsidR="00583D8D" w:rsidRPr="00D33701">
              <w:rPr>
                <w:rFonts w:ascii="Arial" w:hAnsi="Arial" w:cs="Arial"/>
                <w:sz w:val="20"/>
                <w:szCs w:val="20"/>
                <w:lang w:val="en-GB"/>
              </w:rPr>
              <w:t xml:space="preserve"> </w:t>
            </w:r>
            <w:r w:rsidR="00C43040">
              <w:rPr>
                <w:rFonts w:ascii="Arial" w:hAnsi="Arial" w:cs="Arial"/>
                <w:b/>
                <w:sz w:val="20"/>
                <w:szCs w:val="20"/>
                <w:lang w:val="en-GB"/>
              </w:rPr>
              <w:t>implementation</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289F3014" w14:textId="77777777" w:rsidR="005D3832" w:rsidRPr="0048708A" w:rsidRDefault="005D3832" w:rsidP="000F1AFE">
            <w:pPr>
              <w:pStyle w:val="Lijstalinea"/>
              <w:numPr>
                <w:ilvl w:val="0"/>
                <w:numId w:val="4"/>
              </w:numPr>
              <w:spacing w:after="120"/>
              <w:rPr>
                <w:rFonts w:ascii="Arial" w:hAnsi="Arial" w:cs="Arial"/>
                <w:sz w:val="20"/>
                <w:szCs w:val="20"/>
                <w:lang w:val="en-GB"/>
              </w:rPr>
            </w:pPr>
            <w:r w:rsidRPr="0048708A">
              <w:rPr>
                <w:rFonts w:ascii="Arial" w:hAnsi="Arial" w:cs="Arial"/>
                <w:sz w:val="20"/>
                <w:szCs w:val="20"/>
                <w:lang w:val="en-GB"/>
              </w:rPr>
              <w:t>Technical</w:t>
            </w:r>
          </w:p>
          <w:p w14:paraId="7E0448A7" w14:textId="5B984791" w:rsidR="005D3832" w:rsidRPr="0048708A" w:rsidRDefault="00C65FCC" w:rsidP="000F1AFE">
            <w:pPr>
              <w:pStyle w:val="Lijstalinea"/>
              <w:numPr>
                <w:ilvl w:val="0"/>
                <w:numId w:val="4"/>
              </w:numPr>
              <w:spacing w:after="120"/>
              <w:rPr>
                <w:rFonts w:ascii="Arial" w:hAnsi="Arial" w:cs="Arial"/>
                <w:sz w:val="20"/>
                <w:szCs w:val="20"/>
                <w:lang w:val="en-GB"/>
              </w:rPr>
            </w:pPr>
            <w:r w:rsidRPr="0048708A">
              <w:rPr>
                <w:rFonts w:ascii="Arial" w:hAnsi="Arial" w:cs="Arial"/>
                <w:sz w:val="20"/>
                <w:szCs w:val="20"/>
                <w:lang w:val="en-GB"/>
              </w:rPr>
              <w:t>Policy</w:t>
            </w:r>
          </w:p>
          <w:p w14:paraId="05642343" w14:textId="7BFE6A87" w:rsidR="005D3832" w:rsidRPr="0048708A" w:rsidRDefault="00C65FCC" w:rsidP="000F1AFE">
            <w:pPr>
              <w:pStyle w:val="Lijstalinea"/>
              <w:numPr>
                <w:ilvl w:val="0"/>
                <w:numId w:val="4"/>
              </w:numPr>
              <w:spacing w:after="120"/>
              <w:rPr>
                <w:rFonts w:ascii="Arial" w:hAnsi="Arial" w:cs="Arial"/>
                <w:sz w:val="20"/>
                <w:szCs w:val="20"/>
                <w:lang w:val="en-GB"/>
              </w:rPr>
            </w:pPr>
            <w:r w:rsidRPr="0048708A">
              <w:rPr>
                <w:rFonts w:ascii="Arial" w:hAnsi="Arial" w:cs="Arial"/>
                <w:sz w:val="20"/>
                <w:szCs w:val="20"/>
                <w:lang w:val="en-GB"/>
              </w:rPr>
              <w:t>Legislative</w:t>
            </w:r>
          </w:p>
          <w:p w14:paraId="6DA966BA" w14:textId="6A49A99D" w:rsidR="005D3832" w:rsidRPr="00D33701" w:rsidRDefault="005D3832" w:rsidP="000F1AFE">
            <w:pPr>
              <w:spacing w:after="120"/>
              <w:rPr>
                <w:rFonts w:ascii="Arial" w:hAnsi="Arial" w:cs="Arial"/>
                <w:i/>
                <w:sz w:val="20"/>
                <w:szCs w:val="20"/>
                <w:lang w:val="en-GB"/>
              </w:rPr>
            </w:pPr>
          </w:p>
        </w:tc>
      </w:tr>
      <w:tr w:rsidR="005D3832" w:rsidRPr="00D33701" w14:paraId="76ACC9D1"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4C58CEAD" w14:textId="008EAE63" w:rsidR="005D3832" w:rsidRPr="00D33701" w:rsidRDefault="009D45F8"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Spatial reference</w:t>
            </w:r>
            <w:r w:rsidR="00C43040">
              <w:rPr>
                <w:rFonts w:ascii="Arial" w:hAnsi="Arial" w:cs="Arial"/>
                <w:b/>
                <w:sz w:val="20"/>
                <w:szCs w:val="20"/>
                <w:lang w:val="en-GB"/>
              </w:rPr>
              <w:t>/implementation zones</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2794147D" w14:textId="373FCAFB" w:rsidR="00F170F9" w:rsidRPr="00D33701" w:rsidRDefault="00C43040" w:rsidP="00583D8D">
            <w:pPr>
              <w:pStyle w:val="Lijstalinea"/>
              <w:tabs>
                <w:tab w:val="left" w:pos="175"/>
              </w:tabs>
              <w:spacing w:after="0" w:line="240" w:lineRule="auto"/>
              <w:ind w:left="0"/>
              <w:rPr>
                <w:rFonts w:ascii="Arial" w:hAnsi="Arial" w:cs="Arial"/>
                <w:sz w:val="20"/>
                <w:szCs w:val="20"/>
                <w:lang w:val="en-GB"/>
              </w:rPr>
            </w:pPr>
            <w:r>
              <w:rPr>
                <w:rFonts w:ascii="Arial" w:hAnsi="Arial" w:cs="Arial"/>
                <w:sz w:val="20"/>
                <w:szCs w:val="20"/>
                <w:lang w:val="en-GB"/>
              </w:rPr>
              <w:t>Territorial waters/EEZ</w:t>
            </w:r>
          </w:p>
          <w:p w14:paraId="76E2D25A" w14:textId="77777777" w:rsidR="00F170F9" w:rsidRPr="00D33701" w:rsidRDefault="00F170F9" w:rsidP="00583D8D">
            <w:pPr>
              <w:pStyle w:val="Lijstalinea"/>
              <w:tabs>
                <w:tab w:val="left" w:pos="175"/>
              </w:tabs>
              <w:spacing w:after="0" w:line="240" w:lineRule="auto"/>
              <w:ind w:left="0"/>
              <w:rPr>
                <w:rFonts w:ascii="Arial" w:hAnsi="Arial" w:cs="Arial"/>
                <w:i/>
                <w:sz w:val="20"/>
                <w:szCs w:val="20"/>
                <w:lang w:val="en-GB"/>
              </w:rPr>
            </w:pPr>
          </w:p>
        </w:tc>
      </w:tr>
      <w:tr w:rsidR="005D3832" w:rsidRPr="00C34F01" w14:paraId="37B2B9A7" w14:textId="77777777" w:rsidTr="00152372">
        <w:tc>
          <w:tcPr>
            <w:tcW w:w="2376" w:type="dxa"/>
            <w:shd w:val="clear" w:color="auto" w:fill="auto"/>
          </w:tcPr>
          <w:p w14:paraId="5DC75255" w14:textId="77777777" w:rsidR="005D3832" w:rsidRPr="00D33701" w:rsidRDefault="009D45F8" w:rsidP="009D45F8">
            <w:pPr>
              <w:spacing w:before="60" w:after="60" w:line="240" w:lineRule="auto"/>
              <w:rPr>
                <w:rFonts w:ascii="Arial" w:hAnsi="Arial" w:cs="Arial"/>
                <w:b/>
                <w:sz w:val="20"/>
                <w:szCs w:val="20"/>
                <w:lang w:val="en-GB"/>
              </w:rPr>
            </w:pPr>
            <w:r w:rsidRPr="00D33701">
              <w:rPr>
                <w:rFonts w:ascii="Arial" w:hAnsi="Arial" w:cs="Arial"/>
                <w:b/>
                <w:sz w:val="20"/>
                <w:szCs w:val="20"/>
                <w:lang w:val="en-GB"/>
              </w:rPr>
              <w:t xml:space="preserve">Contribution of the measure to achieving the target </w:t>
            </w:r>
          </w:p>
        </w:tc>
        <w:tc>
          <w:tcPr>
            <w:tcW w:w="7405" w:type="dxa"/>
            <w:gridSpan w:val="2"/>
            <w:shd w:val="clear" w:color="auto" w:fill="auto"/>
          </w:tcPr>
          <w:p w14:paraId="42AE6703" w14:textId="5EDC9DFC" w:rsidR="00673549" w:rsidRPr="0048708A" w:rsidRDefault="00C65FCC" w:rsidP="0064003C">
            <w:pPr>
              <w:pStyle w:val="Lijstalinea"/>
              <w:tabs>
                <w:tab w:val="left" w:pos="175"/>
              </w:tabs>
              <w:spacing w:after="60" w:line="240" w:lineRule="auto"/>
              <w:ind w:left="0"/>
              <w:contextualSpacing w:val="0"/>
              <w:rPr>
                <w:rFonts w:ascii="Arial" w:hAnsi="Arial" w:cs="Arial"/>
                <w:sz w:val="20"/>
                <w:szCs w:val="20"/>
                <w:lang w:val="bg-BG"/>
              </w:rPr>
            </w:pPr>
            <w:r w:rsidRPr="0048708A">
              <w:rPr>
                <w:rFonts w:ascii="Arial" w:hAnsi="Arial" w:cs="Arial"/>
                <w:sz w:val="20"/>
                <w:szCs w:val="20"/>
                <w:lang w:val="en-GB"/>
              </w:rPr>
              <w:t>The measure will have a low contribution for achieving the targets related to the D9.</w:t>
            </w:r>
          </w:p>
        </w:tc>
      </w:tr>
      <w:tr w:rsidR="005D3832" w:rsidRPr="00C34F01" w14:paraId="1961F7EA"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5E891428"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Transboundary impact</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5CBEEA1F" w14:textId="77777777" w:rsidR="00C06C46" w:rsidRPr="00D33701" w:rsidRDefault="00C06C46" w:rsidP="000B67FF">
            <w:pPr>
              <w:spacing w:after="0" w:line="240" w:lineRule="auto"/>
              <w:rPr>
                <w:rFonts w:ascii="Arial" w:hAnsi="Arial" w:cs="Arial"/>
                <w:sz w:val="20"/>
                <w:szCs w:val="20"/>
                <w:lang w:val="en-US"/>
              </w:rPr>
            </w:pPr>
            <w:r w:rsidRPr="00D33701">
              <w:rPr>
                <w:rFonts w:ascii="Arial" w:hAnsi="Arial" w:cs="Arial"/>
                <w:sz w:val="20"/>
                <w:szCs w:val="20"/>
                <w:lang w:val="en-GB"/>
              </w:rPr>
              <w:t xml:space="preserve">The implementation of the measure is not expected to have negative </w:t>
            </w:r>
            <w:r w:rsidR="00C65FCC" w:rsidRPr="00D33701">
              <w:rPr>
                <w:rFonts w:ascii="Arial" w:hAnsi="Arial" w:cs="Arial"/>
                <w:sz w:val="20"/>
                <w:szCs w:val="20"/>
                <w:lang w:val="en-US"/>
              </w:rPr>
              <w:lastRenderedPageBreak/>
              <w:t>t</w:t>
            </w:r>
            <w:r w:rsidRPr="00D33701">
              <w:rPr>
                <w:rFonts w:ascii="Arial" w:hAnsi="Arial" w:cs="Arial"/>
                <w:sz w:val="20"/>
                <w:szCs w:val="20"/>
                <w:lang w:val="en-US"/>
              </w:rPr>
              <w:t>ransboundary impact on the waters of other countries shared the Black sea marine region.</w:t>
            </w:r>
            <w:r w:rsidR="00C65FCC" w:rsidRPr="00D33701">
              <w:rPr>
                <w:rFonts w:ascii="Arial" w:hAnsi="Arial" w:cs="Arial"/>
                <w:sz w:val="20"/>
                <w:szCs w:val="20"/>
                <w:lang w:val="en-US"/>
              </w:rPr>
              <w:t xml:space="preserve"> </w:t>
            </w:r>
            <w:r w:rsidRPr="00D33701">
              <w:rPr>
                <w:rFonts w:ascii="Arial" w:hAnsi="Arial" w:cs="Arial"/>
                <w:sz w:val="20"/>
                <w:szCs w:val="20"/>
                <w:lang w:val="en-US"/>
              </w:rPr>
              <w:t xml:space="preserve">The measure will have positive effect on </w:t>
            </w:r>
            <w:r w:rsidRPr="00D33701">
              <w:rPr>
                <w:rFonts w:ascii="Arial" w:hAnsi="Arial" w:cs="Arial"/>
                <w:sz w:val="20"/>
                <w:szCs w:val="20"/>
                <w:lang w:val="bg-BG"/>
              </w:rPr>
              <w:t>stimulati</w:t>
            </w:r>
            <w:r w:rsidRPr="00D33701">
              <w:rPr>
                <w:rFonts w:ascii="Arial" w:hAnsi="Arial" w:cs="Arial"/>
                <w:sz w:val="20"/>
                <w:szCs w:val="20"/>
                <w:lang w:val="en-US"/>
              </w:rPr>
              <w:t>on of aquaculture producers to use ecofriendly technologies.</w:t>
            </w:r>
          </w:p>
          <w:p w14:paraId="4BD7303A" w14:textId="31E94312" w:rsidR="000B67FF" w:rsidRPr="00D33701" w:rsidRDefault="000B67FF" w:rsidP="000B67FF">
            <w:pPr>
              <w:spacing w:after="0" w:line="240" w:lineRule="auto"/>
              <w:rPr>
                <w:rFonts w:ascii="Arial" w:hAnsi="Arial" w:cs="Arial"/>
                <w:i/>
                <w:sz w:val="20"/>
                <w:szCs w:val="20"/>
                <w:lang w:val="bg-BG"/>
              </w:rPr>
            </w:pPr>
          </w:p>
        </w:tc>
      </w:tr>
      <w:tr w:rsidR="00096F73" w:rsidRPr="00C34F01" w14:paraId="7D5B3D6D" w14:textId="77777777" w:rsidTr="00152372">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E70937D" w14:textId="75439D7C" w:rsidR="00096F73" w:rsidRPr="00D33701" w:rsidRDefault="00096F73"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lastRenderedPageBreak/>
              <w:t>Costs</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796878C1" w14:textId="7AED6D90" w:rsidR="002D190A" w:rsidRPr="00D33701" w:rsidRDefault="002D190A" w:rsidP="00F170F9">
            <w:pPr>
              <w:spacing w:after="120"/>
              <w:rPr>
                <w:rFonts w:ascii="Arial" w:hAnsi="Arial" w:cs="Arial"/>
                <w:sz w:val="20"/>
                <w:szCs w:val="20"/>
                <w:lang w:val="en-GB"/>
              </w:rPr>
            </w:pPr>
            <w:r w:rsidRPr="00D33701">
              <w:rPr>
                <w:rFonts w:ascii="Arial" w:hAnsi="Arial" w:cs="Arial"/>
                <w:b/>
                <w:sz w:val="20"/>
                <w:szCs w:val="20"/>
                <w:lang w:val="en-GB"/>
              </w:rPr>
              <w:t>First rough assessment:</w:t>
            </w:r>
            <w:r w:rsidRPr="00D33701">
              <w:rPr>
                <w:rFonts w:ascii="Arial" w:hAnsi="Arial" w:cs="Arial"/>
                <w:sz w:val="20"/>
                <w:szCs w:val="20"/>
                <w:lang w:val="en-GB"/>
              </w:rPr>
              <w:t xml:space="preserve"> medium 50,000-1,000,000 euro</w:t>
            </w:r>
          </w:p>
          <w:p w14:paraId="1FD70731" w14:textId="77777777" w:rsidR="005E1071" w:rsidRPr="00D33701" w:rsidRDefault="005E1071" w:rsidP="00F170F9">
            <w:pPr>
              <w:spacing w:after="120"/>
              <w:rPr>
                <w:rFonts w:ascii="Arial" w:hAnsi="Arial" w:cs="Arial"/>
                <w:sz w:val="20"/>
                <w:szCs w:val="20"/>
                <w:lang w:val="en-GB"/>
              </w:rPr>
            </w:pPr>
            <w:r w:rsidRPr="00D33701">
              <w:rPr>
                <w:rFonts w:ascii="Arial" w:hAnsi="Arial" w:cs="Arial"/>
                <w:sz w:val="20"/>
                <w:szCs w:val="20"/>
                <w:lang w:val="en-GB"/>
              </w:rPr>
              <w:t xml:space="preserve">Administrative costs for following actions: </w:t>
            </w:r>
          </w:p>
          <w:p w14:paraId="173BA20B" w14:textId="2CD51863" w:rsidR="005E1071" w:rsidRPr="00D33701" w:rsidRDefault="005E1071" w:rsidP="00C57DA0">
            <w:pPr>
              <w:pStyle w:val="Lijstalinea"/>
              <w:numPr>
                <w:ilvl w:val="0"/>
                <w:numId w:val="16"/>
              </w:numPr>
              <w:spacing w:after="120"/>
              <w:ind w:left="318" w:hanging="284"/>
              <w:rPr>
                <w:rFonts w:ascii="Arial" w:hAnsi="Arial" w:cs="Arial"/>
                <w:sz w:val="20"/>
                <w:szCs w:val="20"/>
                <w:lang w:val="en-GB"/>
              </w:rPr>
            </w:pPr>
            <w:r w:rsidRPr="00D33701">
              <w:rPr>
                <w:rFonts w:ascii="Arial" w:hAnsi="Arial" w:cs="Arial"/>
                <w:sz w:val="20"/>
                <w:szCs w:val="20"/>
                <w:lang w:val="en-GB"/>
              </w:rPr>
              <w:t xml:space="preserve">Working group </w:t>
            </w:r>
            <w:r w:rsidR="00772020" w:rsidRPr="00D33701">
              <w:rPr>
                <w:rFonts w:ascii="Arial" w:hAnsi="Arial" w:cs="Arial"/>
                <w:sz w:val="20"/>
                <w:szCs w:val="20"/>
                <w:lang w:val="en-GB"/>
              </w:rPr>
              <w:t>from</w:t>
            </w:r>
            <w:r w:rsidR="00354237" w:rsidRPr="00D33701">
              <w:rPr>
                <w:rFonts w:ascii="Arial" w:hAnsi="Arial" w:cs="Arial"/>
                <w:sz w:val="20"/>
                <w:szCs w:val="20"/>
                <w:lang w:val="en-GB"/>
              </w:rPr>
              <w:t>:</w:t>
            </w:r>
            <w:r w:rsidR="00354237" w:rsidRPr="00D33701">
              <w:rPr>
                <w:rStyle w:val="Voetnootmarkering"/>
                <w:rFonts w:ascii="Arial" w:hAnsi="Arial" w:cs="Arial"/>
                <w:sz w:val="20"/>
                <w:szCs w:val="20"/>
                <w:lang w:val="en-GB"/>
              </w:rPr>
              <w:footnoteReference w:id="1"/>
            </w:r>
            <w:r w:rsidR="00354237" w:rsidRPr="00D33701">
              <w:rPr>
                <w:rFonts w:ascii="Arial" w:hAnsi="Arial" w:cs="Arial"/>
                <w:sz w:val="20"/>
                <w:szCs w:val="20"/>
                <w:lang w:val="en-GB"/>
              </w:rPr>
              <w:t xml:space="preserve"> </w:t>
            </w:r>
            <w:r w:rsidR="00C96548" w:rsidRPr="00D33701">
              <w:rPr>
                <w:rFonts w:ascii="Arial" w:hAnsi="Arial" w:cs="Arial"/>
                <w:sz w:val="20"/>
                <w:szCs w:val="20"/>
                <w:lang w:val="en-GB"/>
              </w:rPr>
              <w:t xml:space="preserve"> </w:t>
            </w:r>
            <w:r w:rsidR="00354237" w:rsidRPr="00D33701">
              <w:rPr>
                <w:rFonts w:ascii="Arial" w:hAnsi="Arial" w:cs="Arial"/>
                <w:sz w:val="20"/>
                <w:szCs w:val="20"/>
                <w:lang w:val="en-GB"/>
              </w:rPr>
              <w:t>10.000 €</w:t>
            </w:r>
          </w:p>
          <w:p w14:paraId="100599CC" w14:textId="77D014BE" w:rsidR="00772020" w:rsidRPr="00D33701" w:rsidRDefault="00772020" w:rsidP="00297897">
            <w:pPr>
              <w:pStyle w:val="Lijstalinea"/>
              <w:numPr>
                <w:ilvl w:val="0"/>
                <w:numId w:val="16"/>
              </w:numPr>
              <w:spacing w:after="120"/>
              <w:ind w:left="318" w:hanging="284"/>
              <w:rPr>
                <w:rFonts w:ascii="Arial" w:hAnsi="Arial" w:cs="Arial"/>
                <w:sz w:val="20"/>
                <w:szCs w:val="20"/>
                <w:lang w:val="en-GB"/>
              </w:rPr>
            </w:pPr>
            <w:r w:rsidRPr="00D33701">
              <w:rPr>
                <w:rFonts w:ascii="Arial" w:hAnsi="Arial" w:cs="Arial"/>
                <w:sz w:val="20"/>
                <w:szCs w:val="20"/>
                <w:lang w:val="en-GB"/>
              </w:rPr>
              <w:t xml:space="preserve">Consultation with wider relevant </w:t>
            </w:r>
            <w:r w:rsidR="00C06C46" w:rsidRPr="00D33701">
              <w:rPr>
                <w:rFonts w:ascii="Arial" w:hAnsi="Arial" w:cs="Arial"/>
                <w:sz w:val="20"/>
                <w:szCs w:val="20"/>
                <w:lang w:val="en-GB"/>
              </w:rPr>
              <w:t xml:space="preserve">authorities, </w:t>
            </w:r>
            <w:r w:rsidRPr="00D33701">
              <w:rPr>
                <w:rFonts w:ascii="Arial" w:hAnsi="Arial" w:cs="Arial"/>
                <w:sz w:val="20"/>
                <w:szCs w:val="20"/>
                <w:lang w:val="en-GB"/>
              </w:rPr>
              <w:t>sectors</w:t>
            </w:r>
            <w:r w:rsidR="00C06C46" w:rsidRPr="00D33701">
              <w:rPr>
                <w:rFonts w:ascii="Arial" w:hAnsi="Arial" w:cs="Arial"/>
                <w:sz w:val="20"/>
                <w:szCs w:val="20"/>
                <w:lang w:val="en-GB"/>
              </w:rPr>
              <w:t xml:space="preserve"> and stakeholders</w:t>
            </w:r>
            <w:r w:rsidR="00297897" w:rsidRPr="00D33701">
              <w:rPr>
                <w:rFonts w:ascii="Arial" w:hAnsi="Arial" w:cs="Arial"/>
                <w:sz w:val="20"/>
                <w:szCs w:val="20"/>
                <w:lang w:val="en-GB"/>
              </w:rPr>
              <w:t xml:space="preserve"> &amp; </w:t>
            </w:r>
            <w:r w:rsidRPr="00D33701">
              <w:rPr>
                <w:rFonts w:ascii="Arial" w:hAnsi="Arial" w:cs="Arial"/>
                <w:sz w:val="20"/>
                <w:szCs w:val="20"/>
                <w:lang w:val="en-GB"/>
              </w:rPr>
              <w:t xml:space="preserve">Legislative </w:t>
            </w:r>
            <w:r w:rsidR="00C06C46" w:rsidRPr="00D33701">
              <w:rPr>
                <w:rFonts w:ascii="Arial" w:hAnsi="Arial" w:cs="Arial"/>
                <w:sz w:val="20"/>
                <w:szCs w:val="20"/>
                <w:lang w:val="en-GB"/>
              </w:rPr>
              <w:t xml:space="preserve">revision if necessary and </w:t>
            </w:r>
            <w:r w:rsidR="00C96548" w:rsidRPr="00D33701">
              <w:rPr>
                <w:rFonts w:ascii="Arial" w:hAnsi="Arial" w:cs="Arial"/>
                <w:sz w:val="20"/>
                <w:szCs w:val="20"/>
                <w:lang w:val="en-GB"/>
              </w:rPr>
              <w:t xml:space="preserve">adoption: </w:t>
            </w:r>
            <w:r w:rsidR="00297897" w:rsidRPr="00D33701">
              <w:rPr>
                <w:rFonts w:ascii="Arial" w:hAnsi="Arial" w:cs="Arial"/>
                <w:sz w:val="20"/>
                <w:szCs w:val="20"/>
                <w:lang w:val="en-GB"/>
              </w:rPr>
              <w:t>17.000 €</w:t>
            </w:r>
          </w:p>
          <w:p w14:paraId="227832A5" w14:textId="1F7114F2" w:rsidR="00772020" w:rsidRPr="00D33701" w:rsidRDefault="00772020" w:rsidP="00AC31C7">
            <w:pPr>
              <w:pStyle w:val="Lijstalinea"/>
              <w:numPr>
                <w:ilvl w:val="0"/>
                <w:numId w:val="16"/>
              </w:numPr>
              <w:spacing w:after="120"/>
              <w:ind w:left="318" w:hanging="284"/>
              <w:rPr>
                <w:rFonts w:ascii="Arial" w:hAnsi="Arial" w:cs="Arial"/>
                <w:sz w:val="20"/>
                <w:szCs w:val="20"/>
                <w:lang w:val="en-GB"/>
              </w:rPr>
            </w:pPr>
            <w:r w:rsidRPr="00D33701">
              <w:rPr>
                <w:rFonts w:ascii="Arial" w:hAnsi="Arial" w:cs="Arial"/>
                <w:sz w:val="20"/>
                <w:szCs w:val="20"/>
                <w:lang w:val="en-GB"/>
              </w:rPr>
              <w:t xml:space="preserve">Stepwise implementation of chosen </w:t>
            </w:r>
            <w:r w:rsidR="00C96548" w:rsidRPr="00D33701">
              <w:rPr>
                <w:rFonts w:ascii="Arial" w:hAnsi="Arial" w:cs="Arial"/>
                <w:sz w:val="20"/>
                <w:szCs w:val="20"/>
                <w:lang w:val="en-GB"/>
              </w:rPr>
              <w:t xml:space="preserve">ecolabels by the fishery sector: </w:t>
            </w:r>
            <w:r w:rsidR="00354237" w:rsidRPr="00D33701">
              <w:rPr>
                <w:rFonts w:ascii="Arial" w:hAnsi="Arial" w:cs="Arial"/>
                <w:sz w:val="20"/>
                <w:szCs w:val="20"/>
                <w:lang w:val="en-GB"/>
              </w:rPr>
              <w:t xml:space="preserve"> BG: 10</w:t>
            </w:r>
            <w:r w:rsidR="00297897" w:rsidRPr="00D33701">
              <w:rPr>
                <w:rFonts w:ascii="Arial" w:hAnsi="Arial" w:cs="Arial"/>
                <w:sz w:val="20"/>
                <w:szCs w:val="20"/>
                <w:lang w:val="en-GB"/>
              </w:rPr>
              <w:t>5</w:t>
            </w:r>
            <w:r w:rsidR="00354237" w:rsidRPr="00D33701">
              <w:rPr>
                <w:rFonts w:ascii="Arial" w:hAnsi="Arial" w:cs="Arial"/>
                <w:sz w:val="20"/>
                <w:szCs w:val="20"/>
                <w:lang w:val="en-GB"/>
              </w:rPr>
              <w:t>.000€; RO: 4</w:t>
            </w:r>
            <w:r w:rsidR="00297897" w:rsidRPr="00D33701">
              <w:rPr>
                <w:rFonts w:ascii="Arial" w:hAnsi="Arial" w:cs="Arial"/>
                <w:sz w:val="20"/>
                <w:szCs w:val="20"/>
                <w:lang w:val="en-GB"/>
              </w:rPr>
              <w:t>3</w:t>
            </w:r>
            <w:r w:rsidR="00354237" w:rsidRPr="00D33701">
              <w:rPr>
                <w:rFonts w:ascii="Arial" w:hAnsi="Arial" w:cs="Arial"/>
                <w:sz w:val="20"/>
                <w:szCs w:val="20"/>
                <w:lang w:val="en-GB"/>
              </w:rPr>
              <w:t>.000 €</w:t>
            </w:r>
          </w:p>
          <w:p w14:paraId="037423F9" w14:textId="19C41DE5" w:rsidR="00096F73" w:rsidRPr="00D33701" w:rsidRDefault="005E1071" w:rsidP="00C96548">
            <w:pPr>
              <w:pStyle w:val="Lijstalinea"/>
              <w:numPr>
                <w:ilvl w:val="0"/>
                <w:numId w:val="16"/>
              </w:numPr>
              <w:spacing w:after="120"/>
              <w:ind w:left="351" w:hanging="283"/>
              <w:rPr>
                <w:rFonts w:ascii="Arial" w:hAnsi="Arial" w:cs="Arial"/>
                <w:i/>
                <w:sz w:val="20"/>
                <w:szCs w:val="20"/>
                <w:lang w:val="en-GB"/>
              </w:rPr>
            </w:pPr>
            <w:r w:rsidRPr="00D33701">
              <w:rPr>
                <w:rFonts w:ascii="Arial" w:hAnsi="Arial" w:cs="Arial"/>
                <w:sz w:val="20"/>
                <w:szCs w:val="20"/>
                <w:lang w:val="en-GB"/>
              </w:rPr>
              <w:t xml:space="preserve">Public </w:t>
            </w:r>
            <w:r w:rsidR="00AB1372" w:rsidRPr="00D33701">
              <w:rPr>
                <w:rFonts w:ascii="Arial" w:hAnsi="Arial" w:cs="Arial"/>
                <w:sz w:val="20"/>
                <w:szCs w:val="20"/>
                <w:lang w:val="en-GB"/>
              </w:rPr>
              <w:t>awareness</w:t>
            </w:r>
            <w:r w:rsidRPr="00D33701">
              <w:rPr>
                <w:rFonts w:ascii="Arial" w:hAnsi="Arial" w:cs="Arial"/>
                <w:sz w:val="20"/>
                <w:szCs w:val="20"/>
                <w:lang w:val="en-GB"/>
              </w:rPr>
              <w:t xml:space="preserve"> </w:t>
            </w:r>
            <w:r w:rsidR="00AB1372" w:rsidRPr="00D33701">
              <w:rPr>
                <w:rFonts w:ascii="Arial" w:hAnsi="Arial" w:cs="Arial"/>
                <w:sz w:val="20"/>
                <w:szCs w:val="20"/>
                <w:lang w:val="en-GB"/>
              </w:rPr>
              <w:t>campaigns</w:t>
            </w:r>
            <w:r w:rsidRPr="00D33701">
              <w:rPr>
                <w:rFonts w:ascii="Arial" w:hAnsi="Arial" w:cs="Arial"/>
                <w:sz w:val="20"/>
                <w:szCs w:val="20"/>
                <w:lang w:val="en-GB"/>
              </w:rPr>
              <w:t xml:space="preserve"> costs (renting of premises,</w:t>
            </w:r>
            <w:r w:rsidR="00C06C46" w:rsidRPr="00D33701">
              <w:rPr>
                <w:rFonts w:ascii="Arial" w:hAnsi="Arial" w:cs="Arial"/>
                <w:sz w:val="20"/>
                <w:szCs w:val="20"/>
                <w:lang w:val="en-GB"/>
              </w:rPr>
              <w:t xml:space="preserve"> catering, promotion materials)</w:t>
            </w:r>
            <w:r w:rsidR="00C96548" w:rsidRPr="00D33701">
              <w:rPr>
                <w:rFonts w:ascii="Arial" w:hAnsi="Arial" w:cs="Arial"/>
                <w:sz w:val="20"/>
                <w:szCs w:val="20"/>
                <w:lang w:val="en-GB"/>
              </w:rPr>
              <w:t xml:space="preserve"> +</w:t>
            </w:r>
            <w:r w:rsidR="00C96548" w:rsidRPr="00D33701">
              <w:rPr>
                <w:rFonts w:ascii="Arial" w:hAnsi="Arial" w:cs="Arial"/>
                <w:sz w:val="20"/>
                <w:szCs w:val="20"/>
                <w:lang w:val="en-US"/>
              </w:rPr>
              <w:t xml:space="preserve"> </w:t>
            </w:r>
            <w:r w:rsidR="00C96548" w:rsidRPr="00D33701">
              <w:rPr>
                <w:rFonts w:ascii="Arial" w:hAnsi="Arial" w:cs="Arial"/>
                <w:sz w:val="20"/>
                <w:szCs w:val="20"/>
                <w:lang w:val="en-GB"/>
              </w:rPr>
              <w:t xml:space="preserve">Public Information campaigns as various tools as brochures, media, internet links : </w:t>
            </w:r>
            <w:r w:rsidR="00354237" w:rsidRPr="00D33701">
              <w:rPr>
                <w:rFonts w:ascii="Arial" w:hAnsi="Arial" w:cs="Arial"/>
                <w:sz w:val="20"/>
                <w:szCs w:val="20"/>
                <w:lang w:val="en-GB"/>
              </w:rPr>
              <w:t>5</w:t>
            </w:r>
            <w:r w:rsidR="00297897" w:rsidRPr="00D33701">
              <w:rPr>
                <w:rFonts w:ascii="Arial" w:hAnsi="Arial" w:cs="Arial"/>
                <w:sz w:val="20"/>
                <w:szCs w:val="20"/>
                <w:lang w:val="en-GB"/>
              </w:rPr>
              <w:t>0</w:t>
            </w:r>
            <w:r w:rsidR="00354237" w:rsidRPr="00D33701">
              <w:rPr>
                <w:rFonts w:ascii="Arial" w:hAnsi="Arial" w:cs="Arial"/>
                <w:sz w:val="20"/>
                <w:szCs w:val="20"/>
                <w:lang w:val="en-GB"/>
              </w:rPr>
              <w:t>.000 €</w:t>
            </w:r>
          </w:p>
          <w:p w14:paraId="6FFCC291" w14:textId="73411DCA" w:rsidR="00D05D47" w:rsidRPr="00D33701" w:rsidRDefault="00297897" w:rsidP="00297897">
            <w:pPr>
              <w:spacing w:after="120"/>
              <w:rPr>
                <w:rFonts w:ascii="Arial" w:hAnsi="Arial" w:cs="Arial"/>
                <w:sz w:val="20"/>
                <w:szCs w:val="20"/>
                <w:lang w:val="en-GB"/>
              </w:rPr>
            </w:pPr>
            <w:r w:rsidRPr="00D33701">
              <w:rPr>
                <w:rFonts w:ascii="Arial" w:hAnsi="Arial" w:cs="Arial"/>
                <w:sz w:val="20"/>
                <w:szCs w:val="20"/>
                <w:lang w:val="en-GB"/>
              </w:rPr>
              <w:t xml:space="preserve">Total one off costs within MSFD cycle (6 years):182.000€ (BG) </w:t>
            </w:r>
            <w:r w:rsidR="00A04B0D" w:rsidRPr="00D33701">
              <w:rPr>
                <w:rFonts w:ascii="Arial" w:hAnsi="Arial" w:cs="Arial"/>
                <w:sz w:val="20"/>
                <w:szCs w:val="20"/>
                <w:lang w:val="en-GB"/>
              </w:rPr>
              <w:t xml:space="preserve">&amp; </w:t>
            </w:r>
            <w:r w:rsidRPr="00D33701">
              <w:rPr>
                <w:rFonts w:ascii="Arial" w:hAnsi="Arial" w:cs="Arial"/>
                <w:sz w:val="20"/>
                <w:szCs w:val="20"/>
                <w:lang w:val="en-GB"/>
              </w:rPr>
              <w:t>120.000€ (RO)</w:t>
            </w:r>
          </w:p>
          <w:p w14:paraId="33DB410C" w14:textId="59982A14" w:rsidR="00354237" w:rsidRPr="00D33701" w:rsidRDefault="00354237" w:rsidP="00C65FCC">
            <w:pPr>
              <w:spacing w:after="120"/>
              <w:rPr>
                <w:rFonts w:ascii="Arial" w:hAnsi="Arial" w:cs="Arial"/>
                <w:sz w:val="20"/>
                <w:szCs w:val="20"/>
                <w:lang w:val="en-GB"/>
              </w:rPr>
            </w:pPr>
          </w:p>
        </w:tc>
      </w:tr>
      <w:tr w:rsidR="00583D8D" w:rsidRPr="00D33701" w14:paraId="5E8D23DA" w14:textId="77777777" w:rsidTr="00152372">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0507729" w14:textId="593A0346" w:rsidR="00583D8D" w:rsidRPr="00D33701" w:rsidRDefault="00583D8D"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Effectiveness</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19F81D6A" w14:textId="56BA3F17" w:rsidR="00583D8D" w:rsidRPr="00D33701" w:rsidRDefault="00C65FCC" w:rsidP="00152372">
            <w:pPr>
              <w:pStyle w:val="Lijstalinea"/>
              <w:tabs>
                <w:tab w:val="left" w:pos="210"/>
              </w:tabs>
              <w:ind w:left="0"/>
              <w:rPr>
                <w:rFonts w:ascii="Arial" w:hAnsi="Arial" w:cs="Arial"/>
                <w:sz w:val="20"/>
                <w:szCs w:val="20"/>
                <w:lang w:val="en-GB"/>
              </w:rPr>
            </w:pPr>
            <w:r w:rsidRPr="00D33701">
              <w:rPr>
                <w:rFonts w:ascii="Arial" w:hAnsi="Arial" w:cs="Arial"/>
                <w:sz w:val="20"/>
                <w:szCs w:val="20"/>
                <w:lang w:val="en-GB"/>
              </w:rPr>
              <w:t>Potentially strong</w:t>
            </w:r>
          </w:p>
        </w:tc>
      </w:tr>
      <w:tr w:rsidR="00262374" w:rsidRPr="00C34F01" w14:paraId="1F3813B4" w14:textId="77777777" w:rsidTr="0048708A">
        <w:trPr>
          <w:trHeight w:val="108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7A552CF" w14:textId="77777777" w:rsidR="00262374" w:rsidRPr="00D33701" w:rsidRDefault="00262374"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 xml:space="preserve">Indicator(s) to measure </w:t>
            </w:r>
            <w:r w:rsidR="00AB1372" w:rsidRPr="00D33701">
              <w:rPr>
                <w:rFonts w:ascii="Arial" w:hAnsi="Arial" w:cs="Arial"/>
                <w:b/>
                <w:sz w:val="20"/>
                <w:szCs w:val="20"/>
                <w:lang w:val="en-GB"/>
              </w:rPr>
              <w:t>effectiveness</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2A847904" w14:textId="77777777" w:rsidR="0064003C" w:rsidRPr="00D33701" w:rsidRDefault="0053713B" w:rsidP="00152372">
            <w:pPr>
              <w:pStyle w:val="Lijstalinea"/>
              <w:numPr>
                <w:ilvl w:val="0"/>
                <w:numId w:val="14"/>
              </w:numPr>
              <w:tabs>
                <w:tab w:val="left" w:pos="287"/>
              </w:tabs>
              <w:spacing w:after="0" w:line="240" w:lineRule="auto"/>
              <w:ind w:left="68" w:hanging="68"/>
              <w:rPr>
                <w:rFonts w:ascii="Arial" w:hAnsi="Arial" w:cs="Arial"/>
                <w:sz w:val="20"/>
                <w:szCs w:val="20"/>
                <w:lang w:val="en-GB"/>
              </w:rPr>
            </w:pPr>
            <w:r w:rsidRPr="00D33701">
              <w:rPr>
                <w:rFonts w:ascii="Arial" w:hAnsi="Arial" w:cs="Arial"/>
                <w:sz w:val="20"/>
                <w:szCs w:val="20"/>
                <w:lang w:val="en-GB"/>
              </w:rPr>
              <w:t xml:space="preserve">General increase of seafood consumption in the short, medium and long term (kg / year ton / year); </w:t>
            </w:r>
          </w:p>
          <w:p w14:paraId="4C66CFA0" w14:textId="38F14534" w:rsidR="0064003C" w:rsidRPr="00D33701" w:rsidRDefault="0053713B" w:rsidP="000B67FF">
            <w:pPr>
              <w:pStyle w:val="Lijstalinea"/>
              <w:numPr>
                <w:ilvl w:val="0"/>
                <w:numId w:val="14"/>
              </w:numPr>
              <w:tabs>
                <w:tab w:val="left" w:pos="287"/>
              </w:tabs>
              <w:spacing w:after="0" w:line="240" w:lineRule="auto"/>
              <w:rPr>
                <w:rFonts w:ascii="Arial" w:hAnsi="Arial" w:cs="Arial"/>
                <w:sz w:val="20"/>
                <w:szCs w:val="20"/>
                <w:lang w:val="en-GB"/>
              </w:rPr>
            </w:pPr>
            <w:r w:rsidRPr="00D33701">
              <w:rPr>
                <w:rFonts w:ascii="Arial" w:hAnsi="Arial" w:cs="Arial"/>
                <w:sz w:val="20"/>
                <w:szCs w:val="20"/>
                <w:lang w:val="en-GB"/>
              </w:rPr>
              <w:t>General increase of seafood consumption with ecolabels in short, medium and long term (kg / year tons / year)</w:t>
            </w:r>
          </w:p>
        </w:tc>
      </w:tr>
      <w:tr w:rsidR="00C60274" w:rsidRPr="00C34F01" w14:paraId="65FBB600" w14:textId="77777777" w:rsidTr="00152372">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558AD6B" w14:textId="77777777" w:rsidR="00C60274" w:rsidRPr="00D33701" w:rsidRDefault="00C60274"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Socio-economic assessment</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5A436F0E" w14:textId="77777777" w:rsidR="00C41E6D" w:rsidRPr="00D33701" w:rsidRDefault="00C41E6D" w:rsidP="00C41E6D">
            <w:pPr>
              <w:spacing w:after="0" w:line="240" w:lineRule="auto"/>
              <w:rPr>
                <w:rFonts w:ascii="Arial" w:hAnsi="Arial" w:cs="Arial"/>
                <w:b/>
                <w:sz w:val="20"/>
                <w:szCs w:val="20"/>
                <w:lang w:val="en-GB"/>
              </w:rPr>
            </w:pPr>
          </w:p>
          <w:p w14:paraId="3F5D4B40" w14:textId="77777777" w:rsidR="00C41E6D" w:rsidRPr="00D33701" w:rsidRDefault="00C41E6D" w:rsidP="00C41E6D">
            <w:pPr>
              <w:spacing w:after="0" w:line="240" w:lineRule="auto"/>
              <w:rPr>
                <w:rFonts w:ascii="Arial" w:hAnsi="Arial" w:cs="Arial"/>
                <w:b/>
                <w:sz w:val="20"/>
                <w:szCs w:val="20"/>
                <w:lang w:val="en-GB"/>
              </w:rPr>
            </w:pPr>
            <w:r w:rsidRPr="00D33701">
              <w:rPr>
                <w:rFonts w:ascii="Arial" w:hAnsi="Arial" w:cs="Arial"/>
                <w:b/>
                <w:sz w:val="20"/>
                <w:szCs w:val="20"/>
                <w:lang w:val="en-GB"/>
              </w:rPr>
              <w:t>Cost Effectiveness Assessment: moderate</w:t>
            </w:r>
          </w:p>
          <w:p w14:paraId="5B7E00A5" w14:textId="791CA06D" w:rsidR="00C41E6D" w:rsidRPr="00D33701" w:rsidRDefault="00C41E6D" w:rsidP="00C41E6D">
            <w:pPr>
              <w:spacing w:after="0" w:line="240" w:lineRule="auto"/>
              <w:rPr>
                <w:rFonts w:ascii="Arial" w:hAnsi="Arial" w:cs="Arial"/>
                <w:b/>
                <w:sz w:val="20"/>
                <w:szCs w:val="20"/>
                <w:lang w:val="en-GB"/>
              </w:rPr>
            </w:pPr>
            <w:r w:rsidRPr="00D33701">
              <w:rPr>
                <w:rFonts w:ascii="Arial" w:hAnsi="Arial" w:cs="Arial"/>
                <w:b/>
                <w:sz w:val="20"/>
                <w:szCs w:val="20"/>
                <w:lang w:val="en-GB"/>
              </w:rPr>
              <w:t>Cost Benefit Assessment: medium</w:t>
            </w:r>
          </w:p>
          <w:p w14:paraId="0BEB9F53" w14:textId="77777777" w:rsidR="00C41E6D" w:rsidRPr="00D33701" w:rsidRDefault="00C41E6D" w:rsidP="007C66B3">
            <w:pPr>
              <w:spacing w:after="0" w:line="240" w:lineRule="auto"/>
              <w:rPr>
                <w:rFonts w:ascii="Arial" w:hAnsi="Arial" w:cs="Arial"/>
                <w:b/>
                <w:sz w:val="20"/>
                <w:szCs w:val="20"/>
                <w:lang w:val="en-GB"/>
              </w:rPr>
            </w:pPr>
          </w:p>
          <w:p w14:paraId="7601B138" w14:textId="77777777" w:rsidR="00DB41E3" w:rsidRPr="00D33701" w:rsidRDefault="00DB41E3" w:rsidP="007C66B3">
            <w:pPr>
              <w:spacing w:after="0" w:line="240" w:lineRule="auto"/>
              <w:rPr>
                <w:rFonts w:ascii="Arial" w:hAnsi="Arial" w:cs="Arial"/>
                <w:b/>
                <w:sz w:val="20"/>
                <w:szCs w:val="20"/>
                <w:lang w:val="en-GB"/>
              </w:rPr>
            </w:pPr>
            <w:r w:rsidRPr="00D33701">
              <w:rPr>
                <w:rFonts w:ascii="Arial" w:hAnsi="Arial" w:cs="Arial"/>
                <w:b/>
                <w:sz w:val="20"/>
                <w:szCs w:val="20"/>
                <w:lang w:val="en-GB"/>
              </w:rPr>
              <w:t>Negative side effects:</w:t>
            </w:r>
          </w:p>
          <w:p w14:paraId="39F898E5" w14:textId="436773E4" w:rsidR="000D5ED5" w:rsidRPr="00D33701" w:rsidRDefault="000D5ED5" w:rsidP="007C66B3">
            <w:pPr>
              <w:spacing w:after="0" w:line="240" w:lineRule="auto"/>
              <w:rPr>
                <w:rFonts w:ascii="Arial" w:hAnsi="Arial" w:cs="Arial"/>
                <w:sz w:val="20"/>
                <w:szCs w:val="20"/>
                <w:lang w:val="bg-BG"/>
              </w:rPr>
            </w:pPr>
            <w:r w:rsidRPr="00D33701">
              <w:rPr>
                <w:rFonts w:ascii="Arial" w:hAnsi="Arial" w:cs="Arial"/>
                <w:sz w:val="20"/>
                <w:szCs w:val="20"/>
                <w:lang w:val="en-GB"/>
              </w:rPr>
              <w:t xml:space="preserve">This could have a negative effect on the rest of the business, which </w:t>
            </w:r>
            <w:r w:rsidR="00F170F9" w:rsidRPr="00D33701">
              <w:rPr>
                <w:rFonts w:ascii="Arial" w:hAnsi="Arial" w:cs="Arial"/>
                <w:sz w:val="20"/>
                <w:szCs w:val="20"/>
                <w:lang w:val="en-GB"/>
              </w:rPr>
              <w:t>cannot</w:t>
            </w:r>
            <w:r w:rsidRPr="00D33701">
              <w:rPr>
                <w:rFonts w:ascii="Arial" w:hAnsi="Arial" w:cs="Arial"/>
                <w:sz w:val="20"/>
                <w:szCs w:val="20"/>
                <w:lang w:val="en-GB"/>
              </w:rPr>
              <w:t xml:space="preserve"> provide the necessary quality of their seafood products and are not authorized to use the </w:t>
            </w:r>
            <w:proofErr w:type="spellStart"/>
            <w:r w:rsidRPr="00D33701">
              <w:rPr>
                <w:rFonts w:ascii="Arial" w:hAnsi="Arial" w:cs="Arial"/>
                <w:sz w:val="20"/>
                <w:szCs w:val="20"/>
                <w:lang w:val="en-GB"/>
              </w:rPr>
              <w:t>ecolabeling</w:t>
            </w:r>
            <w:proofErr w:type="spellEnd"/>
            <w:r w:rsidRPr="00D33701">
              <w:rPr>
                <w:rFonts w:ascii="Arial" w:hAnsi="Arial" w:cs="Arial"/>
                <w:sz w:val="20"/>
                <w:szCs w:val="20"/>
                <w:lang w:val="en-GB"/>
              </w:rPr>
              <w:t xml:space="preserve"> (Increase of the “grey economy”)</w:t>
            </w:r>
            <w:r w:rsidR="001554BE" w:rsidRPr="00D33701">
              <w:rPr>
                <w:rFonts w:ascii="Arial" w:hAnsi="Arial" w:cs="Arial"/>
                <w:sz w:val="20"/>
                <w:szCs w:val="20"/>
                <w:lang w:val="bg-BG"/>
              </w:rPr>
              <w:t>.</w:t>
            </w:r>
          </w:p>
          <w:p w14:paraId="110E643C" w14:textId="77777777" w:rsidR="000D5ED5" w:rsidRPr="00D33701" w:rsidRDefault="000D5ED5" w:rsidP="007C66B3">
            <w:pPr>
              <w:spacing w:after="0" w:line="240" w:lineRule="auto"/>
              <w:rPr>
                <w:rFonts w:ascii="Arial" w:hAnsi="Arial" w:cs="Arial"/>
                <w:b/>
                <w:sz w:val="20"/>
                <w:szCs w:val="20"/>
                <w:lang w:val="en-GB"/>
              </w:rPr>
            </w:pPr>
            <w:r w:rsidRPr="00D33701">
              <w:rPr>
                <w:rFonts w:ascii="Arial" w:hAnsi="Arial" w:cs="Arial"/>
                <w:b/>
                <w:sz w:val="20"/>
                <w:szCs w:val="20"/>
                <w:lang w:val="en-GB"/>
              </w:rPr>
              <w:t>Benefit:</w:t>
            </w:r>
          </w:p>
          <w:p w14:paraId="7027F982" w14:textId="78AFA092" w:rsidR="00AB1372" w:rsidRPr="00D33701" w:rsidRDefault="000D5ED5" w:rsidP="007C66B3">
            <w:pPr>
              <w:spacing w:after="0" w:line="240" w:lineRule="auto"/>
              <w:rPr>
                <w:rFonts w:ascii="Arial" w:hAnsi="Arial" w:cs="Arial"/>
                <w:sz w:val="20"/>
                <w:szCs w:val="20"/>
                <w:lang w:val="en-GB"/>
              </w:rPr>
            </w:pPr>
            <w:r w:rsidRPr="00D33701">
              <w:rPr>
                <w:rFonts w:ascii="Arial" w:hAnsi="Arial" w:cs="Arial"/>
                <w:sz w:val="20"/>
                <w:szCs w:val="20"/>
                <w:lang w:val="en-GB"/>
              </w:rPr>
              <w:t xml:space="preserve">1. The fishing sector will themselves choose to introduce </w:t>
            </w:r>
            <w:proofErr w:type="spellStart"/>
            <w:r w:rsidRPr="00D33701">
              <w:rPr>
                <w:rFonts w:ascii="Arial" w:hAnsi="Arial" w:cs="Arial"/>
                <w:sz w:val="20"/>
                <w:szCs w:val="20"/>
                <w:lang w:val="en-GB"/>
              </w:rPr>
              <w:t>ecolabeling</w:t>
            </w:r>
            <w:proofErr w:type="spellEnd"/>
            <w:r w:rsidRPr="00D33701">
              <w:rPr>
                <w:rFonts w:ascii="Arial" w:hAnsi="Arial" w:cs="Arial"/>
                <w:sz w:val="20"/>
                <w:szCs w:val="20"/>
                <w:lang w:val="en-GB"/>
              </w:rPr>
              <w:t xml:space="preserve"> if there </w:t>
            </w:r>
            <w:r w:rsidR="00AC31C7" w:rsidRPr="00D33701">
              <w:rPr>
                <w:rFonts w:ascii="Arial" w:hAnsi="Arial" w:cs="Arial"/>
                <w:sz w:val="20"/>
                <w:szCs w:val="20"/>
                <w:lang w:val="en-GB"/>
              </w:rPr>
              <w:t>is</w:t>
            </w:r>
            <w:r w:rsidRPr="00D33701">
              <w:rPr>
                <w:rFonts w:ascii="Arial" w:hAnsi="Arial" w:cs="Arial"/>
                <w:sz w:val="20"/>
                <w:szCs w:val="20"/>
                <w:lang w:val="en-GB"/>
              </w:rPr>
              <w:t xml:space="preserve"> such demand. It depend</w:t>
            </w:r>
            <w:r w:rsidR="00AC31C7" w:rsidRPr="00D33701">
              <w:rPr>
                <w:rFonts w:ascii="Arial" w:hAnsi="Arial" w:cs="Arial"/>
                <w:sz w:val="20"/>
                <w:szCs w:val="20"/>
                <w:lang w:val="en-US"/>
              </w:rPr>
              <w:t>s</w:t>
            </w:r>
            <w:r w:rsidRPr="00D33701">
              <w:rPr>
                <w:rFonts w:ascii="Arial" w:hAnsi="Arial" w:cs="Arial"/>
                <w:sz w:val="20"/>
                <w:szCs w:val="20"/>
                <w:lang w:val="en-GB"/>
              </w:rPr>
              <w:t xml:space="preserve"> on the type of labels and what the benefits for the environment potentially could be. Introduction of ecolabelling </w:t>
            </w:r>
            <w:r w:rsidR="007C66B3" w:rsidRPr="00D33701">
              <w:rPr>
                <w:rFonts w:ascii="Arial" w:hAnsi="Arial" w:cs="Arial"/>
                <w:sz w:val="20"/>
                <w:szCs w:val="20"/>
                <w:lang w:val="en-US"/>
              </w:rPr>
              <w:t>is</w:t>
            </w:r>
            <w:r w:rsidRPr="00D33701">
              <w:rPr>
                <w:rFonts w:ascii="Arial" w:hAnsi="Arial" w:cs="Arial"/>
                <w:sz w:val="20"/>
                <w:szCs w:val="20"/>
                <w:lang w:val="en-GB"/>
              </w:rPr>
              <w:t xml:space="preserve"> relevant for local fish markets and those for export.  </w:t>
            </w:r>
          </w:p>
          <w:p w14:paraId="489BD468" w14:textId="3317F61E" w:rsidR="00AB1372" w:rsidRPr="00D33701" w:rsidRDefault="000D5ED5" w:rsidP="007C66B3">
            <w:pPr>
              <w:spacing w:after="0" w:line="240" w:lineRule="auto"/>
              <w:rPr>
                <w:rFonts w:ascii="Arial" w:hAnsi="Arial" w:cs="Arial"/>
                <w:sz w:val="20"/>
                <w:szCs w:val="20"/>
                <w:lang w:val="bg-BG"/>
              </w:rPr>
            </w:pPr>
            <w:r w:rsidRPr="00D33701">
              <w:rPr>
                <w:rFonts w:ascii="Arial" w:hAnsi="Arial" w:cs="Arial"/>
                <w:sz w:val="20"/>
                <w:szCs w:val="20"/>
                <w:lang w:val="en-GB"/>
              </w:rPr>
              <w:t xml:space="preserve">2. </w:t>
            </w:r>
            <w:r w:rsidR="00AC31C7" w:rsidRPr="00D33701">
              <w:rPr>
                <w:rFonts w:ascii="Arial" w:hAnsi="Arial" w:cs="Arial"/>
                <w:sz w:val="20"/>
                <w:szCs w:val="20"/>
                <w:lang w:val="en-GB"/>
              </w:rPr>
              <w:t xml:space="preserve">Raising public awareness about the products offered on the market and the possibility of choice, general increase of consumption of marine products from the </w:t>
            </w:r>
            <w:r w:rsidR="00971847">
              <w:rPr>
                <w:rFonts w:ascii="Arial" w:hAnsi="Arial" w:cs="Arial"/>
                <w:sz w:val="20"/>
                <w:szCs w:val="20"/>
                <w:lang w:val="en-GB"/>
              </w:rPr>
              <w:t xml:space="preserve"> </w:t>
            </w:r>
            <w:r w:rsidR="00AC31C7" w:rsidRPr="00D33701">
              <w:rPr>
                <w:rFonts w:ascii="Arial" w:hAnsi="Arial" w:cs="Arial"/>
                <w:sz w:val="20"/>
                <w:szCs w:val="20"/>
                <w:lang w:val="en-GB"/>
              </w:rPr>
              <w:t>population.</w:t>
            </w:r>
            <w:r w:rsidR="00AC31C7" w:rsidRPr="00D33701">
              <w:rPr>
                <w:rFonts w:ascii="Arial" w:hAnsi="Arial" w:cs="Arial"/>
                <w:i/>
                <w:sz w:val="20"/>
                <w:szCs w:val="20"/>
                <w:lang w:val="en-GB"/>
              </w:rPr>
              <w:t xml:space="preserve"> </w:t>
            </w:r>
            <w:r w:rsidR="00AC31C7" w:rsidRPr="00D33701">
              <w:rPr>
                <w:rFonts w:ascii="Arial" w:hAnsi="Arial" w:cs="Arial"/>
                <w:i/>
                <w:sz w:val="20"/>
                <w:szCs w:val="20"/>
                <w:lang w:val="bg-BG"/>
              </w:rPr>
              <w:t>(</w:t>
            </w:r>
            <w:r w:rsidR="00AC31C7" w:rsidRPr="00D33701">
              <w:rPr>
                <w:rFonts w:ascii="Arial" w:hAnsi="Arial" w:cs="Arial"/>
                <w:i/>
                <w:sz w:val="20"/>
                <w:szCs w:val="20"/>
                <w:lang w:val="en-US"/>
              </w:rPr>
              <w:t xml:space="preserve">periodic </w:t>
            </w:r>
            <w:r w:rsidR="00AC31C7" w:rsidRPr="00D33701">
              <w:rPr>
                <w:rFonts w:ascii="Arial" w:hAnsi="Arial" w:cs="Arial"/>
                <w:i/>
                <w:sz w:val="20"/>
                <w:szCs w:val="20"/>
                <w:lang w:val="bg-BG"/>
              </w:rPr>
              <w:t>statistics</w:t>
            </w:r>
            <w:r w:rsidR="00AC31C7" w:rsidRPr="00D33701">
              <w:rPr>
                <w:rFonts w:ascii="Arial" w:hAnsi="Arial" w:cs="Arial"/>
                <w:i/>
                <w:sz w:val="20"/>
                <w:szCs w:val="20"/>
                <w:lang w:val="en-US"/>
              </w:rPr>
              <w:t xml:space="preserve"> of sea food offered in markets and consumer preferences</w:t>
            </w:r>
            <w:r w:rsidR="00AC31C7" w:rsidRPr="00D33701">
              <w:rPr>
                <w:rFonts w:ascii="Arial" w:hAnsi="Arial" w:cs="Arial"/>
                <w:i/>
                <w:sz w:val="20"/>
                <w:szCs w:val="20"/>
                <w:lang w:val="bg-BG"/>
              </w:rPr>
              <w:t>);</w:t>
            </w:r>
          </w:p>
          <w:p w14:paraId="2F003845" w14:textId="09496823" w:rsidR="00C60274" w:rsidRPr="00D33701" w:rsidRDefault="000D5ED5" w:rsidP="007C66B3">
            <w:pPr>
              <w:spacing w:after="0" w:line="240" w:lineRule="auto"/>
              <w:rPr>
                <w:rFonts w:ascii="Arial" w:hAnsi="Arial" w:cs="Arial"/>
                <w:sz w:val="20"/>
                <w:szCs w:val="20"/>
                <w:lang w:val="bg-BG"/>
              </w:rPr>
            </w:pPr>
            <w:r w:rsidRPr="00D33701">
              <w:rPr>
                <w:rFonts w:ascii="Arial" w:hAnsi="Arial" w:cs="Arial"/>
                <w:sz w:val="20"/>
                <w:szCs w:val="20"/>
                <w:lang w:val="en-GB"/>
              </w:rPr>
              <w:t>3.</w:t>
            </w:r>
            <w:r w:rsidR="00AC31C7" w:rsidRPr="00D33701">
              <w:rPr>
                <w:rFonts w:ascii="Arial" w:hAnsi="Arial" w:cs="Arial"/>
                <w:i/>
                <w:sz w:val="20"/>
                <w:szCs w:val="20"/>
                <w:lang w:val="bg-BG"/>
              </w:rPr>
              <w:t xml:space="preserve"> </w:t>
            </w:r>
            <w:r w:rsidR="00AC31C7" w:rsidRPr="00D33701">
              <w:rPr>
                <w:rFonts w:ascii="Arial" w:hAnsi="Arial" w:cs="Arial"/>
                <w:sz w:val="20"/>
                <w:szCs w:val="20"/>
                <w:lang w:val="en-GB"/>
              </w:rPr>
              <w:t>Increasing the profits of firms offering products with a sign of good quality (ecolabel)</w:t>
            </w:r>
            <w:r w:rsidR="00AC31C7" w:rsidRPr="00D33701">
              <w:rPr>
                <w:rFonts w:ascii="Arial" w:hAnsi="Arial" w:cs="Arial"/>
                <w:sz w:val="20"/>
                <w:szCs w:val="20"/>
                <w:lang w:val="bg-BG"/>
              </w:rPr>
              <w:t>.</w:t>
            </w:r>
          </w:p>
          <w:p w14:paraId="1D306E14" w14:textId="03B88DA6" w:rsidR="0064003C" w:rsidRPr="00D33701" w:rsidRDefault="00AC31C7" w:rsidP="00AC31C7">
            <w:pPr>
              <w:spacing w:after="0" w:line="240" w:lineRule="auto"/>
              <w:rPr>
                <w:rFonts w:ascii="Arial" w:hAnsi="Arial" w:cs="Arial"/>
                <w:sz w:val="20"/>
                <w:szCs w:val="20"/>
                <w:lang w:val="bg-BG"/>
              </w:rPr>
            </w:pPr>
            <w:r w:rsidRPr="00D33701">
              <w:rPr>
                <w:rFonts w:ascii="Arial" w:hAnsi="Arial" w:cs="Arial"/>
                <w:color w:val="FF0000"/>
                <w:sz w:val="20"/>
                <w:szCs w:val="20"/>
                <w:lang w:val="bg-BG"/>
              </w:rPr>
              <w:t xml:space="preserve"> </w:t>
            </w:r>
          </w:p>
        </w:tc>
      </w:tr>
      <w:tr w:rsidR="005D3832" w:rsidRPr="00D33701" w14:paraId="34496B34"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04821BCF" w14:textId="7504D0A9"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Coordination</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259A7C3C" w14:textId="28A953D6" w:rsidR="00971847" w:rsidRDefault="00C43040" w:rsidP="00E41209">
            <w:pPr>
              <w:spacing w:after="0" w:line="240" w:lineRule="auto"/>
              <w:rPr>
                <w:rFonts w:ascii="Arial" w:hAnsi="Arial" w:cs="Arial"/>
                <w:sz w:val="20"/>
                <w:szCs w:val="20"/>
                <w:lang w:val="en-GB"/>
              </w:rPr>
            </w:pPr>
            <w:r>
              <w:rPr>
                <w:rFonts w:ascii="Arial" w:hAnsi="Arial" w:cs="Arial"/>
                <w:sz w:val="20"/>
                <w:szCs w:val="20"/>
                <w:lang w:val="en-GB"/>
              </w:rPr>
              <w:t>N</w:t>
            </w:r>
            <w:r w:rsidR="00971847">
              <w:rPr>
                <w:rFonts w:ascii="Arial" w:hAnsi="Arial" w:cs="Arial"/>
                <w:sz w:val="20"/>
                <w:szCs w:val="20"/>
                <w:lang w:val="en-GB"/>
              </w:rPr>
              <w:t xml:space="preserve">ational </w:t>
            </w:r>
          </w:p>
          <w:p w14:paraId="69EFF4C1" w14:textId="0B5C47BA" w:rsidR="00AC31C7" w:rsidRPr="00D33701" w:rsidRDefault="00AC31C7" w:rsidP="00E41209">
            <w:pPr>
              <w:spacing w:after="0" w:line="240" w:lineRule="auto"/>
              <w:rPr>
                <w:rFonts w:ascii="Arial" w:hAnsi="Arial" w:cs="Arial"/>
                <w:sz w:val="20"/>
                <w:szCs w:val="20"/>
                <w:lang w:val="en-GB"/>
              </w:rPr>
            </w:pPr>
            <w:r w:rsidRPr="00D33701">
              <w:rPr>
                <w:rFonts w:ascii="Arial" w:hAnsi="Arial" w:cs="Arial"/>
                <w:sz w:val="20"/>
                <w:szCs w:val="20"/>
                <w:lang w:val="en-GB"/>
              </w:rPr>
              <w:t>Bilateral</w:t>
            </w:r>
          </w:p>
          <w:p w14:paraId="0E7186B4" w14:textId="5A1ECEBA" w:rsidR="00AC31C7" w:rsidRPr="00D33701" w:rsidRDefault="00AC31C7" w:rsidP="00E41209">
            <w:pPr>
              <w:spacing w:after="0" w:line="240" w:lineRule="auto"/>
              <w:rPr>
                <w:rFonts w:ascii="Arial" w:hAnsi="Arial" w:cs="Arial"/>
                <w:i/>
                <w:sz w:val="20"/>
                <w:szCs w:val="20"/>
                <w:lang w:val="bg-BG"/>
              </w:rPr>
            </w:pPr>
          </w:p>
        </w:tc>
      </w:tr>
      <w:tr w:rsidR="00583D8D" w:rsidRPr="00D33701" w14:paraId="35F93C39"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7FA26C20" w14:textId="329CD1CE" w:rsidR="00583D8D" w:rsidRPr="00D33701" w:rsidRDefault="00583D8D"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Technical feasibility</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511F39CD" w14:textId="77777777" w:rsidR="00583D8D" w:rsidRPr="00D33701" w:rsidRDefault="00583D8D" w:rsidP="00583D8D">
            <w:pPr>
              <w:pStyle w:val="Lijstalinea"/>
              <w:numPr>
                <w:ilvl w:val="0"/>
                <w:numId w:val="11"/>
              </w:numPr>
              <w:spacing w:after="0" w:line="240" w:lineRule="auto"/>
              <w:rPr>
                <w:rFonts w:ascii="Arial" w:hAnsi="Arial" w:cs="Arial"/>
                <w:i/>
                <w:sz w:val="20"/>
                <w:szCs w:val="20"/>
                <w:lang w:val="en-GB"/>
              </w:rPr>
            </w:pPr>
            <w:r w:rsidRPr="00D33701">
              <w:rPr>
                <w:rFonts w:ascii="Arial" w:hAnsi="Arial" w:cs="Arial"/>
                <w:sz w:val="20"/>
                <w:szCs w:val="20"/>
                <w:lang w:val="en-GB"/>
              </w:rPr>
              <w:t>New development</w:t>
            </w:r>
          </w:p>
        </w:tc>
      </w:tr>
      <w:tr w:rsidR="005D3832" w:rsidRPr="00C34F01" w14:paraId="4293C227"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35882CE0" w14:textId="77777777" w:rsidR="005D3832" w:rsidRPr="00D33701" w:rsidRDefault="005D3832" w:rsidP="009D45F8">
            <w:pPr>
              <w:spacing w:before="60" w:after="60" w:line="240" w:lineRule="auto"/>
              <w:rPr>
                <w:rFonts w:ascii="Arial" w:hAnsi="Arial" w:cs="Arial"/>
                <w:b/>
                <w:sz w:val="20"/>
                <w:szCs w:val="20"/>
                <w:lang w:val="en-GB"/>
              </w:rPr>
            </w:pPr>
            <w:r w:rsidRPr="00D33701">
              <w:rPr>
                <w:rFonts w:ascii="Arial" w:hAnsi="Arial" w:cs="Arial"/>
                <w:b/>
                <w:sz w:val="20"/>
                <w:szCs w:val="20"/>
                <w:lang w:val="en-GB"/>
              </w:rPr>
              <w:t xml:space="preserve">Body responsible for the measure </w:t>
            </w:r>
            <w:r w:rsidR="009D45F8" w:rsidRPr="00D33701">
              <w:rPr>
                <w:rFonts w:ascii="Arial" w:hAnsi="Arial" w:cs="Arial"/>
                <w:b/>
                <w:sz w:val="20"/>
                <w:szCs w:val="20"/>
                <w:lang w:val="en-GB"/>
              </w:rPr>
              <w:t>implementation</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4A32132F" w14:textId="66F8F74E" w:rsidR="005D3832" w:rsidRPr="00D33701" w:rsidRDefault="00C41E6D" w:rsidP="00E41209">
            <w:pPr>
              <w:spacing w:before="60" w:after="60" w:line="240" w:lineRule="auto"/>
              <w:rPr>
                <w:rFonts w:ascii="Arial" w:hAnsi="Arial" w:cs="Arial"/>
                <w:sz w:val="20"/>
                <w:szCs w:val="20"/>
                <w:lang w:val="en-GB"/>
              </w:rPr>
            </w:pPr>
            <w:r w:rsidRPr="00D33701">
              <w:rPr>
                <w:rFonts w:ascii="Arial" w:hAnsi="Arial" w:cs="Arial"/>
                <w:sz w:val="20"/>
                <w:szCs w:val="20"/>
                <w:lang w:val="en-GB"/>
              </w:rPr>
              <w:t xml:space="preserve">Bulgaria: </w:t>
            </w:r>
            <w:r w:rsidR="00A93926" w:rsidRPr="00D33701">
              <w:rPr>
                <w:rFonts w:ascii="Arial" w:hAnsi="Arial" w:cs="Arial"/>
                <w:sz w:val="20"/>
                <w:szCs w:val="20"/>
                <w:lang w:val="en-GB"/>
              </w:rPr>
              <w:t xml:space="preserve">Ministry of Agriculture and Food, National Agency of Fisheries and Aquaculture (NAFA), Bulgarian Food Safety Agency (BFSA), Ministry of Health and Regional Health Inspections Dobrich, Varna and </w:t>
            </w:r>
            <w:proofErr w:type="spellStart"/>
            <w:r w:rsidR="00A93926" w:rsidRPr="00D33701">
              <w:rPr>
                <w:rFonts w:ascii="Arial" w:hAnsi="Arial" w:cs="Arial"/>
                <w:sz w:val="20"/>
                <w:szCs w:val="20"/>
                <w:lang w:val="en-GB"/>
              </w:rPr>
              <w:t>Burgas</w:t>
            </w:r>
            <w:proofErr w:type="spellEnd"/>
          </w:p>
          <w:p w14:paraId="7E16DFC4" w14:textId="77777777" w:rsidR="0064003C" w:rsidRPr="00D33701" w:rsidRDefault="0064003C" w:rsidP="00E41209">
            <w:pPr>
              <w:spacing w:before="60" w:after="60" w:line="240" w:lineRule="auto"/>
              <w:rPr>
                <w:rFonts w:ascii="Arial" w:hAnsi="Arial" w:cs="Arial"/>
                <w:sz w:val="20"/>
                <w:szCs w:val="20"/>
                <w:lang w:val="en-GB"/>
              </w:rPr>
            </w:pPr>
          </w:p>
          <w:p w14:paraId="78346C36" w14:textId="0E2854A6" w:rsidR="00C41E6D" w:rsidRPr="00D33701" w:rsidRDefault="00C41E6D" w:rsidP="00E41209">
            <w:pPr>
              <w:spacing w:before="60" w:after="60" w:line="240" w:lineRule="auto"/>
              <w:rPr>
                <w:rFonts w:ascii="Arial" w:hAnsi="Arial" w:cs="Arial"/>
                <w:sz w:val="20"/>
                <w:szCs w:val="20"/>
                <w:lang w:val="en-GB"/>
              </w:rPr>
            </w:pPr>
            <w:r w:rsidRPr="00D33701">
              <w:rPr>
                <w:rFonts w:ascii="Arial" w:hAnsi="Arial" w:cs="Arial"/>
                <w:sz w:val="20"/>
                <w:szCs w:val="20"/>
                <w:lang w:val="en-GB"/>
              </w:rPr>
              <w:t>Romania: Ministry of Agriculture and Rural development, including National Sanitary Veterinary and Food Safety Authority</w:t>
            </w:r>
          </w:p>
          <w:p w14:paraId="442E62DE" w14:textId="6AEDA2F7" w:rsidR="0064003C" w:rsidRPr="00D33701" w:rsidRDefault="0064003C" w:rsidP="00E41209">
            <w:pPr>
              <w:spacing w:before="60" w:after="60" w:line="240" w:lineRule="auto"/>
              <w:rPr>
                <w:rFonts w:ascii="Arial" w:hAnsi="Arial" w:cs="Arial"/>
                <w:sz w:val="20"/>
                <w:szCs w:val="20"/>
                <w:lang w:val="en-GB"/>
              </w:rPr>
            </w:pPr>
          </w:p>
        </w:tc>
      </w:tr>
      <w:tr w:rsidR="00801676" w:rsidRPr="00C34F01" w14:paraId="1FACE833" w14:textId="77777777" w:rsidTr="00152372">
        <w:tc>
          <w:tcPr>
            <w:tcW w:w="2376" w:type="dxa"/>
            <w:tcBorders>
              <w:top w:val="single" w:sz="4" w:space="0" w:color="auto"/>
              <w:left w:val="single" w:sz="4" w:space="0" w:color="auto"/>
              <w:bottom w:val="single" w:sz="4" w:space="0" w:color="auto"/>
              <w:right w:val="single" w:sz="4" w:space="0" w:color="auto"/>
            </w:tcBorders>
            <w:shd w:val="clear" w:color="auto" w:fill="auto"/>
          </w:tcPr>
          <w:p w14:paraId="398C3466" w14:textId="77777777" w:rsidR="00801676" w:rsidRPr="00D33701" w:rsidRDefault="00801676"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 xml:space="preserve">Financing </w:t>
            </w:r>
            <w:r w:rsidRPr="00D33701">
              <w:rPr>
                <w:rFonts w:ascii="Arial" w:hAnsi="Arial" w:cs="Arial"/>
                <w:b/>
                <w:sz w:val="20"/>
                <w:szCs w:val="20"/>
                <w:lang w:val="en-GB"/>
              </w:rPr>
              <w:lastRenderedPageBreak/>
              <w:t>opportunities</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52C30BEA" w14:textId="723E2A7B" w:rsidR="00801676" w:rsidRPr="00D33701" w:rsidRDefault="00C41E6D" w:rsidP="00E41209">
            <w:pPr>
              <w:spacing w:before="60" w:after="60" w:line="240" w:lineRule="auto"/>
              <w:rPr>
                <w:rFonts w:ascii="Arial" w:hAnsi="Arial" w:cs="Arial"/>
                <w:sz w:val="20"/>
                <w:szCs w:val="20"/>
                <w:lang w:val="en-GB"/>
              </w:rPr>
            </w:pPr>
            <w:r w:rsidRPr="00D33701">
              <w:rPr>
                <w:rFonts w:ascii="Arial" w:hAnsi="Arial" w:cs="Arial"/>
                <w:sz w:val="20"/>
                <w:szCs w:val="20"/>
                <w:lang w:val="en-GB"/>
              </w:rPr>
              <w:lastRenderedPageBreak/>
              <w:t>Public funds; EU projects (</w:t>
            </w:r>
            <w:proofErr w:type="spellStart"/>
            <w:r w:rsidRPr="00D33701">
              <w:rPr>
                <w:rFonts w:ascii="Arial" w:hAnsi="Arial" w:cs="Arial"/>
                <w:sz w:val="20"/>
                <w:szCs w:val="20"/>
                <w:lang w:val="en-GB"/>
              </w:rPr>
              <w:t>i.e</w:t>
            </w:r>
            <w:proofErr w:type="spellEnd"/>
            <w:r w:rsidRPr="00D33701">
              <w:rPr>
                <w:rFonts w:ascii="Arial" w:hAnsi="Arial" w:cs="Arial"/>
                <w:sz w:val="20"/>
                <w:szCs w:val="20"/>
                <w:lang w:val="en-GB"/>
              </w:rPr>
              <w:t xml:space="preserve"> RO-BG CBC Program, Horizon 2020 Program, </w:t>
            </w:r>
            <w:r w:rsidRPr="00D33701">
              <w:rPr>
                <w:rFonts w:ascii="Arial" w:hAnsi="Arial" w:cs="Arial"/>
                <w:sz w:val="20"/>
                <w:szCs w:val="20"/>
                <w:lang w:val="en-GB"/>
              </w:rPr>
              <w:lastRenderedPageBreak/>
              <w:t>EMFF)</w:t>
            </w:r>
          </w:p>
        </w:tc>
      </w:tr>
      <w:tr w:rsidR="005D3832" w:rsidRPr="00D33701" w14:paraId="7C6305BD" w14:textId="77777777" w:rsidTr="00152372">
        <w:tc>
          <w:tcPr>
            <w:tcW w:w="2376" w:type="dxa"/>
            <w:shd w:val="clear" w:color="auto" w:fill="auto"/>
          </w:tcPr>
          <w:p w14:paraId="4754BE59" w14:textId="5BB85A8A"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lastRenderedPageBreak/>
              <w:t>Planning of implementation</w:t>
            </w:r>
            <w:bookmarkStart w:id="0" w:name="_GoBack"/>
            <w:r w:rsidR="00C43040">
              <w:rPr>
                <w:rFonts w:ascii="Arial" w:hAnsi="Arial" w:cs="Arial"/>
                <w:b/>
                <w:sz w:val="20"/>
                <w:szCs w:val="20"/>
                <w:lang w:val="en-GB"/>
              </w:rPr>
              <w:t>/temporal coverage</w:t>
            </w:r>
            <w:bookmarkEnd w:id="0"/>
          </w:p>
        </w:tc>
        <w:tc>
          <w:tcPr>
            <w:tcW w:w="7405" w:type="dxa"/>
            <w:gridSpan w:val="2"/>
            <w:shd w:val="clear" w:color="auto" w:fill="auto"/>
            <w:vAlign w:val="center"/>
          </w:tcPr>
          <w:p w14:paraId="2C8B7061" w14:textId="3D00143D" w:rsidR="00583D8D" w:rsidRPr="00D33701" w:rsidRDefault="0064003C" w:rsidP="0064003C">
            <w:pPr>
              <w:spacing w:before="60" w:after="60" w:line="240" w:lineRule="auto"/>
              <w:rPr>
                <w:rFonts w:ascii="Arial" w:hAnsi="Arial" w:cs="Arial"/>
                <w:b/>
                <w:sz w:val="20"/>
                <w:szCs w:val="20"/>
                <w:lang w:val="en-GB"/>
              </w:rPr>
            </w:pPr>
            <w:r w:rsidRPr="00D33701">
              <w:rPr>
                <w:rFonts w:ascii="Arial" w:hAnsi="Arial" w:cs="Arial"/>
                <w:b/>
                <w:sz w:val="20"/>
                <w:szCs w:val="20"/>
                <w:lang w:val="en-GB"/>
              </w:rPr>
              <w:t>2018</w:t>
            </w:r>
          </w:p>
        </w:tc>
      </w:tr>
      <w:tr w:rsidR="00AE6ACD" w:rsidRPr="00C34F01" w14:paraId="097076FA" w14:textId="77777777" w:rsidTr="00152372">
        <w:tc>
          <w:tcPr>
            <w:tcW w:w="2376" w:type="dxa"/>
            <w:shd w:val="clear" w:color="auto" w:fill="auto"/>
          </w:tcPr>
          <w:p w14:paraId="7DE00EF4" w14:textId="77777777" w:rsidR="00AE6ACD" w:rsidRPr="00D33701" w:rsidRDefault="00AE6ACD"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Difficulties in implementation</w:t>
            </w:r>
          </w:p>
        </w:tc>
        <w:tc>
          <w:tcPr>
            <w:tcW w:w="7405" w:type="dxa"/>
            <w:gridSpan w:val="2"/>
            <w:shd w:val="clear" w:color="auto" w:fill="auto"/>
          </w:tcPr>
          <w:p w14:paraId="17AAAB0B" w14:textId="55F09AC8" w:rsidR="00AE6ACD" w:rsidRPr="00D33701" w:rsidRDefault="00C41E6D" w:rsidP="00E41209">
            <w:pPr>
              <w:spacing w:before="60" w:after="60" w:line="240" w:lineRule="auto"/>
              <w:rPr>
                <w:rFonts w:ascii="Arial" w:hAnsi="Arial" w:cs="Arial"/>
                <w:sz w:val="20"/>
                <w:szCs w:val="20"/>
                <w:lang w:val="en-GB"/>
              </w:rPr>
            </w:pPr>
            <w:r w:rsidRPr="00D33701">
              <w:rPr>
                <w:rFonts w:ascii="Arial" w:hAnsi="Arial" w:cs="Arial"/>
                <w:sz w:val="20"/>
                <w:szCs w:val="20"/>
                <w:lang w:val="en-GB"/>
              </w:rPr>
              <w:t>Yes – possible reluctance of some producers/fishermen related to high cost, inadequate management support, paucity of data and impact on trade.</w:t>
            </w:r>
            <w:r w:rsidR="00AE6ACD" w:rsidRPr="00D33701">
              <w:rPr>
                <w:rFonts w:ascii="Arial" w:hAnsi="Arial" w:cs="Arial"/>
                <w:sz w:val="20"/>
                <w:szCs w:val="20"/>
                <w:lang w:val="en-GB"/>
              </w:rPr>
              <w:t xml:space="preserve"> </w:t>
            </w:r>
          </w:p>
        </w:tc>
      </w:tr>
      <w:tr w:rsidR="005D3832" w:rsidRPr="00D33701" w14:paraId="69DB3310" w14:textId="77777777" w:rsidTr="00152372">
        <w:tc>
          <w:tcPr>
            <w:tcW w:w="9781" w:type="dxa"/>
            <w:gridSpan w:val="3"/>
            <w:shd w:val="clear" w:color="auto" w:fill="auto"/>
          </w:tcPr>
          <w:p w14:paraId="3A910E37" w14:textId="77777777" w:rsidR="005D3832" w:rsidRPr="00D33701" w:rsidRDefault="005D3832" w:rsidP="00E41209">
            <w:pPr>
              <w:spacing w:before="60" w:after="60" w:line="240" w:lineRule="auto"/>
              <w:rPr>
                <w:rFonts w:ascii="Arial" w:hAnsi="Arial" w:cs="Arial"/>
                <w:b/>
                <w:i/>
                <w:sz w:val="20"/>
                <w:szCs w:val="20"/>
                <w:lang w:val="en-GB"/>
              </w:rPr>
            </w:pPr>
            <w:r w:rsidRPr="00D33701">
              <w:rPr>
                <w:rFonts w:ascii="Arial" w:hAnsi="Arial" w:cs="Arial"/>
                <w:b/>
                <w:i/>
                <w:sz w:val="20"/>
                <w:szCs w:val="20"/>
                <w:lang w:val="en-GB"/>
              </w:rPr>
              <w:t>Supporting information for SEA</w:t>
            </w:r>
          </w:p>
        </w:tc>
      </w:tr>
      <w:tr w:rsidR="005D3832" w:rsidRPr="00C34F01" w14:paraId="26351EE6" w14:textId="77777777" w:rsidTr="00152372">
        <w:tc>
          <w:tcPr>
            <w:tcW w:w="2376" w:type="dxa"/>
            <w:shd w:val="clear" w:color="auto" w:fill="auto"/>
          </w:tcPr>
          <w:p w14:paraId="1942D9E9"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Additional values for protection (outside MSFD)</w:t>
            </w:r>
          </w:p>
        </w:tc>
        <w:tc>
          <w:tcPr>
            <w:tcW w:w="7405" w:type="dxa"/>
            <w:gridSpan w:val="2"/>
            <w:shd w:val="clear" w:color="auto" w:fill="auto"/>
          </w:tcPr>
          <w:p w14:paraId="34AE851B" w14:textId="57A0005C" w:rsidR="005D3832" w:rsidRPr="00D33701" w:rsidRDefault="005D3832" w:rsidP="00C41E6D">
            <w:pPr>
              <w:pStyle w:val="Lijstalinea"/>
              <w:spacing w:after="0" w:line="240" w:lineRule="auto"/>
              <w:ind w:left="0"/>
              <w:contextualSpacing w:val="0"/>
              <w:rPr>
                <w:rFonts w:ascii="Arial" w:hAnsi="Arial" w:cs="Arial"/>
                <w:i/>
                <w:sz w:val="20"/>
                <w:szCs w:val="20"/>
                <w:lang w:val="en-GB"/>
              </w:rPr>
            </w:pPr>
          </w:p>
        </w:tc>
      </w:tr>
      <w:tr w:rsidR="005D3832" w:rsidRPr="00D33701" w14:paraId="653BAC90" w14:textId="77777777" w:rsidTr="00152372">
        <w:tc>
          <w:tcPr>
            <w:tcW w:w="2376" w:type="dxa"/>
            <w:shd w:val="clear" w:color="auto" w:fill="auto"/>
          </w:tcPr>
          <w:p w14:paraId="5EEF18F9" w14:textId="77777777" w:rsidR="005D3832" w:rsidRPr="00D33701" w:rsidRDefault="005D3832" w:rsidP="00E41209">
            <w:pPr>
              <w:spacing w:before="60" w:after="60" w:line="240" w:lineRule="auto"/>
              <w:rPr>
                <w:rFonts w:ascii="Arial" w:hAnsi="Arial" w:cs="Arial"/>
                <w:b/>
                <w:sz w:val="20"/>
                <w:szCs w:val="20"/>
                <w:lang w:val="en-GB"/>
              </w:rPr>
            </w:pPr>
            <w:r w:rsidRPr="00D33701">
              <w:rPr>
                <w:rFonts w:ascii="Arial" w:hAnsi="Arial" w:cs="Arial"/>
                <w:b/>
                <w:sz w:val="20"/>
                <w:szCs w:val="20"/>
                <w:lang w:val="en-GB"/>
              </w:rPr>
              <w:t>Reasonable alternatives</w:t>
            </w:r>
          </w:p>
        </w:tc>
        <w:tc>
          <w:tcPr>
            <w:tcW w:w="7405" w:type="dxa"/>
            <w:gridSpan w:val="2"/>
            <w:shd w:val="clear" w:color="auto" w:fill="auto"/>
          </w:tcPr>
          <w:p w14:paraId="159DE3DF" w14:textId="5387DF2B" w:rsidR="005D3832" w:rsidRPr="00D33701" w:rsidRDefault="005D3832" w:rsidP="00E41209">
            <w:pPr>
              <w:spacing w:before="120"/>
              <w:rPr>
                <w:rFonts w:ascii="Arial" w:hAnsi="Arial" w:cs="Arial"/>
                <w:i/>
                <w:sz w:val="20"/>
                <w:szCs w:val="20"/>
                <w:lang w:val="en-GB"/>
              </w:rPr>
            </w:pPr>
          </w:p>
        </w:tc>
      </w:tr>
    </w:tbl>
    <w:p w14:paraId="3D580640" w14:textId="77777777" w:rsidR="005D3832" w:rsidRPr="00D33701" w:rsidRDefault="005D3832" w:rsidP="005D3832">
      <w:pPr>
        <w:rPr>
          <w:rFonts w:ascii="Arial" w:hAnsi="Arial" w:cs="Arial"/>
          <w:sz w:val="20"/>
          <w:szCs w:val="20"/>
          <w:lang w:val="en-GB"/>
        </w:rPr>
      </w:pPr>
    </w:p>
    <w:sectPr w:rsidR="005D3832" w:rsidRPr="00D33701" w:rsidSect="00152372">
      <w:pgSz w:w="11906" w:h="16838"/>
      <w:pgMar w:top="993"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6DF3" w14:textId="77777777" w:rsidR="00135622" w:rsidRDefault="00135622" w:rsidP="000F1AFE">
      <w:pPr>
        <w:spacing w:after="0" w:line="240" w:lineRule="auto"/>
      </w:pPr>
      <w:r>
        <w:separator/>
      </w:r>
    </w:p>
  </w:endnote>
  <w:endnote w:type="continuationSeparator" w:id="0">
    <w:p w14:paraId="48B888E7" w14:textId="77777777" w:rsidR="00135622" w:rsidRDefault="00135622"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0197" w14:textId="77777777" w:rsidR="00135622" w:rsidRDefault="00135622" w:rsidP="000F1AFE">
      <w:pPr>
        <w:spacing w:after="0" w:line="240" w:lineRule="auto"/>
      </w:pPr>
      <w:r>
        <w:separator/>
      </w:r>
    </w:p>
  </w:footnote>
  <w:footnote w:type="continuationSeparator" w:id="0">
    <w:p w14:paraId="5B624D87" w14:textId="77777777" w:rsidR="00135622" w:rsidRDefault="00135622" w:rsidP="000F1AFE">
      <w:pPr>
        <w:spacing w:after="0" w:line="240" w:lineRule="auto"/>
      </w:pPr>
      <w:r>
        <w:continuationSeparator/>
      </w:r>
    </w:p>
  </w:footnote>
  <w:footnote w:id="1">
    <w:p w14:paraId="4D4305F9" w14:textId="49AEEB5E" w:rsidR="00354237" w:rsidRPr="00354237" w:rsidRDefault="00354237">
      <w:pPr>
        <w:pStyle w:val="Voetnoottekst"/>
        <w:rPr>
          <w:lang w:val="en-US"/>
        </w:rPr>
      </w:pPr>
      <w:r>
        <w:rPr>
          <w:rStyle w:val="Voetnootmarkering"/>
        </w:rPr>
        <w:footnoteRef/>
      </w:r>
      <w:r w:rsidRPr="00354237">
        <w:rPr>
          <w:lang w:val="en-US"/>
        </w:rPr>
        <w:t xml:space="preserve"> </w:t>
      </w:r>
      <w:r>
        <w:rPr>
          <w:lang w:val="en-US"/>
        </w:rPr>
        <w:t xml:space="preserve">At national level: </w:t>
      </w:r>
      <w:r w:rsidRPr="00354237">
        <w:rPr>
          <w:lang w:val="en-US"/>
        </w:rPr>
        <w:t xml:space="preserve">state experts and experts from sector fishery (aquaculture producers) with aim of checking the existing European and national legislation related to ecolabelling, development of proposals for such aquaculture labels.  </w:t>
      </w:r>
      <w:r w:rsidR="00297897">
        <w:rPr>
          <w:lang w:val="en-US"/>
        </w:rPr>
        <w:t>At supranational level: b</w:t>
      </w:r>
      <w:r w:rsidRPr="00354237">
        <w:rPr>
          <w:lang w:val="en-US"/>
        </w:rPr>
        <w:t>ilateral meetings between Bulgaria and Romania for coordination of proposals and approval</w:t>
      </w:r>
      <w:r w:rsidR="00297897">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C70E17"/>
    <w:multiLevelType w:val="hybridMultilevel"/>
    <w:tmpl w:val="960A734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405DD"/>
    <w:multiLevelType w:val="hybridMultilevel"/>
    <w:tmpl w:val="45B488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55241"/>
    <w:multiLevelType w:val="hybridMultilevel"/>
    <w:tmpl w:val="A07E9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71646C"/>
    <w:multiLevelType w:val="hybridMultilevel"/>
    <w:tmpl w:val="B9A203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337F96"/>
    <w:multiLevelType w:val="hybridMultilevel"/>
    <w:tmpl w:val="11E61EE2"/>
    <w:lvl w:ilvl="0" w:tplc="35EE5398">
      <w:start w:val="1"/>
      <w:numFmt w:val="decimal"/>
      <w:lvlText w:val="%1."/>
      <w:lvlJc w:val="left"/>
      <w:pPr>
        <w:ind w:left="360" w:hanging="360"/>
      </w:pPr>
      <w:rPr>
        <w:rFonts w:asciiTheme="minorHAnsi" w:eastAsia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6"/>
  </w:num>
  <w:num w:numId="6">
    <w:abstractNumId w:val="13"/>
  </w:num>
  <w:num w:numId="7">
    <w:abstractNumId w:val="8"/>
  </w:num>
  <w:num w:numId="8">
    <w:abstractNumId w:val="5"/>
  </w:num>
  <w:num w:numId="9">
    <w:abstractNumId w:val="15"/>
  </w:num>
  <w:num w:numId="10">
    <w:abstractNumId w:val="11"/>
  </w:num>
  <w:num w:numId="11">
    <w:abstractNumId w:val="2"/>
  </w:num>
  <w:num w:numId="12">
    <w:abstractNumId w:val="10"/>
  </w:num>
  <w:num w:numId="13">
    <w:abstractNumId w:val="4"/>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75F0"/>
    <w:rsid w:val="000406CF"/>
    <w:rsid w:val="0004092E"/>
    <w:rsid w:val="0004295D"/>
    <w:rsid w:val="0004606B"/>
    <w:rsid w:val="00047DD6"/>
    <w:rsid w:val="00052448"/>
    <w:rsid w:val="00052584"/>
    <w:rsid w:val="00054FC6"/>
    <w:rsid w:val="00056915"/>
    <w:rsid w:val="00061B05"/>
    <w:rsid w:val="000628E0"/>
    <w:rsid w:val="00064CC2"/>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7FF"/>
    <w:rsid w:val="000B68A6"/>
    <w:rsid w:val="000B6FA6"/>
    <w:rsid w:val="000B78C2"/>
    <w:rsid w:val="000B7A39"/>
    <w:rsid w:val="000C0FED"/>
    <w:rsid w:val="000C323B"/>
    <w:rsid w:val="000C3C7F"/>
    <w:rsid w:val="000C66A9"/>
    <w:rsid w:val="000C6EF5"/>
    <w:rsid w:val="000D1BFB"/>
    <w:rsid w:val="000D2616"/>
    <w:rsid w:val="000D5ED5"/>
    <w:rsid w:val="000E2E08"/>
    <w:rsid w:val="000E31D3"/>
    <w:rsid w:val="000E4052"/>
    <w:rsid w:val="000E5A55"/>
    <w:rsid w:val="000F1125"/>
    <w:rsid w:val="000F1AFE"/>
    <w:rsid w:val="000F236D"/>
    <w:rsid w:val="000F29A0"/>
    <w:rsid w:val="000F679D"/>
    <w:rsid w:val="000F7684"/>
    <w:rsid w:val="00100B8E"/>
    <w:rsid w:val="001032EA"/>
    <w:rsid w:val="0010440B"/>
    <w:rsid w:val="0011275C"/>
    <w:rsid w:val="00113400"/>
    <w:rsid w:val="001152E4"/>
    <w:rsid w:val="001160B9"/>
    <w:rsid w:val="00127705"/>
    <w:rsid w:val="0013003B"/>
    <w:rsid w:val="001317F0"/>
    <w:rsid w:val="00132BB9"/>
    <w:rsid w:val="00133472"/>
    <w:rsid w:val="001349F1"/>
    <w:rsid w:val="00135622"/>
    <w:rsid w:val="001356B3"/>
    <w:rsid w:val="00140454"/>
    <w:rsid w:val="0014247B"/>
    <w:rsid w:val="001439DD"/>
    <w:rsid w:val="001444C8"/>
    <w:rsid w:val="00145EF7"/>
    <w:rsid w:val="00146742"/>
    <w:rsid w:val="0014759F"/>
    <w:rsid w:val="00151889"/>
    <w:rsid w:val="00152329"/>
    <w:rsid w:val="00152372"/>
    <w:rsid w:val="001554BE"/>
    <w:rsid w:val="001561EF"/>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0322"/>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2F96"/>
    <w:rsid w:val="001F6166"/>
    <w:rsid w:val="001F62EE"/>
    <w:rsid w:val="001F7A69"/>
    <w:rsid w:val="00206CC9"/>
    <w:rsid w:val="002101F3"/>
    <w:rsid w:val="00212289"/>
    <w:rsid w:val="00212A6E"/>
    <w:rsid w:val="00216F98"/>
    <w:rsid w:val="00220454"/>
    <w:rsid w:val="002223DF"/>
    <w:rsid w:val="002224C9"/>
    <w:rsid w:val="002241F8"/>
    <w:rsid w:val="002308EB"/>
    <w:rsid w:val="002337DF"/>
    <w:rsid w:val="00234F80"/>
    <w:rsid w:val="00235AA4"/>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721F7"/>
    <w:rsid w:val="002761F7"/>
    <w:rsid w:val="002826E3"/>
    <w:rsid w:val="002826FC"/>
    <w:rsid w:val="002867B5"/>
    <w:rsid w:val="0028680F"/>
    <w:rsid w:val="00287492"/>
    <w:rsid w:val="00290B2E"/>
    <w:rsid w:val="002930EF"/>
    <w:rsid w:val="002946A3"/>
    <w:rsid w:val="00297897"/>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190A"/>
    <w:rsid w:val="002D3AC5"/>
    <w:rsid w:val="002D490C"/>
    <w:rsid w:val="002D5519"/>
    <w:rsid w:val="002D5C96"/>
    <w:rsid w:val="002D79EF"/>
    <w:rsid w:val="002E3665"/>
    <w:rsid w:val="002E3844"/>
    <w:rsid w:val="002E4AC2"/>
    <w:rsid w:val="002E6F8B"/>
    <w:rsid w:val="002F0887"/>
    <w:rsid w:val="002F1D56"/>
    <w:rsid w:val="002F20AC"/>
    <w:rsid w:val="002F46D7"/>
    <w:rsid w:val="00301E1A"/>
    <w:rsid w:val="00303184"/>
    <w:rsid w:val="00303BD6"/>
    <w:rsid w:val="00305EC7"/>
    <w:rsid w:val="00306801"/>
    <w:rsid w:val="00306F22"/>
    <w:rsid w:val="00310C9A"/>
    <w:rsid w:val="00316A74"/>
    <w:rsid w:val="00316CB9"/>
    <w:rsid w:val="00320258"/>
    <w:rsid w:val="00320DE0"/>
    <w:rsid w:val="00322690"/>
    <w:rsid w:val="00323602"/>
    <w:rsid w:val="00333310"/>
    <w:rsid w:val="00335114"/>
    <w:rsid w:val="003436AA"/>
    <w:rsid w:val="00346BA5"/>
    <w:rsid w:val="00346F80"/>
    <w:rsid w:val="0035158A"/>
    <w:rsid w:val="00351D5E"/>
    <w:rsid w:val="00354237"/>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6546"/>
    <w:rsid w:val="003E6B39"/>
    <w:rsid w:val="003E6CC7"/>
    <w:rsid w:val="003F3E9C"/>
    <w:rsid w:val="003F4EC9"/>
    <w:rsid w:val="003F4F94"/>
    <w:rsid w:val="003F5518"/>
    <w:rsid w:val="003F5F36"/>
    <w:rsid w:val="003F62BD"/>
    <w:rsid w:val="003F773F"/>
    <w:rsid w:val="004009F8"/>
    <w:rsid w:val="00406887"/>
    <w:rsid w:val="00407F5B"/>
    <w:rsid w:val="0041476A"/>
    <w:rsid w:val="00416815"/>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8230A"/>
    <w:rsid w:val="00483F1F"/>
    <w:rsid w:val="0048708A"/>
    <w:rsid w:val="00491998"/>
    <w:rsid w:val="004919B0"/>
    <w:rsid w:val="00495037"/>
    <w:rsid w:val="004A0337"/>
    <w:rsid w:val="004B29D2"/>
    <w:rsid w:val="004B2B0F"/>
    <w:rsid w:val="004B3C91"/>
    <w:rsid w:val="004B41B9"/>
    <w:rsid w:val="004B6CB6"/>
    <w:rsid w:val="004C0C29"/>
    <w:rsid w:val="004C3616"/>
    <w:rsid w:val="004C536D"/>
    <w:rsid w:val="004D3AE8"/>
    <w:rsid w:val="004D621C"/>
    <w:rsid w:val="004E1200"/>
    <w:rsid w:val="004E1BB3"/>
    <w:rsid w:val="004E1DE7"/>
    <w:rsid w:val="004E3E2D"/>
    <w:rsid w:val="004E4169"/>
    <w:rsid w:val="004E6790"/>
    <w:rsid w:val="004E6D9D"/>
    <w:rsid w:val="004F1B7B"/>
    <w:rsid w:val="00502D3F"/>
    <w:rsid w:val="00504C98"/>
    <w:rsid w:val="00514BBD"/>
    <w:rsid w:val="005155ED"/>
    <w:rsid w:val="00523F54"/>
    <w:rsid w:val="00525BC2"/>
    <w:rsid w:val="00527711"/>
    <w:rsid w:val="00527CB9"/>
    <w:rsid w:val="0053713B"/>
    <w:rsid w:val="0054255E"/>
    <w:rsid w:val="00544060"/>
    <w:rsid w:val="00545E80"/>
    <w:rsid w:val="00551404"/>
    <w:rsid w:val="005558FC"/>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33A5"/>
    <w:rsid w:val="005C55AE"/>
    <w:rsid w:val="005C7FFD"/>
    <w:rsid w:val="005D048F"/>
    <w:rsid w:val="005D2263"/>
    <w:rsid w:val="005D3832"/>
    <w:rsid w:val="005E1071"/>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3E82"/>
    <w:rsid w:val="00624241"/>
    <w:rsid w:val="006252EA"/>
    <w:rsid w:val="00627658"/>
    <w:rsid w:val="00634549"/>
    <w:rsid w:val="006350A9"/>
    <w:rsid w:val="00635799"/>
    <w:rsid w:val="00635C2A"/>
    <w:rsid w:val="006371C1"/>
    <w:rsid w:val="0064003C"/>
    <w:rsid w:val="00641591"/>
    <w:rsid w:val="006420D9"/>
    <w:rsid w:val="0064381E"/>
    <w:rsid w:val="0065083B"/>
    <w:rsid w:val="0065119B"/>
    <w:rsid w:val="006528C0"/>
    <w:rsid w:val="00654DD8"/>
    <w:rsid w:val="00656745"/>
    <w:rsid w:val="0066262D"/>
    <w:rsid w:val="00663774"/>
    <w:rsid w:val="00663CE9"/>
    <w:rsid w:val="00663E1D"/>
    <w:rsid w:val="006670B8"/>
    <w:rsid w:val="00667CB6"/>
    <w:rsid w:val="00672E77"/>
    <w:rsid w:val="00673549"/>
    <w:rsid w:val="00677FB9"/>
    <w:rsid w:val="0068238C"/>
    <w:rsid w:val="006838F1"/>
    <w:rsid w:val="00686511"/>
    <w:rsid w:val="00687FA0"/>
    <w:rsid w:val="006911C3"/>
    <w:rsid w:val="006921CC"/>
    <w:rsid w:val="0069221D"/>
    <w:rsid w:val="006968C0"/>
    <w:rsid w:val="006975A0"/>
    <w:rsid w:val="006B4BCC"/>
    <w:rsid w:val="006B5124"/>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2E5"/>
    <w:rsid w:val="007018E6"/>
    <w:rsid w:val="00703BC3"/>
    <w:rsid w:val="00704364"/>
    <w:rsid w:val="00706E2D"/>
    <w:rsid w:val="00710118"/>
    <w:rsid w:val="007117EB"/>
    <w:rsid w:val="007146AF"/>
    <w:rsid w:val="0071772A"/>
    <w:rsid w:val="00720833"/>
    <w:rsid w:val="00721A91"/>
    <w:rsid w:val="00723749"/>
    <w:rsid w:val="00723AF5"/>
    <w:rsid w:val="00730BC3"/>
    <w:rsid w:val="00732D32"/>
    <w:rsid w:val="00734E9B"/>
    <w:rsid w:val="00736CFA"/>
    <w:rsid w:val="007422F2"/>
    <w:rsid w:val="007424AA"/>
    <w:rsid w:val="00744B19"/>
    <w:rsid w:val="00744CCA"/>
    <w:rsid w:val="007468C9"/>
    <w:rsid w:val="00746B1B"/>
    <w:rsid w:val="00746F00"/>
    <w:rsid w:val="0075242A"/>
    <w:rsid w:val="007525E9"/>
    <w:rsid w:val="0075501F"/>
    <w:rsid w:val="0076271D"/>
    <w:rsid w:val="00764862"/>
    <w:rsid w:val="00765FB5"/>
    <w:rsid w:val="00772020"/>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970C9"/>
    <w:rsid w:val="007A2F1F"/>
    <w:rsid w:val="007A5033"/>
    <w:rsid w:val="007A6084"/>
    <w:rsid w:val="007A74FC"/>
    <w:rsid w:val="007B132D"/>
    <w:rsid w:val="007B27F6"/>
    <w:rsid w:val="007B29BD"/>
    <w:rsid w:val="007B58DD"/>
    <w:rsid w:val="007B7E19"/>
    <w:rsid w:val="007C0C69"/>
    <w:rsid w:val="007C168E"/>
    <w:rsid w:val="007C2459"/>
    <w:rsid w:val="007C263F"/>
    <w:rsid w:val="007C66B3"/>
    <w:rsid w:val="007C6937"/>
    <w:rsid w:val="007D1CC0"/>
    <w:rsid w:val="007D3294"/>
    <w:rsid w:val="007D35E2"/>
    <w:rsid w:val="007D7E02"/>
    <w:rsid w:val="007E3175"/>
    <w:rsid w:val="007E3F3D"/>
    <w:rsid w:val="007E65C1"/>
    <w:rsid w:val="007F0D4C"/>
    <w:rsid w:val="007F1F1C"/>
    <w:rsid w:val="007F4D8C"/>
    <w:rsid w:val="007F6F58"/>
    <w:rsid w:val="00800197"/>
    <w:rsid w:val="00800E45"/>
    <w:rsid w:val="00801676"/>
    <w:rsid w:val="008048A2"/>
    <w:rsid w:val="00805903"/>
    <w:rsid w:val="00812B1F"/>
    <w:rsid w:val="00812F51"/>
    <w:rsid w:val="0081440B"/>
    <w:rsid w:val="008172A1"/>
    <w:rsid w:val="00821562"/>
    <w:rsid w:val="00822FA9"/>
    <w:rsid w:val="0082414F"/>
    <w:rsid w:val="00825EA1"/>
    <w:rsid w:val="0083020C"/>
    <w:rsid w:val="00832FC4"/>
    <w:rsid w:val="00836529"/>
    <w:rsid w:val="00846093"/>
    <w:rsid w:val="00860AC5"/>
    <w:rsid w:val="00860B26"/>
    <w:rsid w:val="00864E91"/>
    <w:rsid w:val="0087437C"/>
    <w:rsid w:val="00874663"/>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3F21"/>
    <w:rsid w:val="008B5C33"/>
    <w:rsid w:val="008B6EA3"/>
    <w:rsid w:val="008C0B00"/>
    <w:rsid w:val="008C1A47"/>
    <w:rsid w:val="008C4674"/>
    <w:rsid w:val="008C63FB"/>
    <w:rsid w:val="008C7A06"/>
    <w:rsid w:val="008C7F6E"/>
    <w:rsid w:val="008D102E"/>
    <w:rsid w:val="008D1929"/>
    <w:rsid w:val="008D1F61"/>
    <w:rsid w:val="008D422D"/>
    <w:rsid w:val="008D49BA"/>
    <w:rsid w:val="008D6039"/>
    <w:rsid w:val="008E1496"/>
    <w:rsid w:val="008E2522"/>
    <w:rsid w:val="008E2798"/>
    <w:rsid w:val="008E460E"/>
    <w:rsid w:val="008E69C8"/>
    <w:rsid w:val="008F05EA"/>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4EDF"/>
    <w:rsid w:val="00965C24"/>
    <w:rsid w:val="009667CB"/>
    <w:rsid w:val="00966897"/>
    <w:rsid w:val="009700B6"/>
    <w:rsid w:val="00971847"/>
    <w:rsid w:val="00972017"/>
    <w:rsid w:val="009749D7"/>
    <w:rsid w:val="00974B46"/>
    <w:rsid w:val="00977106"/>
    <w:rsid w:val="0097722A"/>
    <w:rsid w:val="009807EE"/>
    <w:rsid w:val="00983516"/>
    <w:rsid w:val="00983B06"/>
    <w:rsid w:val="0098557B"/>
    <w:rsid w:val="00985A1C"/>
    <w:rsid w:val="009900C4"/>
    <w:rsid w:val="00990ADE"/>
    <w:rsid w:val="0099615E"/>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2707"/>
    <w:rsid w:val="009E3BD6"/>
    <w:rsid w:val="009F2430"/>
    <w:rsid w:val="009F3DAA"/>
    <w:rsid w:val="009F64BD"/>
    <w:rsid w:val="00A01053"/>
    <w:rsid w:val="00A01A8D"/>
    <w:rsid w:val="00A01EEB"/>
    <w:rsid w:val="00A04B0D"/>
    <w:rsid w:val="00A126CF"/>
    <w:rsid w:val="00A1401B"/>
    <w:rsid w:val="00A150D7"/>
    <w:rsid w:val="00A162F4"/>
    <w:rsid w:val="00A16340"/>
    <w:rsid w:val="00A17509"/>
    <w:rsid w:val="00A21E3C"/>
    <w:rsid w:val="00A227C0"/>
    <w:rsid w:val="00A251E9"/>
    <w:rsid w:val="00A266D2"/>
    <w:rsid w:val="00A312B9"/>
    <w:rsid w:val="00A31F3A"/>
    <w:rsid w:val="00A33905"/>
    <w:rsid w:val="00A42BB7"/>
    <w:rsid w:val="00A431EC"/>
    <w:rsid w:val="00A47C88"/>
    <w:rsid w:val="00A52574"/>
    <w:rsid w:val="00A54A0E"/>
    <w:rsid w:val="00A55560"/>
    <w:rsid w:val="00A55A1E"/>
    <w:rsid w:val="00A61FDD"/>
    <w:rsid w:val="00A6239B"/>
    <w:rsid w:val="00A62737"/>
    <w:rsid w:val="00A654B8"/>
    <w:rsid w:val="00A656F0"/>
    <w:rsid w:val="00A72305"/>
    <w:rsid w:val="00A72CE4"/>
    <w:rsid w:val="00A77FF8"/>
    <w:rsid w:val="00A850D1"/>
    <w:rsid w:val="00A90D72"/>
    <w:rsid w:val="00A91AB4"/>
    <w:rsid w:val="00A93926"/>
    <w:rsid w:val="00A97215"/>
    <w:rsid w:val="00AA46DA"/>
    <w:rsid w:val="00AA6C4F"/>
    <w:rsid w:val="00AB089B"/>
    <w:rsid w:val="00AB1372"/>
    <w:rsid w:val="00AB152C"/>
    <w:rsid w:val="00AB6320"/>
    <w:rsid w:val="00AB77EC"/>
    <w:rsid w:val="00AC24FC"/>
    <w:rsid w:val="00AC31C7"/>
    <w:rsid w:val="00AC6A79"/>
    <w:rsid w:val="00AD1EBA"/>
    <w:rsid w:val="00AE0763"/>
    <w:rsid w:val="00AE6ACD"/>
    <w:rsid w:val="00AE6EF1"/>
    <w:rsid w:val="00AF017F"/>
    <w:rsid w:val="00AF1E4F"/>
    <w:rsid w:val="00AF2277"/>
    <w:rsid w:val="00AF411B"/>
    <w:rsid w:val="00AF66BF"/>
    <w:rsid w:val="00B020CE"/>
    <w:rsid w:val="00B06551"/>
    <w:rsid w:val="00B07856"/>
    <w:rsid w:val="00B134F3"/>
    <w:rsid w:val="00B15430"/>
    <w:rsid w:val="00B1731E"/>
    <w:rsid w:val="00B22558"/>
    <w:rsid w:val="00B24394"/>
    <w:rsid w:val="00B277F5"/>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04A"/>
    <w:rsid w:val="00B645BC"/>
    <w:rsid w:val="00B71D22"/>
    <w:rsid w:val="00B72F4B"/>
    <w:rsid w:val="00B74F95"/>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7C09"/>
    <w:rsid w:val="00BF4518"/>
    <w:rsid w:val="00BF6BD1"/>
    <w:rsid w:val="00C039EB"/>
    <w:rsid w:val="00C04A93"/>
    <w:rsid w:val="00C05665"/>
    <w:rsid w:val="00C06C46"/>
    <w:rsid w:val="00C1363C"/>
    <w:rsid w:val="00C15AC2"/>
    <w:rsid w:val="00C22415"/>
    <w:rsid w:val="00C2499C"/>
    <w:rsid w:val="00C32321"/>
    <w:rsid w:val="00C34F01"/>
    <w:rsid w:val="00C35569"/>
    <w:rsid w:val="00C363D9"/>
    <w:rsid w:val="00C366A7"/>
    <w:rsid w:val="00C37589"/>
    <w:rsid w:val="00C404EF"/>
    <w:rsid w:val="00C41E6D"/>
    <w:rsid w:val="00C41E75"/>
    <w:rsid w:val="00C43040"/>
    <w:rsid w:val="00C45EBE"/>
    <w:rsid w:val="00C461FA"/>
    <w:rsid w:val="00C4727E"/>
    <w:rsid w:val="00C504CC"/>
    <w:rsid w:val="00C508FF"/>
    <w:rsid w:val="00C53AEA"/>
    <w:rsid w:val="00C552D2"/>
    <w:rsid w:val="00C55D05"/>
    <w:rsid w:val="00C60274"/>
    <w:rsid w:val="00C61051"/>
    <w:rsid w:val="00C6298F"/>
    <w:rsid w:val="00C64E5D"/>
    <w:rsid w:val="00C65FCC"/>
    <w:rsid w:val="00C66617"/>
    <w:rsid w:val="00C71FD5"/>
    <w:rsid w:val="00C72556"/>
    <w:rsid w:val="00C72DE7"/>
    <w:rsid w:val="00C72F66"/>
    <w:rsid w:val="00C74344"/>
    <w:rsid w:val="00C746FB"/>
    <w:rsid w:val="00C811BA"/>
    <w:rsid w:val="00C84180"/>
    <w:rsid w:val="00C956A2"/>
    <w:rsid w:val="00C96548"/>
    <w:rsid w:val="00CA4AF4"/>
    <w:rsid w:val="00CB1096"/>
    <w:rsid w:val="00CB62B8"/>
    <w:rsid w:val="00CC037A"/>
    <w:rsid w:val="00CC25FC"/>
    <w:rsid w:val="00CC444E"/>
    <w:rsid w:val="00CC4D45"/>
    <w:rsid w:val="00CD37A7"/>
    <w:rsid w:val="00CD3E6D"/>
    <w:rsid w:val="00CD4DBB"/>
    <w:rsid w:val="00CE353C"/>
    <w:rsid w:val="00CE4C5D"/>
    <w:rsid w:val="00CE5DE7"/>
    <w:rsid w:val="00CF05BE"/>
    <w:rsid w:val="00CF2B4B"/>
    <w:rsid w:val="00CF31AF"/>
    <w:rsid w:val="00CF4718"/>
    <w:rsid w:val="00CF5816"/>
    <w:rsid w:val="00CF5E20"/>
    <w:rsid w:val="00CF6655"/>
    <w:rsid w:val="00CF6E8E"/>
    <w:rsid w:val="00D006A1"/>
    <w:rsid w:val="00D00BE3"/>
    <w:rsid w:val="00D029E6"/>
    <w:rsid w:val="00D03AFD"/>
    <w:rsid w:val="00D04A6A"/>
    <w:rsid w:val="00D05D47"/>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3701"/>
    <w:rsid w:val="00D34741"/>
    <w:rsid w:val="00D34C00"/>
    <w:rsid w:val="00D35C19"/>
    <w:rsid w:val="00D364E2"/>
    <w:rsid w:val="00D37C8F"/>
    <w:rsid w:val="00D37ED4"/>
    <w:rsid w:val="00D42B1F"/>
    <w:rsid w:val="00D4336B"/>
    <w:rsid w:val="00D45CB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29D"/>
    <w:rsid w:val="00D853DA"/>
    <w:rsid w:val="00D90CB4"/>
    <w:rsid w:val="00D926BF"/>
    <w:rsid w:val="00D96810"/>
    <w:rsid w:val="00D96D77"/>
    <w:rsid w:val="00D9720E"/>
    <w:rsid w:val="00D97554"/>
    <w:rsid w:val="00D978C9"/>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7CF7"/>
    <w:rsid w:val="00DF3398"/>
    <w:rsid w:val="00DF3AFE"/>
    <w:rsid w:val="00DF6A9C"/>
    <w:rsid w:val="00E01480"/>
    <w:rsid w:val="00E01E76"/>
    <w:rsid w:val="00E04D16"/>
    <w:rsid w:val="00E05FA8"/>
    <w:rsid w:val="00E12F1C"/>
    <w:rsid w:val="00E131C4"/>
    <w:rsid w:val="00E14374"/>
    <w:rsid w:val="00E14844"/>
    <w:rsid w:val="00E14B3B"/>
    <w:rsid w:val="00E20DEF"/>
    <w:rsid w:val="00E307F0"/>
    <w:rsid w:val="00E30D44"/>
    <w:rsid w:val="00E317AC"/>
    <w:rsid w:val="00E32201"/>
    <w:rsid w:val="00E33FBA"/>
    <w:rsid w:val="00E350CF"/>
    <w:rsid w:val="00E352F1"/>
    <w:rsid w:val="00E47E60"/>
    <w:rsid w:val="00E50173"/>
    <w:rsid w:val="00E51D70"/>
    <w:rsid w:val="00E53872"/>
    <w:rsid w:val="00E55085"/>
    <w:rsid w:val="00E55299"/>
    <w:rsid w:val="00E64545"/>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6FB2"/>
    <w:rsid w:val="00EF72BD"/>
    <w:rsid w:val="00F035A8"/>
    <w:rsid w:val="00F0361B"/>
    <w:rsid w:val="00F0445A"/>
    <w:rsid w:val="00F11B4F"/>
    <w:rsid w:val="00F12420"/>
    <w:rsid w:val="00F13BC5"/>
    <w:rsid w:val="00F166AC"/>
    <w:rsid w:val="00F170F9"/>
    <w:rsid w:val="00F208ED"/>
    <w:rsid w:val="00F22A00"/>
    <w:rsid w:val="00F246DD"/>
    <w:rsid w:val="00F25A3B"/>
    <w:rsid w:val="00F2727B"/>
    <w:rsid w:val="00F36FC2"/>
    <w:rsid w:val="00F4467D"/>
    <w:rsid w:val="00F4549D"/>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2055"/>
    <w:rsid w:val="00FC2D14"/>
    <w:rsid w:val="00FC40EF"/>
    <w:rsid w:val="00FC4746"/>
    <w:rsid w:val="00FC4EFF"/>
    <w:rsid w:val="00FC55E9"/>
    <w:rsid w:val="00FC652F"/>
    <w:rsid w:val="00FC6954"/>
    <w:rsid w:val="00FC7AAC"/>
    <w:rsid w:val="00FD0D8E"/>
    <w:rsid w:val="00FD1BC4"/>
    <w:rsid w:val="00FD44E8"/>
    <w:rsid w:val="00FD4683"/>
    <w:rsid w:val="00FD5A3A"/>
    <w:rsid w:val="00FD5D77"/>
    <w:rsid w:val="00FD7BB8"/>
    <w:rsid w:val="00FE1A9D"/>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A842"/>
  <w15:docId w15:val="{C2858C48-9B5B-4AA2-AED4-95556BDA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Kop3">
    <w:name w:val="heading 3"/>
    <w:basedOn w:val="Standaard"/>
    <w:next w:val="Standaard"/>
    <w:link w:val="Kop3Char"/>
    <w:uiPriority w:val="9"/>
    <w:semiHidden/>
    <w:unhideWhenUsed/>
    <w:qFormat/>
    <w:rsid w:val="003542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rsid w:val="00673549"/>
    <w:pPr>
      <w:spacing w:after="120"/>
    </w:pPr>
    <w:rPr>
      <w:rFonts w:ascii="Calibri" w:eastAsia="Times New Roman" w:hAnsi="Calibri" w:cs="Arial Unicode MS"/>
      <w:lang w:val="da-DK"/>
    </w:rPr>
  </w:style>
  <w:style w:type="character" w:customStyle="1" w:styleId="PlattetekstChar">
    <w:name w:val="Platte tekst Char"/>
    <w:basedOn w:val="Standaardalinea-lettertype"/>
    <w:link w:val="Plattetekst"/>
    <w:rsid w:val="00673549"/>
    <w:rPr>
      <w:rFonts w:ascii="Calibri" w:eastAsia="Times New Roman" w:hAnsi="Calibri" w:cs="Arial Unicode MS"/>
      <w:lang w:val="da-DK"/>
    </w:rPr>
  </w:style>
  <w:style w:type="character" w:styleId="Nadruk">
    <w:name w:val="Emphasis"/>
    <w:uiPriority w:val="20"/>
    <w:qFormat/>
    <w:rsid w:val="00673549"/>
    <w:rPr>
      <w:i/>
      <w:iCs/>
    </w:rPr>
  </w:style>
  <w:style w:type="character" w:styleId="Zwaar">
    <w:name w:val="Strong"/>
    <w:uiPriority w:val="22"/>
    <w:qFormat/>
    <w:rsid w:val="00673549"/>
    <w:rPr>
      <w:b/>
      <w:bCs/>
    </w:rPr>
  </w:style>
  <w:style w:type="character" w:customStyle="1" w:styleId="hps">
    <w:name w:val="hps"/>
    <w:basedOn w:val="Standaardalinea-lettertype"/>
    <w:rsid w:val="00673549"/>
  </w:style>
  <w:style w:type="character" w:customStyle="1" w:styleId="hpsatn">
    <w:name w:val="hps atn"/>
    <w:basedOn w:val="Standaardalinea-lettertype"/>
    <w:rsid w:val="00673549"/>
  </w:style>
  <w:style w:type="character" w:customStyle="1" w:styleId="hpsalt-edited">
    <w:name w:val="hps alt-edited"/>
    <w:basedOn w:val="Standaardalinea-lettertype"/>
    <w:rsid w:val="00673549"/>
  </w:style>
  <w:style w:type="character" w:customStyle="1" w:styleId="shorttext">
    <w:name w:val="short_text"/>
    <w:basedOn w:val="Standaardalinea-lettertype"/>
    <w:rsid w:val="00673549"/>
  </w:style>
  <w:style w:type="character" w:customStyle="1" w:styleId="Kop3Char">
    <w:name w:val="Kop 3 Char"/>
    <w:basedOn w:val="Standaardalinea-lettertype"/>
    <w:link w:val="Kop3"/>
    <w:uiPriority w:val="9"/>
    <w:semiHidden/>
    <w:rsid w:val="00354237"/>
    <w:rPr>
      <w:rFonts w:asciiTheme="majorHAnsi" w:eastAsiaTheme="majorEastAsia" w:hAnsiTheme="majorHAnsi" w:cstheme="majorBidi"/>
      <w:color w:val="243F60" w:themeColor="accent1" w:themeShade="7F"/>
      <w:sz w:val="24"/>
      <w:szCs w:val="24"/>
    </w:rPr>
  </w:style>
  <w:style w:type="paragraph" w:customStyle="1" w:styleId="ARCADISStandaard">
    <w:name w:val="ARCADIS Standaard"/>
    <w:basedOn w:val="Standaard"/>
    <w:qFormat/>
    <w:rsid w:val="00354237"/>
    <w:pPr>
      <w:spacing w:before="60" w:after="60" w:line="280" w:lineRule="atLeast"/>
      <w:ind w:left="1701"/>
    </w:pPr>
    <w:rPr>
      <w:rFonts w:ascii="Arial" w:hAnsi="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0182">
      <w:bodyDiv w:val="1"/>
      <w:marLeft w:val="0"/>
      <w:marRight w:val="0"/>
      <w:marTop w:val="0"/>
      <w:marBottom w:val="0"/>
      <w:divBdr>
        <w:top w:val="none" w:sz="0" w:space="0" w:color="auto"/>
        <w:left w:val="none" w:sz="0" w:space="0" w:color="auto"/>
        <w:bottom w:val="none" w:sz="0" w:space="0" w:color="auto"/>
        <w:right w:val="none" w:sz="0" w:space="0" w:color="auto"/>
      </w:divBdr>
    </w:div>
    <w:div w:id="18692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2F1C-FCFD-493D-AB00-35CFE6F1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12199</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cp:lastPrinted>2015-11-26T12:44:00Z</cp:lastPrinted>
  <dcterms:created xsi:type="dcterms:W3CDTF">2015-12-16T17:43:00Z</dcterms:created>
  <dcterms:modified xsi:type="dcterms:W3CDTF">2015-12-16T20:03:00Z</dcterms:modified>
</cp:coreProperties>
</file>