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CC26" w14:textId="77777777" w:rsidR="00F7653F" w:rsidRPr="004B4914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4B4914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4B4914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14:paraId="500D9D74" w14:textId="77777777" w:rsidR="00687FA0" w:rsidRPr="004B4914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4B4914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37"/>
        <w:gridCol w:w="3243"/>
      </w:tblGrid>
      <w:tr w:rsidR="004B4914" w:rsidRPr="004B4914" w14:paraId="01DFB1D7" w14:textId="77777777" w:rsidTr="004B4914">
        <w:tc>
          <w:tcPr>
            <w:tcW w:w="1843" w:type="dxa"/>
            <w:shd w:val="clear" w:color="auto" w:fill="1F497D" w:themeFill="text2"/>
          </w:tcPr>
          <w:p w14:paraId="355E4834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14:paraId="7D04BD4B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37" w:type="dxa"/>
            <w:shd w:val="clear" w:color="auto" w:fill="1F497D" w:themeFill="text2"/>
          </w:tcPr>
          <w:p w14:paraId="39DECE3F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14:paraId="339B2539" w14:textId="77777777" w:rsidR="005D3832" w:rsidRPr="004B4914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14:paraId="61EFC97B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14:paraId="4711625A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3243" w:type="dxa"/>
            <w:shd w:val="clear" w:color="auto" w:fill="1F497D" w:themeFill="text2"/>
          </w:tcPr>
          <w:p w14:paraId="00F6FB67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14:paraId="1E1756B1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14:paraId="00658797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520F6F2E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14:paraId="35290633" w14:textId="07C3C05D" w:rsidR="005D3832" w:rsidRPr="004B4914" w:rsidRDefault="00765096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16</w:t>
            </w:r>
          </w:p>
        </w:tc>
      </w:tr>
      <w:tr w:rsidR="005D3832" w:rsidRPr="00EC0BB9" w14:paraId="0871FF52" w14:textId="77777777" w:rsidTr="001A6422">
        <w:tc>
          <w:tcPr>
            <w:tcW w:w="1843" w:type="dxa"/>
            <w:shd w:val="clear" w:color="auto" w:fill="auto"/>
          </w:tcPr>
          <w:p w14:paraId="7DB63A60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52EA7AB3" w14:textId="7EBC621E" w:rsidR="00805052" w:rsidRPr="004B4914" w:rsidRDefault="00474682" w:rsidP="004F78D9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Setting up of a common action plan for early detection and mitigation and impact assessment of non-indigenous species.</w:t>
            </w:r>
          </w:p>
        </w:tc>
      </w:tr>
      <w:tr w:rsidR="00AF66BF" w:rsidRPr="00EC0BB9" w14:paraId="7C22C0D3" w14:textId="77777777" w:rsidTr="001A6422">
        <w:tc>
          <w:tcPr>
            <w:tcW w:w="1843" w:type="dxa"/>
            <w:shd w:val="clear" w:color="auto" w:fill="auto"/>
          </w:tcPr>
          <w:p w14:paraId="185C9B8C" w14:textId="77777777" w:rsidR="00AF66BF" w:rsidRPr="004B4914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E31F356" w14:textId="78DA2444" w:rsidR="00246242" w:rsidRPr="004B4914" w:rsidRDefault="00246242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This measure is 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developed as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common coordinated measure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40AE3" w:rsidRPr="004B4914">
              <w:rPr>
                <w:rFonts w:ascii="Arial" w:hAnsi="Arial" w:cs="Arial"/>
                <w:sz w:val="20"/>
                <w:szCs w:val="20"/>
                <w:lang w:val="en-US"/>
              </w:rPr>
              <w:t>between Bulgaria and</w:t>
            </w:r>
            <w:r w:rsidR="00C40AE3"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Romania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scope of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EC project (DG Environment) “Technical and administrative support for the joint implementation of the Marine Strategy Framework Directive (MSFD) in Bulgaria and Romania – Phase 2”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C40AE3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The aim of the measure is early detection of new</w:t>
            </w:r>
            <w:r w:rsidR="00B15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40AE3" w:rsidRPr="004B4914">
              <w:rPr>
                <w:rFonts w:ascii="Arial" w:hAnsi="Arial" w:cs="Arial"/>
                <w:sz w:val="20"/>
                <w:szCs w:val="20"/>
                <w:lang w:val="en-US"/>
              </w:rPr>
              <w:t>non-native species and reduce their impact o</w:t>
            </w:r>
            <w:r w:rsidR="00B15DD9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C40AE3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the native components of the ecosystem.</w:t>
            </w:r>
          </w:p>
          <w:p w14:paraId="4D50F64B" w14:textId="3DDC285E" w:rsidR="00246242" w:rsidRPr="004B4914" w:rsidRDefault="00C40AE3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The t</w:t>
            </w:r>
            <w:r w:rsidR="00246242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erritorial scope of the measure: coastal, territorial waters and EEZ of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246242" w:rsidRPr="004B4914">
              <w:rPr>
                <w:rFonts w:ascii="Arial" w:hAnsi="Arial" w:cs="Arial"/>
                <w:sz w:val="20"/>
                <w:szCs w:val="20"/>
                <w:lang w:val="en-US"/>
              </w:rPr>
              <w:t>Republic of Bulgaria and Romania.</w:t>
            </w:r>
          </w:p>
          <w:p w14:paraId="305332A7" w14:textId="77777777" w:rsidR="00C40AE3" w:rsidRPr="004B4914" w:rsidRDefault="00C40AE3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E84B0E" w14:textId="53045D66" w:rsidR="00CA41ED" w:rsidRPr="004B4914" w:rsidRDefault="004F771D" w:rsidP="00CA4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following legislative international and European documents as </w:t>
            </w:r>
            <w:r w:rsidR="0047468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International Convention for the Control and Management of Ship Ballast Water and Sediments and Regulation 1143/2014 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European Parliament and of the Council on the prevention and management of the introduction and spread of invasive alien species (already entry in force from 1 January 2015) </w:t>
            </w:r>
            <w:r w:rsidR="0047468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require inspection of ballast water of ships visiting Bulgarian ports.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bg-BG"/>
              </w:rPr>
              <w:t>The measure includes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inspection of documents concerning the management of ship’s ballast water and sediments and sampling for suspected violations. </w:t>
            </w:r>
          </w:p>
          <w:p w14:paraId="40AA9D4B" w14:textId="77777777" w:rsidR="00997F57" w:rsidRPr="004B4914" w:rsidRDefault="00997F57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0800F8" w14:textId="63AE4846" w:rsidR="00997F57" w:rsidRPr="004B4914" w:rsidRDefault="00997F57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The measure will follow internationally agreed "three-stage hierarchical approach" in CBD and Regulation №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1143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/ 2014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>: prevention,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early warning and rapid response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/ removal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as well as 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long-term management</w:t>
            </w:r>
          </w:p>
          <w:p w14:paraId="33C80A86" w14:textId="3017A422" w:rsidR="006F312C" w:rsidRPr="004B4914" w:rsidRDefault="00474682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measure </w:t>
            </w:r>
            <w:r w:rsidR="003628F4">
              <w:rPr>
                <w:rFonts w:ascii="Arial" w:hAnsi="Arial" w:cs="Arial"/>
                <w:sz w:val="20"/>
                <w:szCs w:val="20"/>
                <w:lang w:val="en-GB"/>
              </w:rPr>
              <w:t xml:space="preserve">requires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following </w:t>
            </w: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actions</w:t>
            </w:r>
            <w:r w:rsidR="00997F57"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F1F5F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997F57" w:rsidRPr="004B4914">
              <w:rPr>
                <w:rFonts w:ascii="Arial" w:hAnsi="Arial" w:cs="Arial"/>
                <w:sz w:val="20"/>
                <w:szCs w:val="20"/>
                <w:lang w:val="en-US"/>
              </w:rPr>
              <w:t>at national leve</w:t>
            </w:r>
            <w:r w:rsidR="004F1F5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997F57" w:rsidRPr="004B4914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for its effective implementation and enforcement: </w:t>
            </w:r>
          </w:p>
          <w:p w14:paraId="1C488728" w14:textId="2379C278" w:rsidR="006F312C" w:rsidRPr="004B4914" w:rsidRDefault="00474682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1. Provision of vessel equipment for ballast water treatment to destroy pathogens, cysts of non-indigenous invasive species. </w:t>
            </w:r>
          </w:p>
          <w:p w14:paraId="2575C028" w14:textId="2E0BED42" w:rsidR="006F312C" w:rsidRPr="004B4914" w:rsidRDefault="00474682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2. Increas</w:t>
            </w:r>
            <w:r w:rsidR="003628F4">
              <w:rPr>
                <w:rFonts w:ascii="Arial" w:hAnsi="Arial" w:cs="Arial"/>
                <w:sz w:val="20"/>
                <w:szCs w:val="20"/>
                <w:lang w:val="en-GB"/>
              </w:rPr>
              <w:t xml:space="preserve">ing control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capacity  (increasing the number of inspectors); </w:t>
            </w:r>
          </w:p>
          <w:p w14:paraId="315981F8" w14:textId="1A99C3B6" w:rsidR="006F312C" w:rsidRPr="004B4914" w:rsidRDefault="00474682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3. Increasing technical capacity of the supervisory authorities (available sufficient number of roadworthy condition vessels for carrying out regular and sudden inspections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bg-BG"/>
              </w:rPr>
              <w:t>proper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sampling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US"/>
              </w:rPr>
              <w:t>equipment, incl. for indicative sampling and analysis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51DBCCDA" w14:textId="1C40D1FB" w:rsidR="006F312C" w:rsidRPr="004B4914" w:rsidRDefault="00474682" w:rsidP="008455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4.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>Equip</w:t>
            </w:r>
            <w:r w:rsidR="004A4B05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and accreditation of </w:t>
            </w:r>
            <w:r w:rsidR="004A4B05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specialised 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>laboratory(ies) for ballast water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784EA527" w14:textId="439411D4" w:rsidR="0084551E" w:rsidRPr="003628F4" w:rsidRDefault="00474682" w:rsidP="003628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>. Increasing administrative</w:t>
            </w:r>
            <w:r w:rsidR="0001585A">
              <w:rPr>
                <w:rFonts w:ascii="Arial" w:hAnsi="Arial" w:cs="Arial"/>
                <w:sz w:val="20"/>
                <w:szCs w:val="20"/>
                <w:lang w:val="en-GB"/>
              </w:rPr>
              <w:t>/technical</w:t>
            </w:r>
            <w:r w:rsidR="00CA41E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capacity of persons performing sampling and analysis of ship’s ballast water (increasing the number of inspectors an of the laboratory staff).</w:t>
            </w:r>
          </w:p>
        </w:tc>
      </w:tr>
      <w:tr w:rsidR="009D45F8" w:rsidRPr="004B4914" w14:paraId="60FA6B30" w14:textId="77777777" w:rsidTr="001A6422">
        <w:trPr>
          <w:trHeight w:val="375"/>
        </w:trPr>
        <w:tc>
          <w:tcPr>
            <w:tcW w:w="1843" w:type="dxa"/>
            <w:shd w:val="clear" w:color="auto" w:fill="auto"/>
          </w:tcPr>
          <w:p w14:paraId="5C4C6200" w14:textId="36017729" w:rsidR="009D45F8" w:rsidRPr="004B4914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06B0AB7E" w14:textId="77777777" w:rsidR="005142C5" w:rsidRPr="004B4914" w:rsidRDefault="005142C5" w:rsidP="001A642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0B68BAB" w14:textId="77777777" w:rsidR="009D45F8" w:rsidRPr="004B4914" w:rsidRDefault="009D45F8" w:rsidP="001A642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2a</w:t>
            </w:r>
          </w:p>
          <w:p w14:paraId="1F678232" w14:textId="3ECCCDB5" w:rsidR="001A6422" w:rsidRPr="004B4914" w:rsidRDefault="001A6422" w:rsidP="001A642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5D3832" w:rsidRPr="00EC0BB9" w14:paraId="1751AD54" w14:textId="77777777" w:rsidTr="00C40AE3">
        <w:trPr>
          <w:trHeight w:val="1692"/>
        </w:trPr>
        <w:tc>
          <w:tcPr>
            <w:tcW w:w="1843" w:type="dxa"/>
            <w:shd w:val="clear" w:color="auto" w:fill="auto"/>
          </w:tcPr>
          <w:p w14:paraId="01EF0508" w14:textId="77777777" w:rsidR="005D3832" w:rsidRPr="004B4914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4DFD2AD9" w14:textId="77777777" w:rsidR="00C40AE3" w:rsidRPr="004B4914" w:rsidRDefault="00C40AE3" w:rsidP="00C40A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KTM 14 - Research, improvement of knowledge base reducing uncertainty</w:t>
            </w:r>
          </w:p>
          <w:p w14:paraId="0461A4A5" w14:textId="77777777" w:rsidR="00C40AE3" w:rsidRPr="004B4914" w:rsidRDefault="00C40AE3" w:rsidP="00C40A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KTM 18 - Measures to prevent or control the adverse impacts of invasive alien species and introduced diseases</w:t>
            </w:r>
          </w:p>
          <w:p w14:paraId="5193347E" w14:textId="40804E5D" w:rsidR="00110D65" w:rsidRPr="004B4914" w:rsidRDefault="00C40AE3" w:rsidP="00C40A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KTM 34 - Measures to reduce the introduction and spread of non-indigenous species in the marine environment and for their control</w:t>
            </w:r>
          </w:p>
        </w:tc>
      </w:tr>
      <w:tr w:rsidR="005D3832" w:rsidRPr="00EC0BB9" w14:paraId="556C56C6" w14:textId="77777777" w:rsidTr="001A6422">
        <w:trPr>
          <w:trHeight w:val="489"/>
        </w:trPr>
        <w:tc>
          <w:tcPr>
            <w:tcW w:w="1843" w:type="dxa"/>
            <w:shd w:val="clear" w:color="auto" w:fill="auto"/>
          </w:tcPr>
          <w:p w14:paraId="3373240B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79FFCF0" w14:textId="77777777" w:rsidR="006B3046" w:rsidRDefault="006B3046" w:rsidP="00B50D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</w:t>
            </w:r>
          </w:p>
          <w:p w14:paraId="07CF0ED9" w14:textId="77777777" w:rsidR="006B3046" w:rsidRDefault="006B3046" w:rsidP="00B50D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D2</w:t>
            </w:r>
          </w:p>
          <w:p w14:paraId="0F31C090" w14:textId="241F9456" w:rsidR="006B3046" w:rsidRDefault="006B304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2.1</w:t>
            </w:r>
            <w:r w:rsidR="00D600B6">
              <w:rPr>
                <w:sz w:val="20"/>
                <w:szCs w:val="20"/>
                <w:lang w:val="en-GB"/>
              </w:rPr>
              <w:t>.1</w:t>
            </w:r>
          </w:p>
          <w:p w14:paraId="59863ECB" w14:textId="02B50EB0" w:rsidR="006B3046" w:rsidRDefault="006B304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0E2B39">
              <w:rPr>
                <w:sz w:val="20"/>
                <w:szCs w:val="20"/>
                <w:lang w:val="en-GB"/>
              </w:rPr>
              <w:t xml:space="preserve">Average density of gastropod </w:t>
            </w:r>
            <w:r w:rsidRPr="000E2B39">
              <w:rPr>
                <w:i/>
                <w:sz w:val="20"/>
                <w:szCs w:val="20"/>
                <w:lang w:val="en-GB"/>
              </w:rPr>
              <w:t>Rapana venosa</w:t>
            </w:r>
            <w:r w:rsidRPr="000E2B39">
              <w:rPr>
                <w:sz w:val="20"/>
                <w:szCs w:val="20"/>
                <w:lang w:val="en-GB"/>
              </w:rPr>
              <w:t xml:space="preserve"> is ≤ 3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on sedimentary substrate and ≤ 5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on hard substrate.</w:t>
            </w:r>
          </w:p>
          <w:p w14:paraId="77011627" w14:textId="5FC1CEEE" w:rsidR="006B3046" w:rsidRDefault="006B3046" w:rsidP="00B50DCD">
            <w:pPr>
              <w:spacing w:after="120" w:line="240" w:lineRule="auto"/>
              <w:rPr>
                <w:sz w:val="20"/>
                <w:szCs w:val="20"/>
                <w:vertAlign w:val="superscript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 xml:space="preserve">Average density of </w:t>
            </w:r>
            <w:r w:rsidRPr="000E2B39">
              <w:rPr>
                <w:i/>
                <w:sz w:val="20"/>
                <w:szCs w:val="20"/>
                <w:lang w:val="en-GB"/>
              </w:rPr>
              <w:t xml:space="preserve"> Mya arenaria </w:t>
            </w:r>
            <w:r w:rsidRPr="000E2B39">
              <w:rPr>
                <w:sz w:val="20"/>
                <w:szCs w:val="20"/>
                <w:lang w:val="en-GB"/>
              </w:rPr>
              <w:t>is ≤ 7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  <w:p w14:paraId="292C6AB6" w14:textId="2656C383" w:rsidR="006B3046" w:rsidRDefault="006B3046" w:rsidP="00B50DCD">
            <w:pPr>
              <w:spacing w:after="120" w:line="240" w:lineRule="auto"/>
              <w:rPr>
                <w:sz w:val="20"/>
                <w:szCs w:val="20"/>
                <w:vertAlign w:val="superscript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 xml:space="preserve">Average density of  </w:t>
            </w:r>
            <w:r w:rsidRPr="000E2B39">
              <w:rPr>
                <w:i/>
                <w:sz w:val="20"/>
                <w:szCs w:val="20"/>
                <w:lang w:val="en-GB"/>
              </w:rPr>
              <w:t xml:space="preserve">Anadara kagoshimensis </w:t>
            </w:r>
            <w:r w:rsidRPr="000E2B39">
              <w:rPr>
                <w:sz w:val="20"/>
                <w:szCs w:val="20"/>
                <w:lang w:val="en-GB"/>
              </w:rPr>
              <w:t xml:space="preserve">is </w:t>
            </w:r>
            <w:r w:rsidRPr="000E2B3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E2B39">
              <w:rPr>
                <w:sz w:val="20"/>
                <w:szCs w:val="20"/>
                <w:lang w:val="en-GB"/>
              </w:rPr>
              <w:t>≤ 20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  <w:p w14:paraId="6997405E" w14:textId="1C5A46E2" w:rsidR="006B3046" w:rsidRDefault="006B304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E2B39">
              <w:rPr>
                <w:i/>
                <w:sz w:val="20"/>
                <w:szCs w:val="20"/>
                <w:lang w:val="en-GB"/>
              </w:rPr>
              <w:t>Mnemiopsis leidyi</w:t>
            </w:r>
            <w:r w:rsidRPr="000E2B39">
              <w:rPr>
                <w:sz w:val="20"/>
                <w:szCs w:val="20"/>
                <w:lang w:val="en-GB"/>
              </w:rPr>
              <w:t xml:space="preserve"> biomass is ≤ 4 g./m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0E2B39">
              <w:rPr>
                <w:sz w:val="20"/>
                <w:szCs w:val="20"/>
                <w:lang w:val="en-GB"/>
              </w:rPr>
              <w:t xml:space="preserve"> or 120 g./m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(Vinogradov et al. 2005)</w:t>
            </w:r>
          </w:p>
          <w:p w14:paraId="4E5E1C93" w14:textId="610817F6" w:rsidR="006B3046" w:rsidRDefault="006B304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 xml:space="preserve">Distribution of </w:t>
            </w:r>
            <w:r w:rsidRPr="000E2B39">
              <w:rPr>
                <w:i/>
                <w:sz w:val="20"/>
                <w:szCs w:val="20"/>
                <w:lang w:val="en-GB"/>
              </w:rPr>
              <w:t>Rapana venosa</w:t>
            </w:r>
            <w:r w:rsidRPr="000E2B39">
              <w:rPr>
                <w:sz w:val="20"/>
                <w:szCs w:val="20"/>
                <w:lang w:val="en-GB"/>
              </w:rPr>
              <w:t xml:space="preserve"> is maintained up to 20 m isobath on hard substrate and up to 30m on sedimentary substrate.</w:t>
            </w:r>
          </w:p>
          <w:p w14:paraId="0E8C1655" w14:textId="403739CA" w:rsidR="006B3046" w:rsidRDefault="006B304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 xml:space="preserve">Distribution of </w:t>
            </w:r>
            <w:r w:rsidRPr="000E2B39">
              <w:rPr>
                <w:i/>
                <w:sz w:val="20"/>
                <w:szCs w:val="20"/>
                <w:lang w:val="en-GB"/>
              </w:rPr>
              <w:t>Mya arenaria</w:t>
            </w:r>
            <w:r w:rsidRPr="000E2B39">
              <w:rPr>
                <w:sz w:val="20"/>
                <w:szCs w:val="20"/>
                <w:lang w:val="en-GB"/>
              </w:rPr>
              <w:t xml:space="preserve"> is maintained up to 30 m isobath on sedimentary substrate.</w:t>
            </w:r>
          </w:p>
          <w:p w14:paraId="21B0C457" w14:textId="317301FA" w:rsidR="006B3046" w:rsidRDefault="00D600B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 xml:space="preserve">Distribution of </w:t>
            </w:r>
            <w:r w:rsidRPr="000E2B39">
              <w:rPr>
                <w:i/>
                <w:sz w:val="20"/>
                <w:szCs w:val="20"/>
                <w:lang w:val="en-GB"/>
              </w:rPr>
              <w:t xml:space="preserve">Anadara kagoshimensis </w:t>
            </w:r>
            <w:r w:rsidRPr="000E2B39">
              <w:rPr>
                <w:sz w:val="20"/>
                <w:szCs w:val="20"/>
                <w:lang w:val="en-GB"/>
              </w:rPr>
              <w:t>is maintained up to 30 isobath in sandy zones.</w:t>
            </w:r>
          </w:p>
          <w:p w14:paraId="6A8A69C7" w14:textId="77777777" w:rsidR="00D600B6" w:rsidRDefault="00D600B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2.2.1</w:t>
            </w:r>
          </w:p>
          <w:p w14:paraId="5B08DC85" w14:textId="536E797D" w:rsidR="00D600B6" w:rsidRDefault="00D600B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E2B39">
              <w:rPr>
                <w:sz w:val="20"/>
                <w:szCs w:val="20"/>
                <w:lang w:val="en-GB"/>
              </w:rPr>
              <w:t>Non-native species is 4% of the total number of species on the Romanian seaside.</w:t>
            </w:r>
          </w:p>
          <w:p w14:paraId="50378D19" w14:textId="3B58D6A1" w:rsidR="00D600B6" w:rsidRDefault="00D600B6" w:rsidP="00B50DCD">
            <w:pPr>
              <w:spacing w:after="120" w:line="240" w:lineRule="auto"/>
              <w:rPr>
                <w:sz w:val="20"/>
                <w:szCs w:val="20"/>
                <w:lang w:val="en-GB"/>
              </w:rPr>
            </w:pPr>
            <w:r w:rsidRPr="0001585A">
              <w:rPr>
                <w:sz w:val="20"/>
                <w:szCs w:val="20"/>
                <w:shd w:val="clear" w:color="auto" w:fill="FFFFFF"/>
                <w:lang w:val="en-US"/>
              </w:rPr>
              <w:t xml:space="preserve">Reducing new introductions of non-indigenous species to </w:t>
            </w:r>
            <w:r w:rsidRPr="000E2B39">
              <w:rPr>
                <w:sz w:val="20"/>
                <w:szCs w:val="20"/>
                <w:lang w:val="en-GB"/>
              </w:rPr>
              <w:t>0.</w:t>
            </w:r>
          </w:p>
          <w:p w14:paraId="5A2EC4D7" w14:textId="1D1CC71B" w:rsidR="00D600B6" w:rsidRDefault="00D600B6" w:rsidP="00B50DCD">
            <w:pPr>
              <w:spacing w:after="120" w:line="240" w:lineRule="auto"/>
              <w:rPr>
                <w:i/>
                <w:sz w:val="20"/>
                <w:szCs w:val="20"/>
                <w:lang w:val="en-GB"/>
              </w:rPr>
            </w:pPr>
            <w:r w:rsidRPr="000E2B39">
              <w:rPr>
                <w:rFonts w:cs="Times New Roman"/>
                <w:sz w:val="20"/>
                <w:szCs w:val="20"/>
                <w:lang w:val="en-GB"/>
              </w:rPr>
              <w:t>≤</w:t>
            </w:r>
            <w:r w:rsidRPr="000E2B39">
              <w:rPr>
                <w:sz w:val="20"/>
                <w:szCs w:val="20"/>
                <w:lang w:val="en-GB"/>
              </w:rPr>
              <w:t xml:space="preserve"> 5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of </w:t>
            </w:r>
            <w:r w:rsidRPr="000E2B39">
              <w:rPr>
                <w:i/>
                <w:sz w:val="20"/>
                <w:szCs w:val="20"/>
                <w:lang w:val="en-GB"/>
              </w:rPr>
              <w:t>Rapana venosa</w:t>
            </w:r>
            <w:r w:rsidRPr="000E2B39">
              <w:rPr>
                <w:sz w:val="20"/>
                <w:szCs w:val="20"/>
                <w:lang w:val="en-GB"/>
              </w:rPr>
              <w:t xml:space="preserve"> at 500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of </w:t>
            </w:r>
            <w:r w:rsidRPr="000E2B39">
              <w:rPr>
                <w:i/>
                <w:sz w:val="20"/>
                <w:szCs w:val="20"/>
                <w:lang w:val="en-GB"/>
              </w:rPr>
              <w:t>Mytillus galloprovincialis</w:t>
            </w:r>
          </w:p>
          <w:p w14:paraId="740F15E5" w14:textId="3FE3E654" w:rsidR="00D600B6" w:rsidRDefault="00D600B6" w:rsidP="00B50DCD">
            <w:pPr>
              <w:spacing w:after="120" w:line="240" w:lineRule="auto"/>
              <w:rPr>
                <w:i/>
                <w:sz w:val="20"/>
                <w:szCs w:val="20"/>
                <w:lang w:val="en-GB"/>
              </w:rPr>
            </w:pPr>
            <w:r w:rsidRPr="000E2B39">
              <w:rPr>
                <w:rFonts w:cs="Times New Roman"/>
                <w:sz w:val="20"/>
                <w:szCs w:val="20"/>
                <w:lang w:val="en-GB"/>
              </w:rPr>
              <w:t>≤</w:t>
            </w:r>
            <w:r w:rsidRPr="000E2B39">
              <w:rPr>
                <w:sz w:val="20"/>
                <w:szCs w:val="20"/>
                <w:lang w:val="en-GB"/>
              </w:rPr>
              <w:t xml:space="preserve"> 7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Pr="000E2B39">
              <w:rPr>
                <w:sz w:val="20"/>
                <w:szCs w:val="20"/>
                <w:lang w:val="en-GB"/>
              </w:rPr>
              <w:t xml:space="preserve"> of </w:t>
            </w:r>
            <w:r w:rsidRPr="000E2B39">
              <w:rPr>
                <w:i/>
                <w:sz w:val="20"/>
                <w:szCs w:val="20"/>
                <w:lang w:val="en-GB"/>
              </w:rPr>
              <w:t>Mya arenaria</w:t>
            </w:r>
            <w:r w:rsidRPr="000E2B39">
              <w:rPr>
                <w:sz w:val="20"/>
                <w:szCs w:val="20"/>
                <w:lang w:val="en-GB"/>
              </w:rPr>
              <w:t xml:space="preserve"> la 9000 ind./m</w:t>
            </w:r>
            <w:r w:rsidRPr="000E2B39">
              <w:rPr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E2B39">
              <w:rPr>
                <w:sz w:val="20"/>
                <w:szCs w:val="20"/>
                <w:lang w:val="en-GB"/>
              </w:rPr>
              <w:t xml:space="preserve">of </w:t>
            </w:r>
            <w:r w:rsidRPr="000E2B39">
              <w:rPr>
                <w:i/>
                <w:sz w:val="20"/>
                <w:szCs w:val="20"/>
                <w:lang w:val="en-GB"/>
              </w:rPr>
              <w:t>Lentidium mediterraneum</w:t>
            </w:r>
            <w:r w:rsidRPr="000E2B39">
              <w:rPr>
                <w:sz w:val="20"/>
                <w:szCs w:val="20"/>
                <w:lang w:val="en-GB"/>
              </w:rPr>
              <w:t xml:space="preserve"> on fine sands with </w:t>
            </w:r>
            <w:r w:rsidRPr="000E2B39">
              <w:rPr>
                <w:i/>
                <w:sz w:val="20"/>
                <w:szCs w:val="20"/>
                <w:lang w:val="en-GB"/>
              </w:rPr>
              <w:t>Lentidium mediterraneum</w:t>
            </w:r>
          </w:p>
          <w:p w14:paraId="2507FA76" w14:textId="3C429440" w:rsidR="00D600B6" w:rsidRDefault="00D600B6" w:rsidP="00B50DCD">
            <w:pPr>
              <w:spacing w:after="12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2.2.2</w:t>
            </w:r>
          </w:p>
          <w:p w14:paraId="7672D62A" w14:textId="4D564392" w:rsidR="00D600B6" w:rsidRDefault="00D600B6" w:rsidP="00D600B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Rapana venosa - </w:t>
            </w:r>
            <w:r w:rsidRPr="000E2B39">
              <w:rPr>
                <w:sz w:val="20"/>
                <w:szCs w:val="20"/>
                <w:lang w:val="en-GB"/>
              </w:rPr>
              <w:t xml:space="preserve">Biopollution index </w:t>
            </w:r>
            <w:r w:rsidRPr="000E2B39">
              <w:rPr>
                <w:rFonts w:cs="Times New Roman"/>
                <w:sz w:val="20"/>
                <w:szCs w:val="20"/>
                <w:lang w:val="en-GB"/>
              </w:rPr>
              <w:t xml:space="preserve">≤ </w:t>
            </w:r>
            <w:r w:rsidRPr="000E2B39">
              <w:rPr>
                <w:sz w:val="20"/>
                <w:szCs w:val="20"/>
                <w:lang w:val="en-GB"/>
              </w:rPr>
              <w:t xml:space="preserve">2 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ADR – C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COMMUNITY – C1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HABITATS – H1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ECOSYSTEMS –E0</w:t>
            </w:r>
          </w:p>
          <w:p w14:paraId="595FDAB5" w14:textId="01D01D22" w:rsidR="00D600B6" w:rsidRDefault="00D600B6" w:rsidP="00940E2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Mya arenaria - </w:t>
            </w:r>
            <w:r w:rsidR="00940E28" w:rsidRPr="000E2B39">
              <w:rPr>
                <w:sz w:val="20"/>
                <w:szCs w:val="20"/>
                <w:lang w:val="en-GB"/>
              </w:rPr>
              <w:t>Biopollution index ≤ 1</w:t>
            </w:r>
            <w:r w:rsidR="00940E28">
              <w:rPr>
                <w:sz w:val="20"/>
                <w:szCs w:val="20"/>
                <w:lang w:val="en-GB"/>
              </w:rPr>
              <w:t xml:space="preserve">; </w:t>
            </w:r>
            <w:r w:rsidR="00940E28" w:rsidRPr="000E2B39">
              <w:rPr>
                <w:sz w:val="20"/>
                <w:szCs w:val="20"/>
                <w:lang w:val="en-GB"/>
              </w:rPr>
              <w:t>ADR – C</w:t>
            </w:r>
            <w:r w:rsidR="00940E28">
              <w:rPr>
                <w:sz w:val="20"/>
                <w:szCs w:val="20"/>
                <w:lang w:val="en-GB"/>
              </w:rPr>
              <w:t xml:space="preserve">; </w:t>
            </w:r>
            <w:r w:rsidR="00940E28" w:rsidRPr="000E2B39">
              <w:rPr>
                <w:sz w:val="20"/>
                <w:szCs w:val="20"/>
                <w:lang w:val="en-GB"/>
              </w:rPr>
              <w:t>IMPACT ON COMMUNITY – C1</w:t>
            </w:r>
            <w:r w:rsidR="00940E28">
              <w:rPr>
                <w:sz w:val="20"/>
                <w:szCs w:val="20"/>
                <w:lang w:val="en-GB"/>
              </w:rPr>
              <w:t xml:space="preserve">; </w:t>
            </w:r>
            <w:r w:rsidR="00940E28" w:rsidRPr="000E2B39">
              <w:rPr>
                <w:sz w:val="20"/>
                <w:szCs w:val="20"/>
                <w:lang w:val="en-GB"/>
              </w:rPr>
              <w:t>IMPACT ON HABITATS – H0</w:t>
            </w:r>
            <w:r w:rsidR="00940E28">
              <w:rPr>
                <w:sz w:val="20"/>
                <w:szCs w:val="20"/>
                <w:lang w:val="en-GB"/>
              </w:rPr>
              <w:t xml:space="preserve">; </w:t>
            </w:r>
            <w:r w:rsidR="00940E28" w:rsidRPr="000E2B39">
              <w:rPr>
                <w:sz w:val="20"/>
                <w:szCs w:val="20"/>
                <w:lang w:val="en-GB"/>
              </w:rPr>
              <w:t>IMPACT ON ECOSYSTEMS – E0</w:t>
            </w:r>
          </w:p>
          <w:p w14:paraId="613E2C8C" w14:textId="7D6C76FC" w:rsidR="00D600B6" w:rsidRDefault="00940E28" w:rsidP="00940E28">
            <w:pPr>
              <w:jc w:val="both"/>
              <w:rPr>
                <w:sz w:val="20"/>
                <w:szCs w:val="20"/>
                <w:lang w:val="en-GB"/>
              </w:rPr>
            </w:pPr>
            <w:r w:rsidRPr="000E2B39">
              <w:rPr>
                <w:i/>
                <w:sz w:val="20"/>
                <w:szCs w:val="20"/>
                <w:lang w:val="en-GB"/>
              </w:rPr>
              <w:t>Anadara kagoshimensis</w:t>
            </w:r>
            <w:r>
              <w:rPr>
                <w:i/>
                <w:sz w:val="20"/>
                <w:szCs w:val="20"/>
                <w:lang w:val="en-GB"/>
              </w:rPr>
              <w:t xml:space="preserve"> - </w:t>
            </w:r>
            <w:r w:rsidRPr="000E2B39">
              <w:rPr>
                <w:sz w:val="20"/>
                <w:szCs w:val="20"/>
                <w:lang w:val="en-GB"/>
              </w:rPr>
              <w:t>Biopollution index ≤ 1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ADR – C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COMMUNITY – C1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HABITATS – H0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ECOSYSTEMS – E0</w:t>
            </w:r>
          </w:p>
          <w:p w14:paraId="671D82A4" w14:textId="456AEA7F" w:rsidR="00940E28" w:rsidRDefault="00940E28" w:rsidP="00940E28">
            <w:pPr>
              <w:jc w:val="both"/>
              <w:rPr>
                <w:sz w:val="20"/>
                <w:szCs w:val="20"/>
                <w:lang w:val="en-GB"/>
              </w:rPr>
            </w:pPr>
            <w:r w:rsidRPr="000E2B39">
              <w:rPr>
                <w:i/>
                <w:sz w:val="20"/>
                <w:szCs w:val="20"/>
                <w:lang w:val="en-GB"/>
              </w:rPr>
              <w:t>Mnemiopsis leidyi</w:t>
            </w:r>
            <w:r>
              <w:rPr>
                <w:i/>
                <w:sz w:val="20"/>
                <w:szCs w:val="20"/>
                <w:lang w:val="en-GB"/>
              </w:rPr>
              <w:t xml:space="preserve"> - </w:t>
            </w:r>
            <w:r w:rsidRPr="000E2B39">
              <w:rPr>
                <w:sz w:val="20"/>
                <w:szCs w:val="20"/>
                <w:lang w:val="en-GB"/>
              </w:rPr>
              <w:t xml:space="preserve">Biopollution index </w:t>
            </w:r>
            <w:r w:rsidRPr="000E2B39">
              <w:rPr>
                <w:rFonts w:cs="Times New Roman"/>
                <w:sz w:val="20"/>
                <w:szCs w:val="20"/>
                <w:lang w:val="en-GB"/>
              </w:rPr>
              <w:t xml:space="preserve">≤ </w:t>
            </w:r>
            <w:r w:rsidRPr="000E2B39">
              <w:rPr>
                <w:sz w:val="20"/>
                <w:szCs w:val="20"/>
                <w:lang w:val="en-GB"/>
              </w:rPr>
              <w:t xml:space="preserve">2 </w:t>
            </w:r>
            <w:r>
              <w:rPr>
                <w:sz w:val="20"/>
                <w:szCs w:val="20"/>
                <w:lang w:val="en-GB"/>
              </w:rPr>
              <w:t>;</w:t>
            </w:r>
            <w:r w:rsidRPr="000E2B39">
              <w:rPr>
                <w:sz w:val="20"/>
                <w:szCs w:val="20"/>
                <w:lang w:val="en-GB"/>
              </w:rPr>
              <w:t>ADR – C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COMMUNITY C1– C2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HABITATS – H1-H2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0E2B39">
              <w:rPr>
                <w:sz w:val="20"/>
                <w:szCs w:val="20"/>
                <w:lang w:val="en-GB"/>
              </w:rPr>
              <w:t>IMPACT ON ECOSYSTEMS E1– E2</w:t>
            </w:r>
          </w:p>
          <w:p w14:paraId="577560B1" w14:textId="0E23D1BC" w:rsidR="00C40AE3" w:rsidRPr="004B4914" w:rsidRDefault="00C40AE3" w:rsidP="00B50DC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Bulgaria</w:t>
            </w:r>
          </w:p>
          <w:p w14:paraId="65DF253E" w14:textId="77777777" w:rsidR="00B50DCD" w:rsidRPr="004B4914" w:rsidRDefault="00B50DCD" w:rsidP="00B50DC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Descriptor 2 – Non – indigenous species </w:t>
            </w:r>
          </w:p>
          <w:p w14:paraId="3CA49DC1" w14:textId="77777777" w:rsidR="00B50DCD" w:rsidRPr="004B4914" w:rsidRDefault="00B50DCD" w:rsidP="00B50DCD">
            <w:pPr>
              <w:pStyle w:val="Plattetekst"/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Target on criterion 2.1, indicator 2.1.1: Maintaining low biomass of the invasive species </w:t>
            </w:r>
            <w:r w:rsidRPr="004B4914">
              <w:rPr>
                <w:rFonts w:ascii="Arial" w:hAnsi="Arial" w:cs="Arial"/>
                <w:i/>
                <w:sz w:val="20"/>
                <w:szCs w:val="20"/>
              </w:rPr>
              <w:t>M. </w:t>
            </w:r>
            <w:r w:rsidRPr="004B491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leidyi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according to the threshold values in the Bulgarian report on Art. 10, decreasing of the species blooms and their spatial extent.</w:t>
            </w:r>
          </w:p>
          <w:p w14:paraId="1244D3FA" w14:textId="77777777" w:rsidR="00B50DCD" w:rsidRPr="004B4914" w:rsidRDefault="00B50DCD" w:rsidP="00B50DC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Target on Criterion 2.2, indicator 2.2.1: Communities dominated by indigenous species. No newly introduced species. </w:t>
            </w:r>
          </w:p>
          <w:p w14:paraId="7584CFA5" w14:textId="77777777" w:rsidR="00B50DCD" w:rsidRPr="004B4914" w:rsidRDefault="00B50DCD" w:rsidP="00B50DC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The GES indicators defined according to Art. 10 of the MSFD need additional development in the period up until 2018. The limited knowledge of the impact of non-indigenous species on the environment, targets and thresholds need confirmation.</w:t>
            </w:r>
          </w:p>
          <w:p w14:paraId="031EE521" w14:textId="77777777" w:rsidR="00B50DCD" w:rsidRPr="004B4914" w:rsidRDefault="00B50DCD" w:rsidP="00B50D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bg-BG" w:bidi="en-US"/>
              </w:rPr>
            </w:pPr>
          </w:p>
          <w:p w14:paraId="633A7A22" w14:textId="77E9B99D" w:rsidR="00C40AE3" w:rsidRPr="004B4914" w:rsidRDefault="00C40AE3" w:rsidP="00B50DCD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bg-BG" w:bidi="en-US"/>
              </w:rPr>
            </w:pPr>
            <w:r w:rsidRPr="004B4914">
              <w:rPr>
                <w:rFonts w:ascii="Arial" w:eastAsia="Calibri" w:hAnsi="Arial" w:cs="Arial"/>
                <w:color w:val="000000"/>
                <w:kern w:val="3"/>
                <w:sz w:val="20"/>
                <w:szCs w:val="20"/>
                <w:lang w:val="bg-BG" w:bidi="en-US"/>
              </w:rPr>
              <w:t>Romania has not defined yet environmental targets in terms of NIS</w:t>
            </w:r>
          </w:p>
        </w:tc>
      </w:tr>
      <w:tr w:rsidR="005D3832" w:rsidRPr="004B4914" w14:paraId="5683F0BA" w14:textId="77777777" w:rsidTr="001A6422">
        <w:tc>
          <w:tcPr>
            <w:tcW w:w="1843" w:type="dxa"/>
            <w:shd w:val="clear" w:color="auto" w:fill="auto"/>
          </w:tcPr>
          <w:p w14:paraId="3849BD67" w14:textId="7E00C35D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1D46143B" w14:textId="607767B8" w:rsidR="000F1AFE" w:rsidRPr="004B4914" w:rsidRDefault="000F1AFE" w:rsidP="00514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D2 – Non-native species</w:t>
            </w:r>
          </w:p>
          <w:p w14:paraId="7504DC4A" w14:textId="3A8C35D9" w:rsidR="005142C5" w:rsidRPr="004B4914" w:rsidRDefault="005142C5" w:rsidP="00C40AE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D3832" w:rsidRPr="00EC0BB9" w14:paraId="0BC330BD" w14:textId="77777777" w:rsidTr="001A6422">
        <w:tc>
          <w:tcPr>
            <w:tcW w:w="1843" w:type="dxa"/>
            <w:shd w:val="clear" w:color="auto" w:fill="auto"/>
          </w:tcPr>
          <w:p w14:paraId="1EB6F480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4B8737A" w14:textId="1FB87DE6" w:rsidR="000F1AFE" w:rsidRPr="004B4914" w:rsidRDefault="006968C0" w:rsidP="00C40A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="00F25E58"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F25E58"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Biological disturbance/Introduction of non-indigenous species and translocation</w:t>
            </w:r>
            <w:r w:rsidRPr="004B4914" w:rsidDel="006420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0D08D21" w14:textId="26E00F55" w:rsidR="00F25E58" w:rsidRPr="004B4914" w:rsidRDefault="00F25E58" w:rsidP="00C40AE3">
            <w:pPr>
              <w:pStyle w:val="Lijstalinea"/>
              <w:spacing w:before="60" w:after="60" w:line="240" w:lineRule="auto"/>
              <w:ind w:left="3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AF66BF" w:rsidRPr="00EC0BB9" w14:paraId="5273F474" w14:textId="77777777" w:rsidTr="001A6422">
        <w:tc>
          <w:tcPr>
            <w:tcW w:w="1843" w:type="dxa"/>
            <w:shd w:val="clear" w:color="auto" w:fill="auto"/>
          </w:tcPr>
          <w:p w14:paraId="5A317EFA" w14:textId="77777777" w:rsidR="00AF66BF" w:rsidRPr="004B4914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drivers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7E11F21" w14:textId="7CB8F901" w:rsidR="00AF66BF" w:rsidRPr="004B4914" w:rsidRDefault="00C40AE3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Shipping; aquaculture; fishery; tourism; port operations; submarine cable and pipeline operations; marine research; biological control</w:t>
            </w:r>
          </w:p>
        </w:tc>
      </w:tr>
      <w:tr w:rsidR="005D3832" w:rsidRPr="004B4914" w14:paraId="4B9639A1" w14:textId="77777777" w:rsidTr="001A6422">
        <w:tc>
          <w:tcPr>
            <w:tcW w:w="1843" w:type="dxa"/>
            <w:shd w:val="clear" w:color="auto" w:fill="auto"/>
          </w:tcPr>
          <w:p w14:paraId="4575DA36" w14:textId="705B763F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CD08494" w14:textId="77777777" w:rsidR="00AE6ACD" w:rsidRPr="004B4914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Fish</w:t>
            </w:r>
          </w:p>
          <w:p w14:paraId="0982FEEC" w14:textId="77777777" w:rsidR="00AE6ACD" w:rsidRPr="004B4914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Benthic habitats</w:t>
            </w:r>
          </w:p>
          <w:p w14:paraId="017A4ADA" w14:textId="6BF09CEF" w:rsidR="004F78D9" w:rsidRPr="004B4914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Pelagic habitats</w:t>
            </w:r>
          </w:p>
        </w:tc>
      </w:tr>
      <w:tr w:rsidR="005D3832" w:rsidRPr="00EC0BB9" w14:paraId="5C19381C" w14:textId="77777777" w:rsidTr="001A6422">
        <w:trPr>
          <w:trHeight w:val="5678"/>
        </w:trPr>
        <w:tc>
          <w:tcPr>
            <w:tcW w:w="1843" w:type="dxa"/>
            <w:shd w:val="clear" w:color="auto" w:fill="auto"/>
          </w:tcPr>
          <w:p w14:paraId="5D2DA450" w14:textId="54F8BC08" w:rsidR="005D3832" w:rsidRPr="004B4914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Link to other directive/legislation/policy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3DEAE286" w14:textId="7345164B" w:rsidR="008D1A7B" w:rsidRPr="004B4914" w:rsidRDefault="008D1A7B" w:rsidP="00C57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International Convention for the Control and Management of Ship Ballast Water and Sediments (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IMO)</w:t>
            </w:r>
            <w:r w:rsidR="00DD3AA4" w:rsidRPr="004B4914">
              <w:rPr>
                <w:rFonts w:ascii="Arial" w:hAnsi="Arial" w:cs="Arial"/>
                <w:sz w:val="20"/>
                <w:szCs w:val="20"/>
                <w:lang w:val="bg-BG"/>
              </w:rPr>
              <w:t>, 2004</w:t>
            </w:r>
          </w:p>
          <w:p w14:paraId="1D26FCD6" w14:textId="06A33312" w:rsidR="008D1A7B" w:rsidRPr="004B4914" w:rsidRDefault="00B50DCD" w:rsidP="00C57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Regulation (EC) No 708/2007 concerning use of alien and locally absent species in aquaculture </w:t>
            </w:r>
          </w:p>
          <w:p w14:paraId="78A1987B" w14:textId="7BBE5E8D" w:rsidR="00F25E58" w:rsidRPr="004B4914" w:rsidRDefault="00B50DCD" w:rsidP="00C579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Regulation (EU) No 1143/2014 of the European Parliament and of the Council of 22 October 2014 on the prevention and management of the introduction and spread of invasive alien species  </w:t>
            </w:r>
          </w:p>
          <w:p w14:paraId="4F2827BD" w14:textId="5877665B" w:rsidR="00DD3AA4" w:rsidRPr="004B4914" w:rsidRDefault="00B50DCD" w:rsidP="00DD3A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Guidelines </w:t>
            </w:r>
            <w:r w:rsidR="008D1A7B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by International Maritime Organization (IMO) 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for the control and management of ships' biofouling to minimise the transfer of invasive aquatic species </w:t>
            </w:r>
            <w:r w:rsidR="00DD3AA4" w:rsidRPr="004B4914">
              <w:rPr>
                <w:rFonts w:ascii="Arial" w:hAnsi="Arial" w:cs="Arial"/>
                <w:sz w:val="20"/>
                <w:szCs w:val="20"/>
                <w:lang w:val="bg-BG"/>
              </w:rPr>
              <w:t>(</w:t>
            </w:r>
            <w:r w:rsidR="00DD3AA4" w:rsidRPr="004B4914">
              <w:rPr>
                <w:rFonts w:ascii="Arial" w:hAnsi="Arial" w:cs="Arial"/>
                <w:sz w:val="20"/>
                <w:szCs w:val="20"/>
                <w:lang w:val="en-US"/>
              </w:rPr>
              <w:t>Resolution MEPC.207(62)</w:t>
            </w:r>
            <w:r w:rsidR="00DD3AA4" w:rsidRPr="004B4914"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</w:p>
          <w:p w14:paraId="3B0579AA" w14:textId="2AD9FD7E" w:rsidR="00C579B5" w:rsidRPr="004B4914" w:rsidRDefault="00C579B5" w:rsidP="00DD3A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F78D9" w:rsidRPr="00EC0BB9" w14:paraId="0FE941FC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83B4" w14:textId="7701163A" w:rsidR="004F78D9" w:rsidRPr="004B4914" w:rsidRDefault="004F78D9" w:rsidP="004F78D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Necessity for transnational regulation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83A7" w14:textId="6AFB6E2F" w:rsidR="004F78D9" w:rsidRPr="004B4914" w:rsidRDefault="00C40AE3" w:rsidP="004F78D9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  <w:p w14:paraId="2A9989DE" w14:textId="77777777" w:rsidR="004F78D9" w:rsidRPr="004B4914" w:rsidRDefault="004F78D9" w:rsidP="004F78D9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32EB820F" w14:textId="5F4AC836" w:rsidR="004F78D9" w:rsidRPr="004B4914" w:rsidRDefault="004F78D9" w:rsidP="004F78D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Link with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Convention for the Protection of the Black Sea Against Pollution and its Protocols - possible need for change</w:t>
            </w:r>
          </w:p>
        </w:tc>
      </w:tr>
      <w:tr w:rsidR="005D3832" w:rsidRPr="004B4914" w14:paraId="3190BD0F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D6F" w14:textId="0CAB6048" w:rsidR="005D3832" w:rsidRPr="004B4914" w:rsidRDefault="005D3832" w:rsidP="0076509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</w:t>
            </w:r>
            <w:r w:rsidR="00583D8D"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583D8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D8D"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r w:rsidR="00765096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D36" w14:textId="77777777" w:rsidR="005D3832" w:rsidRPr="004B4914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Legal</w:t>
            </w:r>
          </w:p>
          <w:p w14:paraId="0171D4E2" w14:textId="77777777" w:rsidR="005D3832" w:rsidRPr="004B4914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Technical</w:t>
            </w:r>
          </w:p>
          <w:p w14:paraId="0700816D" w14:textId="25995E4F" w:rsidR="005D3832" w:rsidRPr="004B4914" w:rsidRDefault="00765096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Policy</w:t>
            </w:r>
          </w:p>
          <w:p w14:paraId="612708FD" w14:textId="49E42486" w:rsidR="005D3832" w:rsidRPr="004B4914" w:rsidRDefault="005D3832" w:rsidP="000F1AFE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4B4914" w14:paraId="5D4AF530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88D" w14:textId="448A6757" w:rsidR="005D3832" w:rsidRPr="004B4914" w:rsidRDefault="009D45F8" w:rsidP="00765096">
            <w:pPr>
              <w:spacing w:before="60" w:after="60" w:line="240" w:lineRule="auto"/>
              <w:ind w:left="-180" w:firstLine="18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765096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8968" w14:textId="07B64303" w:rsidR="000A6093" w:rsidRPr="004B4914" w:rsidRDefault="00765096" w:rsidP="00583D8D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Territorial waters/EEZ + Beyond MS waters</w:t>
            </w:r>
          </w:p>
          <w:p w14:paraId="7501B35D" w14:textId="77777777" w:rsidR="000A6093" w:rsidRPr="004B4914" w:rsidRDefault="000A6093" w:rsidP="00263591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D3832" w:rsidRPr="00EC0BB9" w14:paraId="473F9B91" w14:textId="77777777" w:rsidTr="001A6422">
        <w:tc>
          <w:tcPr>
            <w:tcW w:w="1843" w:type="dxa"/>
            <w:shd w:val="clear" w:color="auto" w:fill="auto"/>
          </w:tcPr>
          <w:p w14:paraId="1FAD1CC3" w14:textId="162D4003" w:rsidR="005D3832" w:rsidRPr="004B4914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1F83448" w14:textId="77777777" w:rsidR="004259BA" w:rsidRPr="004B4914" w:rsidRDefault="004259BA" w:rsidP="004259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side effects: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implementation of the measure is not expected to have negative effects on the marine environment. </w:t>
            </w:r>
          </w:p>
          <w:p w14:paraId="21CF10C9" w14:textId="77777777" w:rsidR="00230037" w:rsidRPr="004B4914" w:rsidRDefault="00230037" w:rsidP="004259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1D92E330" w14:textId="34F97CC4" w:rsidR="002B5961" w:rsidRPr="004B4914" w:rsidRDefault="002B5961" w:rsidP="002B5961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Proba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bly the implementation of the measure will not contribute to achievement of GES by 2020.</w:t>
            </w:r>
          </w:p>
          <w:p w14:paraId="3F5A3B12" w14:textId="338E12E2" w:rsidR="002B5961" w:rsidRPr="004B4914" w:rsidRDefault="002B5961" w:rsidP="00B50DCD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At this stage</w:t>
            </w:r>
            <w:r w:rsidR="00B50DC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it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is early to make any </w:t>
            </w:r>
            <w:r w:rsidR="00B50DCD" w:rsidRPr="004B4914">
              <w:rPr>
                <w:rFonts w:ascii="Arial" w:hAnsi="Arial" w:cs="Arial"/>
                <w:sz w:val="20"/>
                <w:szCs w:val="20"/>
                <w:lang w:val="en-US"/>
              </w:rPr>
              <w:t>prognosis. Th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e monitoring programme of Descriptor 2 – Non- indigenous species will start in 2016 and there is a ne</w:t>
            </w:r>
            <w:r w:rsidRPr="004B4914">
              <w:rPr>
                <w:rFonts w:ascii="Arial" w:hAnsi="Arial" w:cs="Arial"/>
                <w:sz w:val="20"/>
                <w:szCs w:val="20"/>
              </w:rPr>
              <w:t>е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d of at least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2 </w:t>
            </w:r>
            <w:r w:rsidR="00B50DC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years </w:t>
            </w:r>
            <w:r w:rsidR="00422778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="00B50DCD" w:rsidRPr="004B4914">
              <w:rPr>
                <w:rFonts w:ascii="Arial" w:hAnsi="Arial" w:cs="Arial"/>
                <w:sz w:val="20"/>
                <w:szCs w:val="20"/>
                <w:lang w:val="en-US"/>
              </w:rPr>
              <w:t>collecting data.</w:t>
            </w:r>
          </w:p>
          <w:p w14:paraId="4F353503" w14:textId="09328007" w:rsidR="004259BA" w:rsidRPr="004B4914" w:rsidRDefault="004259BA" w:rsidP="00230037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D3832" w:rsidRPr="00EC0BB9" w14:paraId="5CB7F63A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DD98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FAD8" w14:textId="5FAA6823" w:rsidR="00DC2C56" w:rsidRPr="004B4914" w:rsidRDefault="00DC2C56" w:rsidP="00230037">
            <w:p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implementation of the measure is not expected to have negative 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ransboundary effects </w:t>
            </w:r>
          </w:p>
        </w:tc>
      </w:tr>
      <w:tr w:rsidR="005D3832" w:rsidRPr="004B4914" w14:paraId="7A4E5F7E" w14:textId="77777777" w:rsidTr="001A642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ED08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7744" w14:textId="20227466" w:rsidR="00A73322" w:rsidRPr="004B4914" w:rsidRDefault="00A73322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rough assessment: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medium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€ 50.</w:t>
            </w:r>
            <w:r w:rsidRPr="004B4914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>000 – 1.000.000</w:t>
            </w:r>
          </w:p>
          <w:p w14:paraId="1C395EF2" w14:textId="77777777" w:rsidR="00A73322" w:rsidRPr="004B4914" w:rsidRDefault="00A73322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403958" w14:textId="7E5900A0" w:rsidR="00A85B73" w:rsidRPr="004B4914" w:rsidRDefault="005F339D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85B73" w:rsidRPr="004B4914">
              <w:rPr>
                <w:rFonts w:ascii="Arial" w:hAnsi="Arial" w:cs="Arial"/>
                <w:sz w:val="20"/>
                <w:szCs w:val="20"/>
                <w:lang w:val="bg-BG"/>
              </w:rPr>
              <w:t>) Additional staff for control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(incl. laboratory attendants</w:t>
            </w:r>
            <w:r w:rsidR="00082D48" w:rsidRPr="004B4914">
              <w:rPr>
                <w:rStyle w:val="Voetnootmarkering"/>
                <w:rFonts w:ascii="Arial" w:hAnsi="Arial" w:cs="Arial"/>
                <w:sz w:val="20"/>
                <w:szCs w:val="20"/>
                <w:lang w:val="en-US"/>
              </w:rPr>
              <w:footnoteReference w:id="1"/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): 8 FTE’s x 1</w:t>
            </w:r>
            <w:r w:rsidR="00082D48" w:rsidRPr="004B49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.000 € per year</w:t>
            </w:r>
            <w:r w:rsidRPr="004B4914">
              <w:rPr>
                <w:rStyle w:val="Voetnootmarkering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= 9</w:t>
            </w:r>
            <w:r w:rsidR="00082D48" w:rsidRPr="004B491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.000 €</w:t>
            </w:r>
          </w:p>
          <w:p w14:paraId="6F1817EF" w14:textId="6BF25420" w:rsidR="00A85B73" w:rsidRPr="004B4914" w:rsidRDefault="005F339D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85B73" w:rsidRPr="004B4914">
              <w:rPr>
                <w:rFonts w:ascii="Arial" w:hAnsi="Arial" w:cs="Arial"/>
                <w:sz w:val="20"/>
                <w:szCs w:val="20"/>
                <w:lang w:val="bg-BG"/>
              </w:rPr>
              <w:t>) Training of control staff</w:t>
            </w:r>
            <w:r w:rsidR="00A85B73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F71FE" w:rsidRPr="004B491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85B73" w:rsidRPr="004B4914">
              <w:rPr>
                <w:rFonts w:ascii="Arial" w:hAnsi="Arial" w:cs="Arial"/>
                <w:sz w:val="20"/>
                <w:szCs w:val="20"/>
                <w:lang w:val="en-US"/>
              </w:rPr>
              <w:t>000 €</w:t>
            </w:r>
          </w:p>
          <w:p w14:paraId="39C35747" w14:textId="36851A46" w:rsidR="00F95051" w:rsidRPr="004B4914" w:rsidRDefault="00A85B73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3) Operational costs for control</w:t>
            </w:r>
            <w:r w:rsidR="00082D48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and analysis</w:t>
            </w:r>
            <w:r w:rsidR="00082D48" w:rsidRPr="004B4914">
              <w:rPr>
                <w:rStyle w:val="Voetnootmarkering"/>
                <w:rFonts w:ascii="Arial" w:hAnsi="Arial" w:cs="Arial"/>
                <w:sz w:val="20"/>
                <w:szCs w:val="20"/>
                <w:lang w:val="bg-BG"/>
              </w:rPr>
              <w:footnoteReference w:id="3"/>
            </w:r>
            <w:r w:rsidR="005F339D" w:rsidRPr="004B4914">
              <w:rPr>
                <w:rFonts w:ascii="Arial" w:hAnsi="Arial" w:cs="Arial"/>
                <w:sz w:val="20"/>
                <w:szCs w:val="20"/>
                <w:lang w:val="en-US"/>
              </w:rPr>
              <w:t>: not possible to assess at this stage</w:t>
            </w:r>
          </w:p>
          <w:p w14:paraId="485CFADB" w14:textId="77777777" w:rsidR="00A85B73" w:rsidRPr="004B4914" w:rsidRDefault="00A85B73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6B8FA9" w14:textId="3ADDC829" w:rsidR="005F339D" w:rsidRPr="004B4914" w:rsidRDefault="005F339D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Total one off costs within MSFD cycle (6 years): not possible to assess (minimum </w:t>
            </w:r>
            <w:r w:rsidR="005F71FE" w:rsidRPr="004B4914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.000 € , but </w:t>
            </w:r>
            <w:r w:rsidR="00082D48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probably </w:t>
            </w:r>
            <w:r w:rsidR="005F71FE" w:rsidRPr="004B4914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2D48" w:rsidRPr="004B4914">
              <w:rPr>
                <w:rFonts w:ascii="Arial" w:hAnsi="Arial" w:cs="Arial"/>
                <w:sz w:val="20"/>
                <w:szCs w:val="20"/>
                <w:lang w:val="en-US"/>
              </w:rPr>
              <w:t>200.000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  <w:r w:rsidR="005F71FE" w:rsidRPr="004B491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9BD5E50" w14:textId="77777777" w:rsidR="005F339D" w:rsidRPr="004B4914" w:rsidRDefault="005F339D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4E9A0A" w14:textId="77777777" w:rsidR="005F339D" w:rsidRPr="004B4914" w:rsidRDefault="005F339D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Scoring: </w:t>
            </w:r>
          </w:p>
          <w:tbl>
            <w:tblPr>
              <w:tblW w:w="3238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262"/>
            </w:tblGrid>
            <w:tr w:rsidR="005F339D" w:rsidRPr="004B4914" w14:paraId="23DB86D9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  <w:noWrap/>
                  <w:hideMark/>
                </w:tcPr>
                <w:p w14:paraId="59C0D55B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</w:tcPr>
                <w:p w14:paraId="55C5E47E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5F339D" w:rsidRPr="004B4914" w14:paraId="4A3009F1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0000"/>
                  <w:noWrap/>
                  <w:hideMark/>
                </w:tcPr>
                <w:p w14:paraId="37D0FAD7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733D2EF" w14:textId="77777777" w:rsidR="005F339D" w:rsidRPr="004B4914" w:rsidRDefault="005F339D" w:rsidP="005F33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&gt; </w:t>
                  </w:r>
                  <w:r w:rsidRPr="004B491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1 million</w:t>
                  </w:r>
                </w:p>
              </w:tc>
            </w:tr>
            <w:tr w:rsidR="005F339D" w:rsidRPr="004B4914" w14:paraId="0908CC83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9933"/>
                  <w:noWrap/>
                  <w:hideMark/>
                </w:tcPr>
                <w:p w14:paraId="2FFA4AB4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9933"/>
                </w:tcPr>
                <w:p w14:paraId="3010A14D" w14:textId="77777777" w:rsidR="005F339D" w:rsidRPr="004B4914" w:rsidRDefault="005F339D" w:rsidP="005F33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5F339D" w:rsidRPr="004B4914" w14:paraId="00A338B8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FF00"/>
                  <w:noWrap/>
                  <w:hideMark/>
                </w:tcPr>
                <w:p w14:paraId="319A6048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A6C87D2" w14:textId="77777777" w:rsidR="005F339D" w:rsidRPr="004B4914" w:rsidRDefault="005F339D" w:rsidP="005F33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5F339D" w:rsidRPr="004B4914" w14:paraId="05729E35" w14:textId="77777777" w:rsidTr="007D1241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92D050"/>
                  <w:noWrap/>
                  <w:hideMark/>
                </w:tcPr>
                <w:p w14:paraId="10C38B84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8CC01EC" w14:textId="77777777" w:rsidR="005F339D" w:rsidRPr="004B4914" w:rsidRDefault="005F339D" w:rsidP="005F33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€ 50.</w:t>
                  </w:r>
                  <w:r w:rsidRPr="004B491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  <w:t>000 - 200.000</w:t>
                  </w:r>
                </w:p>
              </w:tc>
            </w:tr>
            <w:tr w:rsidR="005F339D" w:rsidRPr="004B4914" w14:paraId="7F510794" w14:textId="77777777" w:rsidTr="007D1241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14:paraId="192BFC6C" w14:textId="77777777" w:rsidR="005F339D" w:rsidRPr="004B4914" w:rsidRDefault="005F339D" w:rsidP="005F33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</w:tcPr>
                <w:p w14:paraId="477F724E" w14:textId="77777777" w:rsidR="005F339D" w:rsidRPr="004B4914" w:rsidRDefault="005F339D" w:rsidP="005F339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&lt; </w:t>
                  </w:r>
                  <w:r w:rsidRPr="004B491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4B491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50.000</w:t>
                  </w:r>
                </w:p>
              </w:tc>
            </w:tr>
          </w:tbl>
          <w:p w14:paraId="0ABE09F0" w14:textId="77777777" w:rsidR="00DB72AB" w:rsidRPr="004B4914" w:rsidRDefault="00DB72AB" w:rsidP="0064381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377E1091" w14:textId="02438CFA" w:rsidR="00DB72AB" w:rsidRPr="004B4914" w:rsidRDefault="00DB72AB" w:rsidP="00230037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83D8D" w:rsidRPr="004B4914" w14:paraId="24123477" w14:textId="77777777" w:rsidTr="001A642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564B" w14:textId="7704C3E3" w:rsidR="00583D8D" w:rsidRPr="004B4914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Effectiveness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5EA" w14:textId="2C5BCA07" w:rsidR="00583D8D" w:rsidRPr="004B4914" w:rsidRDefault="00230037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Strong</w:t>
            </w:r>
          </w:p>
        </w:tc>
      </w:tr>
      <w:tr w:rsidR="008A2446" w:rsidRPr="00EC0BB9" w14:paraId="647979F0" w14:textId="77777777" w:rsidTr="001A642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86C7" w14:textId="77C650CF" w:rsidR="008A2446" w:rsidRPr="004B4914" w:rsidRDefault="008A244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207887"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D179" w14:textId="77777777" w:rsidR="00DB72AB" w:rsidRPr="004B4914" w:rsidRDefault="00D21637" w:rsidP="00D21637">
            <w:pPr>
              <w:pStyle w:val="Lijstalinea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1. Reduce the number of cases of registered new non-indigenous species / invasive species in the Black Sea ecosystem over the next six years;                                                       </w:t>
            </w:r>
          </w:p>
          <w:p w14:paraId="21766F80" w14:textId="2251ABF8" w:rsidR="004F78D9" w:rsidRPr="004B4914" w:rsidRDefault="00D21637" w:rsidP="00D21637">
            <w:pPr>
              <w:pStyle w:val="Lijstalinea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2. 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Reduce 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bg-BG"/>
              </w:rPr>
              <w:t>the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registered cases of negative impact caused by introduced non-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indigenous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/ invasive species on native species or non-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indigenous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species already 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en-GB"/>
              </w:rPr>
              <w:t>introduced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Black Sea ecosystem over the next six years;                                                   </w:t>
            </w:r>
            <w:r w:rsidR="006B4D5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69A0524A" w14:textId="77777777" w:rsidR="00DB72AB" w:rsidRPr="004B4914" w:rsidRDefault="00DB72AB" w:rsidP="00DB72AB">
            <w:pPr>
              <w:pStyle w:val="Lijstalinea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3. Number of inspected vessels </w:t>
            </w: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per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year;</w:t>
            </w:r>
          </w:p>
          <w:p w14:paraId="254136C0" w14:textId="43DCEAFE" w:rsidR="00D21637" w:rsidRPr="004B4914" w:rsidRDefault="00DB72AB" w:rsidP="00DB72AB">
            <w:pPr>
              <w:pStyle w:val="Lijstalinea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4. Number of samples from ship’s ballast water per year;                                                                                                                            5. Number of samples from ship’s ballast water found to be in non-compliance with the legal requirements per year;                                                                                                                                   </w:t>
            </w:r>
          </w:p>
          <w:p w14:paraId="51DE23D0" w14:textId="38F16307" w:rsidR="00D21637" w:rsidRPr="004B4914" w:rsidRDefault="00DB72AB" w:rsidP="00DB72AB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6. Number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fines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imposed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ships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per</w:t>
            </w:r>
            <w:r w:rsidRPr="004B491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</w:p>
          <w:p w14:paraId="1006806C" w14:textId="49DD7027" w:rsidR="008A2446" w:rsidRPr="004B4914" w:rsidRDefault="008A2446" w:rsidP="004259BA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D3832" w:rsidRPr="00EC0BB9" w14:paraId="46A9EBAC" w14:textId="77777777" w:rsidTr="001A6422">
        <w:trPr>
          <w:trHeight w:val="4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C9B3" w14:textId="57A04D8D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A5E1" w14:textId="4F24586A" w:rsidR="00F22A00" w:rsidRPr="004B4914" w:rsidRDefault="00A6610B" w:rsidP="001C62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type of effect: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The measure 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will have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effect on the shipbuilding business </w:t>
            </w:r>
            <w:r w:rsidR="001C62FD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inc. ship owners 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need to use more investment in equipment ships with </w:t>
            </w:r>
            <w:r w:rsidR="001C62FD"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special systems 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for ballast water treatment to destroy pathogens, cysts of non-native invasive species and others. </w:t>
            </w:r>
          </w:p>
          <w:p w14:paraId="7476A3FF" w14:textId="77777777" w:rsidR="001C62FD" w:rsidRPr="004B4914" w:rsidRDefault="001C62FD" w:rsidP="0084551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EBFC300" w14:textId="347E830F" w:rsidR="0084551E" w:rsidRPr="004B4914" w:rsidRDefault="00800E45" w:rsidP="0084551E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Benefits:</w:t>
            </w:r>
          </w:p>
          <w:p w14:paraId="782D4EE4" w14:textId="0778245D" w:rsidR="00246242" w:rsidRPr="004B4914" w:rsidRDefault="00F22A00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1. It is expected to reduce the cases of irregular change of ballast waters of ships sailing in the territorial wate</w:t>
            </w:r>
            <w:r w:rsidR="00246242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rs </w:t>
            </w:r>
          </w:p>
          <w:p w14:paraId="795E2D7E" w14:textId="026C7793" w:rsidR="00246242" w:rsidRPr="004B4914" w:rsidRDefault="004259BA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>. Limiting the introduction, spread and negative impact of invasive non-indigenous species on the Black Sea ecosystem;</w:t>
            </w:r>
          </w:p>
          <w:p w14:paraId="4EB2DA6B" w14:textId="7ADF91FD" w:rsidR="005D3832" w:rsidRPr="004B4914" w:rsidRDefault="004259BA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  <w:r w:rsidR="00F22A00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. Improving the state of the marine environment </w:t>
            </w:r>
          </w:p>
          <w:p w14:paraId="470F37DE" w14:textId="77777777" w:rsidR="00230037" w:rsidRPr="004B4914" w:rsidRDefault="00230037" w:rsidP="00246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37B1ED" w14:textId="77777777" w:rsidR="00230037" w:rsidRPr="004B4914" w:rsidRDefault="00230037" w:rsidP="002300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US"/>
              </w:rPr>
              <w:t>Cost Effectiveness Assessment: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Cost effective</w:t>
            </w:r>
          </w:p>
          <w:p w14:paraId="2073794A" w14:textId="50B190DC" w:rsidR="004259BA" w:rsidRPr="004B4914" w:rsidRDefault="00230037" w:rsidP="002300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US"/>
              </w:rPr>
              <w:t>Cost Benefit Assessment:</w:t>
            </w: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 xml:space="preserve"> Medium</w:t>
            </w:r>
          </w:p>
          <w:p w14:paraId="04157804" w14:textId="1880DF39" w:rsidR="001D0EB1" w:rsidRPr="004B4914" w:rsidRDefault="001D0EB1" w:rsidP="004259B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D3832" w:rsidRPr="004B4914" w14:paraId="7356D692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047D" w14:textId="7FC21B2C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CB33" w14:textId="6A35025D" w:rsidR="00ED1EB9" w:rsidRPr="004B4914" w:rsidRDefault="00230037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Bilateral</w:t>
            </w:r>
          </w:p>
          <w:p w14:paraId="0FDEAD78" w14:textId="77777777" w:rsidR="00ED1EB9" w:rsidRPr="004B4914" w:rsidRDefault="00ED1EB9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Regional </w:t>
            </w:r>
          </w:p>
          <w:p w14:paraId="7054EAAF" w14:textId="77777777" w:rsidR="002B4A2A" w:rsidRPr="004B4914" w:rsidRDefault="002B4A2A" w:rsidP="00E412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903BE6" w14:textId="57B8E1B8" w:rsidR="00ED1EB9" w:rsidRPr="004B4914" w:rsidRDefault="00ED1EB9" w:rsidP="002300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83D8D" w:rsidRPr="004B4914" w14:paraId="77671F49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8E28" w14:textId="36A26A8E" w:rsidR="00583D8D" w:rsidRPr="004B4914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DDC1" w14:textId="77777777" w:rsidR="00583D8D" w:rsidRPr="004B4914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i/>
                <w:sz w:val="20"/>
                <w:szCs w:val="20"/>
                <w:lang w:val="en-GB"/>
              </w:rPr>
              <w:t>New development</w:t>
            </w:r>
          </w:p>
        </w:tc>
      </w:tr>
      <w:tr w:rsidR="005D3832" w:rsidRPr="004B4914" w14:paraId="40F77292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1C1E" w14:textId="77777777" w:rsidR="005D3832" w:rsidRPr="004B4914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Body responsible for the measure </w:t>
            </w:r>
            <w:r w:rsidR="009D45F8"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9394" w14:textId="2A230049" w:rsidR="005D3832" w:rsidRPr="004B4914" w:rsidRDefault="00230037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26E3" w:rsidRPr="004B4914">
              <w:rPr>
                <w:rFonts w:ascii="Arial" w:hAnsi="Arial" w:cs="Arial"/>
                <w:sz w:val="20"/>
                <w:szCs w:val="20"/>
                <w:lang w:val="en-GB"/>
              </w:rPr>
              <w:t>Ministry of Transport, Information Technology and Communications and Executive Age</w:t>
            </w:r>
            <w:r w:rsidR="001C62FD" w:rsidRPr="004B4914">
              <w:rPr>
                <w:rFonts w:ascii="Arial" w:hAnsi="Arial" w:cs="Arial"/>
                <w:sz w:val="20"/>
                <w:szCs w:val="20"/>
                <w:lang w:val="en-GB"/>
              </w:rPr>
              <w:t>ncy "Maritime Administration" (Directorates  in Varna and Burgas)</w:t>
            </w:r>
            <w:r w:rsidR="002826E3" w:rsidRPr="004B4914">
              <w:rPr>
                <w:rFonts w:ascii="Arial" w:hAnsi="Arial" w:cs="Arial"/>
                <w:sz w:val="20"/>
                <w:szCs w:val="20"/>
                <w:lang w:val="en-GB"/>
              </w:rPr>
              <w:t>, Ministry of Agriculture and Food, National Agency for Fisheries and Aquaculture (NAFA), state and private laboratories for analysis of microbial c</w:t>
            </w:r>
            <w:r w:rsidR="0084551E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ontent in </w:t>
            </w:r>
            <w:r w:rsidR="002826E3" w:rsidRPr="004B4914">
              <w:rPr>
                <w:rFonts w:ascii="Arial" w:hAnsi="Arial" w:cs="Arial"/>
                <w:sz w:val="20"/>
                <w:szCs w:val="20"/>
                <w:lang w:val="en-GB"/>
              </w:rPr>
              <w:t>ballast waters, port operators, shipbuilders</w:t>
            </w:r>
          </w:p>
          <w:p w14:paraId="5DDF7CF0" w14:textId="1A6D57F7" w:rsidR="00230037" w:rsidRPr="004B4914" w:rsidRDefault="00230037" w:rsidP="0023003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Romania: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Ministry of Environment, Waters and Forests, Ministry of Transport</w:t>
            </w:r>
          </w:p>
          <w:p w14:paraId="7FCB9A9D" w14:textId="61C8E292" w:rsidR="002B4A2A" w:rsidRPr="004B4914" w:rsidRDefault="00230037" w:rsidP="00230037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NIRD “Grigore Antipa</w:t>
            </w:r>
          </w:p>
        </w:tc>
      </w:tr>
      <w:tr w:rsidR="005D3832" w:rsidRPr="004B4914" w14:paraId="7DB0A31B" w14:textId="77777777" w:rsidTr="001A64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167D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Financing </w:t>
            </w: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opportunities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B63D" w14:textId="77777777" w:rsidR="00B56687" w:rsidRPr="004B4914" w:rsidRDefault="00B56687" w:rsidP="00B566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European Maritime and Fisheries Fund (EMFF)</w:t>
            </w:r>
          </w:p>
          <w:p w14:paraId="720633AC" w14:textId="4A603BFA" w:rsidR="00B56687" w:rsidRPr="004B4914" w:rsidRDefault="00B56687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National funding</w:t>
            </w:r>
            <w:r w:rsidR="00230037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Bulgaria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72F954CD" w14:textId="77777777" w:rsidR="00B56687" w:rsidRPr="004B4914" w:rsidRDefault="00B56687" w:rsidP="00ED1EB9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234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US"/>
              </w:rPr>
              <w:t>National Programme for Maritime Affairs and Fisheries (2014-2020)</w:t>
            </w:r>
          </w:p>
          <w:p w14:paraId="62373E79" w14:textId="77777777" w:rsidR="00B56687" w:rsidRPr="004B4914" w:rsidRDefault="002826E3" w:rsidP="00ED1EB9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234" w:hanging="1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Operational Programme </w:t>
            </w:r>
            <w:r w:rsidR="00B56687" w:rsidRPr="004B4914">
              <w:rPr>
                <w:rFonts w:ascii="Arial" w:hAnsi="Arial" w:cs="Arial"/>
                <w:sz w:val="20"/>
                <w:szCs w:val="20"/>
                <w:lang w:val="en-GB"/>
              </w:rPr>
              <w:t>(OP) "Environment" 2014-2020;</w:t>
            </w:r>
          </w:p>
          <w:p w14:paraId="11802FA6" w14:textId="7F3D5471" w:rsidR="00B56687" w:rsidRPr="004B4914" w:rsidRDefault="002826E3" w:rsidP="00230037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ind w:left="234" w:hanging="18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Operational Programme "Transport"</w:t>
            </w:r>
            <w:r w:rsidR="00B56687"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(OP)</w:t>
            </w: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 xml:space="preserve"> 2014-2020  </w:t>
            </w:r>
          </w:p>
        </w:tc>
      </w:tr>
      <w:tr w:rsidR="005D3832" w:rsidRPr="004B4914" w14:paraId="772700A8" w14:textId="77777777" w:rsidTr="001A6422">
        <w:tc>
          <w:tcPr>
            <w:tcW w:w="1843" w:type="dxa"/>
            <w:shd w:val="clear" w:color="auto" w:fill="auto"/>
          </w:tcPr>
          <w:p w14:paraId="7C6E3EA9" w14:textId="1ED1D603" w:rsidR="005D3832" w:rsidRPr="004B4914" w:rsidRDefault="005D3832" w:rsidP="00765096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Planning of implementation</w:t>
            </w:r>
            <w:r w:rsidR="00765096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E786C8F" w14:textId="77777777" w:rsidR="00DC2C56" w:rsidRPr="004B4914" w:rsidRDefault="00DC2C56" w:rsidP="00DC2C5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22C4385" w14:textId="77777777" w:rsidR="00583D8D" w:rsidRPr="004B4914" w:rsidRDefault="00B56687" w:rsidP="00DC2C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2018</w:t>
            </w:r>
          </w:p>
        </w:tc>
      </w:tr>
      <w:tr w:rsidR="00AE6ACD" w:rsidRPr="00EC0BB9" w14:paraId="0D5F0D28" w14:textId="77777777" w:rsidTr="001A6422">
        <w:tc>
          <w:tcPr>
            <w:tcW w:w="1843" w:type="dxa"/>
            <w:shd w:val="clear" w:color="auto" w:fill="auto"/>
          </w:tcPr>
          <w:p w14:paraId="2E5127D8" w14:textId="77777777" w:rsidR="00AE6ACD" w:rsidRPr="004B4914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Difficulties in implementation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7A7248C8" w14:textId="6EDD6072" w:rsidR="00AE6ACD" w:rsidRPr="004B4914" w:rsidRDefault="00230037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sz w:val="20"/>
                <w:szCs w:val="20"/>
                <w:lang w:val="en-GB"/>
              </w:rPr>
              <w:t>Yes – Romania has not implemented BWM Convention;  lack of knowledge related to the pathways/vectors of NIS introduction, spread, etc.</w:t>
            </w:r>
          </w:p>
        </w:tc>
      </w:tr>
      <w:tr w:rsidR="005D3832" w:rsidRPr="004B4914" w14:paraId="1694FC5E" w14:textId="77777777" w:rsidTr="001A6422">
        <w:tc>
          <w:tcPr>
            <w:tcW w:w="9923" w:type="dxa"/>
            <w:gridSpan w:val="3"/>
            <w:shd w:val="clear" w:color="auto" w:fill="auto"/>
          </w:tcPr>
          <w:p w14:paraId="12886B9C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EC0BB9" w14:paraId="6B083448" w14:textId="77777777" w:rsidTr="001A6422">
        <w:tc>
          <w:tcPr>
            <w:tcW w:w="1843" w:type="dxa"/>
            <w:shd w:val="clear" w:color="auto" w:fill="auto"/>
          </w:tcPr>
          <w:p w14:paraId="6CA25A91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2B796443" w14:textId="0340356E" w:rsidR="005D3832" w:rsidRPr="004B4914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4B4914" w14:paraId="23A9B9B3" w14:textId="77777777" w:rsidTr="001A6422">
        <w:tc>
          <w:tcPr>
            <w:tcW w:w="1843" w:type="dxa"/>
            <w:shd w:val="clear" w:color="auto" w:fill="auto"/>
          </w:tcPr>
          <w:p w14:paraId="34CA951C" w14:textId="77777777" w:rsidR="005D3832" w:rsidRPr="004B4914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B4914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5AC71CD3" w14:textId="4BB1CE0A" w:rsidR="005D3832" w:rsidRPr="004B4914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4145C2D9" w14:textId="77777777" w:rsidR="005D3832" w:rsidRPr="004B4914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4B4914" w:rsidSect="00130EF9">
      <w:pgSz w:w="11906" w:h="16838"/>
      <w:pgMar w:top="1134" w:right="926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1B53" w14:textId="77777777" w:rsidR="00687D44" w:rsidRDefault="00687D44" w:rsidP="000F1AFE">
      <w:pPr>
        <w:spacing w:after="0" w:line="240" w:lineRule="auto"/>
      </w:pPr>
      <w:r>
        <w:separator/>
      </w:r>
    </w:p>
  </w:endnote>
  <w:endnote w:type="continuationSeparator" w:id="0">
    <w:p w14:paraId="74EE1D9F" w14:textId="77777777" w:rsidR="00687D44" w:rsidRDefault="00687D44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77C1" w14:textId="77777777" w:rsidR="00687D44" w:rsidRDefault="00687D44" w:rsidP="000F1AFE">
      <w:pPr>
        <w:spacing w:after="0" w:line="240" w:lineRule="auto"/>
      </w:pPr>
      <w:r>
        <w:separator/>
      </w:r>
    </w:p>
  </w:footnote>
  <w:footnote w:type="continuationSeparator" w:id="0">
    <w:p w14:paraId="10830318" w14:textId="77777777" w:rsidR="00687D44" w:rsidRDefault="00687D44" w:rsidP="000F1AFE">
      <w:pPr>
        <w:spacing w:after="0" w:line="240" w:lineRule="auto"/>
      </w:pPr>
      <w:r>
        <w:continuationSeparator/>
      </w:r>
    </w:p>
  </w:footnote>
  <w:footnote w:id="1">
    <w:p w14:paraId="213F71CF" w14:textId="5129B42C" w:rsidR="00082D48" w:rsidRPr="00082D48" w:rsidRDefault="00082D48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82D48">
        <w:rPr>
          <w:lang w:val="en-US"/>
        </w:rPr>
        <w:t xml:space="preserve"> </w:t>
      </w:r>
      <w:r w:rsidRPr="00082D48">
        <w:rPr>
          <w:sz w:val="18"/>
          <w:lang w:val="en-US"/>
        </w:rPr>
        <w:t>Extra control staff (inspectors) of Maritime administration: minimum 2 persons in Varna and 2 persons in Burgas. Extra f qualified staff in laboratories for the samples analysis: minimum 2 persons in Varna and 2 persons Burgas</w:t>
      </w:r>
    </w:p>
  </w:footnote>
  <w:footnote w:id="2">
    <w:p w14:paraId="4FE54AD5" w14:textId="2C0CD519" w:rsidR="005F339D" w:rsidRPr="005F339D" w:rsidRDefault="005F339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F339D">
        <w:rPr>
          <w:lang w:val="en-US"/>
        </w:rPr>
        <w:t xml:space="preserve"> </w:t>
      </w:r>
      <w:r w:rsidR="00082D48">
        <w:rPr>
          <w:sz w:val="18"/>
          <w:lang w:val="en-US"/>
        </w:rPr>
        <w:t>Applying the daily</w:t>
      </w:r>
      <w:r w:rsidRPr="005F339D">
        <w:rPr>
          <w:sz w:val="18"/>
          <w:lang w:val="en-US"/>
        </w:rPr>
        <w:t xml:space="preserve"> rate of 60€/h, multiplied by 2</w:t>
      </w:r>
      <w:r w:rsidR="00082D48">
        <w:rPr>
          <w:sz w:val="18"/>
          <w:lang w:val="en-US"/>
        </w:rPr>
        <w:t>0</w:t>
      </w:r>
      <w:r w:rsidRPr="005F339D">
        <w:rPr>
          <w:sz w:val="18"/>
          <w:lang w:val="en-US"/>
        </w:rPr>
        <w:t>0 working days per year</w:t>
      </w:r>
    </w:p>
  </w:footnote>
  <w:footnote w:id="3">
    <w:p w14:paraId="6D80E4D5" w14:textId="2E2E434B" w:rsidR="00082D48" w:rsidRPr="00082D48" w:rsidRDefault="00082D48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082D48">
        <w:rPr>
          <w:lang w:val="en-US"/>
        </w:rPr>
        <w:t xml:space="preserve"> </w:t>
      </w:r>
      <w:r w:rsidRPr="00082D48">
        <w:rPr>
          <w:sz w:val="18"/>
        </w:rPr>
        <w:t>М</w:t>
      </w:r>
      <w:r w:rsidRPr="00082D48">
        <w:rPr>
          <w:sz w:val="18"/>
          <w:lang w:val="en-US"/>
        </w:rPr>
        <w:t>aintenance costs for vessel inspection (fuel and repairs), maintenance of the analytical laboratory equipment (purchase of reagents, laboratory equipment, repair of old equipment) and for laboratory(ies) accreditation.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967"/>
    <w:multiLevelType w:val="hybridMultilevel"/>
    <w:tmpl w:val="1D860102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585A"/>
    <w:rsid w:val="000175F0"/>
    <w:rsid w:val="000406CF"/>
    <w:rsid w:val="0004092E"/>
    <w:rsid w:val="0004295D"/>
    <w:rsid w:val="00047DD6"/>
    <w:rsid w:val="00052448"/>
    <w:rsid w:val="00052584"/>
    <w:rsid w:val="00054FC6"/>
    <w:rsid w:val="00056915"/>
    <w:rsid w:val="00061B05"/>
    <w:rsid w:val="000628E0"/>
    <w:rsid w:val="000667E5"/>
    <w:rsid w:val="000670F4"/>
    <w:rsid w:val="00067DDE"/>
    <w:rsid w:val="00077B71"/>
    <w:rsid w:val="00082D48"/>
    <w:rsid w:val="00084912"/>
    <w:rsid w:val="00087DE7"/>
    <w:rsid w:val="00090BA0"/>
    <w:rsid w:val="00091E7D"/>
    <w:rsid w:val="00091F1D"/>
    <w:rsid w:val="00092F4A"/>
    <w:rsid w:val="000934DE"/>
    <w:rsid w:val="00094332"/>
    <w:rsid w:val="0009460E"/>
    <w:rsid w:val="0009487F"/>
    <w:rsid w:val="000A5794"/>
    <w:rsid w:val="000A6093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29A0"/>
    <w:rsid w:val="000F679D"/>
    <w:rsid w:val="000F7684"/>
    <w:rsid w:val="00100B8E"/>
    <w:rsid w:val="001032EA"/>
    <w:rsid w:val="0010440B"/>
    <w:rsid w:val="00110D65"/>
    <w:rsid w:val="00113400"/>
    <w:rsid w:val="001152E4"/>
    <w:rsid w:val="001160B9"/>
    <w:rsid w:val="00127705"/>
    <w:rsid w:val="0013003B"/>
    <w:rsid w:val="00130EF9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4B2"/>
    <w:rsid w:val="00151889"/>
    <w:rsid w:val="00152329"/>
    <w:rsid w:val="001561EF"/>
    <w:rsid w:val="00161ED5"/>
    <w:rsid w:val="00162CFD"/>
    <w:rsid w:val="001630A8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D7B"/>
    <w:rsid w:val="00177B83"/>
    <w:rsid w:val="00184D94"/>
    <w:rsid w:val="0018607B"/>
    <w:rsid w:val="00186246"/>
    <w:rsid w:val="001872C2"/>
    <w:rsid w:val="00191AA9"/>
    <w:rsid w:val="00194BF1"/>
    <w:rsid w:val="00194C40"/>
    <w:rsid w:val="001A3774"/>
    <w:rsid w:val="001A3C04"/>
    <w:rsid w:val="001A6422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3675"/>
    <w:rsid w:val="001C390E"/>
    <w:rsid w:val="001C4E7C"/>
    <w:rsid w:val="001C5D1F"/>
    <w:rsid w:val="001C62FD"/>
    <w:rsid w:val="001D0EB1"/>
    <w:rsid w:val="001D2777"/>
    <w:rsid w:val="001D530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6CC9"/>
    <w:rsid w:val="00207887"/>
    <w:rsid w:val="002101F3"/>
    <w:rsid w:val="00212289"/>
    <w:rsid w:val="00212A6E"/>
    <w:rsid w:val="00216F98"/>
    <w:rsid w:val="00220454"/>
    <w:rsid w:val="002223DF"/>
    <w:rsid w:val="002224C9"/>
    <w:rsid w:val="002241F8"/>
    <w:rsid w:val="00230037"/>
    <w:rsid w:val="002308EB"/>
    <w:rsid w:val="002337DF"/>
    <w:rsid w:val="00234F80"/>
    <w:rsid w:val="00235AA4"/>
    <w:rsid w:val="002429A7"/>
    <w:rsid w:val="00242CB1"/>
    <w:rsid w:val="00243342"/>
    <w:rsid w:val="00245DEF"/>
    <w:rsid w:val="00246242"/>
    <w:rsid w:val="002472FB"/>
    <w:rsid w:val="00247FA7"/>
    <w:rsid w:val="00250B4A"/>
    <w:rsid w:val="00252C83"/>
    <w:rsid w:val="00260166"/>
    <w:rsid w:val="00260EE6"/>
    <w:rsid w:val="00263591"/>
    <w:rsid w:val="00264112"/>
    <w:rsid w:val="0026494B"/>
    <w:rsid w:val="00265692"/>
    <w:rsid w:val="00265726"/>
    <w:rsid w:val="0027063E"/>
    <w:rsid w:val="002721F7"/>
    <w:rsid w:val="002826E3"/>
    <w:rsid w:val="002826FC"/>
    <w:rsid w:val="002867B5"/>
    <w:rsid w:val="0028680F"/>
    <w:rsid w:val="00287492"/>
    <w:rsid w:val="00290B2E"/>
    <w:rsid w:val="002930EF"/>
    <w:rsid w:val="002946A3"/>
    <w:rsid w:val="00297E12"/>
    <w:rsid w:val="002A7569"/>
    <w:rsid w:val="002A75EF"/>
    <w:rsid w:val="002A7D0A"/>
    <w:rsid w:val="002B2792"/>
    <w:rsid w:val="002B3E36"/>
    <w:rsid w:val="002B42A0"/>
    <w:rsid w:val="002B43D2"/>
    <w:rsid w:val="002B4A2A"/>
    <w:rsid w:val="002B5961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844"/>
    <w:rsid w:val="002E4AC2"/>
    <w:rsid w:val="002E6F8B"/>
    <w:rsid w:val="002F0887"/>
    <w:rsid w:val="002F1D56"/>
    <w:rsid w:val="002F20AC"/>
    <w:rsid w:val="00301E1A"/>
    <w:rsid w:val="00303184"/>
    <w:rsid w:val="00303BD6"/>
    <w:rsid w:val="00305EC7"/>
    <w:rsid w:val="00306801"/>
    <w:rsid w:val="00306F22"/>
    <w:rsid w:val="00310C9A"/>
    <w:rsid w:val="00316A74"/>
    <w:rsid w:val="00320258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1D5E"/>
    <w:rsid w:val="00353848"/>
    <w:rsid w:val="00356276"/>
    <w:rsid w:val="0036182D"/>
    <w:rsid w:val="003628F4"/>
    <w:rsid w:val="00367024"/>
    <w:rsid w:val="00367174"/>
    <w:rsid w:val="003673C3"/>
    <w:rsid w:val="0037025F"/>
    <w:rsid w:val="0037221E"/>
    <w:rsid w:val="00375A6D"/>
    <w:rsid w:val="00381731"/>
    <w:rsid w:val="00387904"/>
    <w:rsid w:val="00390CAA"/>
    <w:rsid w:val="00390FE2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C0318"/>
    <w:rsid w:val="003C3D18"/>
    <w:rsid w:val="003C7A1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2778"/>
    <w:rsid w:val="00422BCF"/>
    <w:rsid w:val="0042570F"/>
    <w:rsid w:val="004259BA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67B87"/>
    <w:rsid w:val="00473667"/>
    <w:rsid w:val="00473F86"/>
    <w:rsid w:val="00474682"/>
    <w:rsid w:val="0047784F"/>
    <w:rsid w:val="0048230A"/>
    <w:rsid w:val="00483F1F"/>
    <w:rsid w:val="00491998"/>
    <w:rsid w:val="004919B0"/>
    <w:rsid w:val="00495037"/>
    <w:rsid w:val="00495FC3"/>
    <w:rsid w:val="004A0337"/>
    <w:rsid w:val="004A4B05"/>
    <w:rsid w:val="004A708B"/>
    <w:rsid w:val="004B29D2"/>
    <w:rsid w:val="004B2B0F"/>
    <w:rsid w:val="004B3C91"/>
    <w:rsid w:val="004B4914"/>
    <w:rsid w:val="004B6CB6"/>
    <w:rsid w:val="004C0C29"/>
    <w:rsid w:val="004C3616"/>
    <w:rsid w:val="004C536D"/>
    <w:rsid w:val="004D3AE8"/>
    <w:rsid w:val="004D621C"/>
    <w:rsid w:val="004E1BB3"/>
    <w:rsid w:val="004E1DE7"/>
    <w:rsid w:val="004E3E2D"/>
    <w:rsid w:val="004E4169"/>
    <w:rsid w:val="004E6790"/>
    <w:rsid w:val="004E6D9D"/>
    <w:rsid w:val="004F1B7B"/>
    <w:rsid w:val="004F1F5F"/>
    <w:rsid w:val="004F5028"/>
    <w:rsid w:val="004F771D"/>
    <w:rsid w:val="004F78D9"/>
    <w:rsid w:val="00502D3F"/>
    <w:rsid w:val="00504C98"/>
    <w:rsid w:val="005142C5"/>
    <w:rsid w:val="00514BBD"/>
    <w:rsid w:val="00523F54"/>
    <w:rsid w:val="00525BC2"/>
    <w:rsid w:val="00527711"/>
    <w:rsid w:val="00527CB9"/>
    <w:rsid w:val="00545E80"/>
    <w:rsid w:val="00551404"/>
    <w:rsid w:val="00554A8A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2279"/>
    <w:rsid w:val="005B385A"/>
    <w:rsid w:val="005B728C"/>
    <w:rsid w:val="005B7941"/>
    <w:rsid w:val="005C55AE"/>
    <w:rsid w:val="005C7FFD"/>
    <w:rsid w:val="005D048F"/>
    <w:rsid w:val="005D2263"/>
    <w:rsid w:val="005D3832"/>
    <w:rsid w:val="005E0A97"/>
    <w:rsid w:val="005E2FA0"/>
    <w:rsid w:val="005E6FCE"/>
    <w:rsid w:val="005E7153"/>
    <w:rsid w:val="005F027D"/>
    <w:rsid w:val="005F08F0"/>
    <w:rsid w:val="005F339D"/>
    <w:rsid w:val="005F3D76"/>
    <w:rsid w:val="005F51CE"/>
    <w:rsid w:val="005F6D03"/>
    <w:rsid w:val="005F71FE"/>
    <w:rsid w:val="006001D9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799"/>
    <w:rsid w:val="00635C2A"/>
    <w:rsid w:val="006371C1"/>
    <w:rsid w:val="006420D9"/>
    <w:rsid w:val="0064381E"/>
    <w:rsid w:val="0065119B"/>
    <w:rsid w:val="006528C0"/>
    <w:rsid w:val="00654DD8"/>
    <w:rsid w:val="00655988"/>
    <w:rsid w:val="00656745"/>
    <w:rsid w:val="0066262D"/>
    <w:rsid w:val="00663774"/>
    <w:rsid w:val="00663CE9"/>
    <w:rsid w:val="00663E1D"/>
    <w:rsid w:val="006670B8"/>
    <w:rsid w:val="00672E77"/>
    <w:rsid w:val="00677FB9"/>
    <w:rsid w:val="0068238C"/>
    <w:rsid w:val="006838F1"/>
    <w:rsid w:val="00686511"/>
    <w:rsid w:val="00687D44"/>
    <w:rsid w:val="00687FA0"/>
    <w:rsid w:val="006911C3"/>
    <w:rsid w:val="0069221D"/>
    <w:rsid w:val="006968C0"/>
    <w:rsid w:val="006975A0"/>
    <w:rsid w:val="006B1D39"/>
    <w:rsid w:val="006B3046"/>
    <w:rsid w:val="006B4BCC"/>
    <w:rsid w:val="006B4D52"/>
    <w:rsid w:val="006B5124"/>
    <w:rsid w:val="006C059B"/>
    <w:rsid w:val="006C33B6"/>
    <w:rsid w:val="006C5C89"/>
    <w:rsid w:val="006D379F"/>
    <w:rsid w:val="006D4D5C"/>
    <w:rsid w:val="006E02A6"/>
    <w:rsid w:val="006E3C7E"/>
    <w:rsid w:val="006E56FC"/>
    <w:rsid w:val="006E5FC3"/>
    <w:rsid w:val="006E6D04"/>
    <w:rsid w:val="006F1570"/>
    <w:rsid w:val="006F1A8A"/>
    <w:rsid w:val="006F312C"/>
    <w:rsid w:val="006F349E"/>
    <w:rsid w:val="006F4905"/>
    <w:rsid w:val="006F57E6"/>
    <w:rsid w:val="006F6173"/>
    <w:rsid w:val="006F6781"/>
    <w:rsid w:val="006F746F"/>
    <w:rsid w:val="006F7A55"/>
    <w:rsid w:val="00700646"/>
    <w:rsid w:val="007018E6"/>
    <w:rsid w:val="0070272D"/>
    <w:rsid w:val="00703BC3"/>
    <w:rsid w:val="00704364"/>
    <w:rsid w:val="00710118"/>
    <w:rsid w:val="007117EB"/>
    <w:rsid w:val="007146AF"/>
    <w:rsid w:val="0071772A"/>
    <w:rsid w:val="00720833"/>
    <w:rsid w:val="00721A91"/>
    <w:rsid w:val="00723749"/>
    <w:rsid w:val="00723AF5"/>
    <w:rsid w:val="00730BC3"/>
    <w:rsid w:val="00732D32"/>
    <w:rsid w:val="00734E9B"/>
    <w:rsid w:val="00736CFA"/>
    <w:rsid w:val="007422F2"/>
    <w:rsid w:val="007424AA"/>
    <w:rsid w:val="00744B19"/>
    <w:rsid w:val="00744CCA"/>
    <w:rsid w:val="00746B1B"/>
    <w:rsid w:val="0075242A"/>
    <w:rsid w:val="007525E9"/>
    <w:rsid w:val="0075501F"/>
    <w:rsid w:val="0076271D"/>
    <w:rsid w:val="00765096"/>
    <w:rsid w:val="00765FB5"/>
    <w:rsid w:val="00772FED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B132D"/>
    <w:rsid w:val="007B27F6"/>
    <w:rsid w:val="007B29BD"/>
    <w:rsid w:val="007B58DD"/>
    <w:rsid w:val="007B59A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1B9C"/>
    <w:rsid w:val="007F1F1C"/>
    <w:rsid w:val="007F6F58"/>
    <w:rsid w:val="00800197"/>
    <w:rsid w:val="00800E45"/>
    <w:rsid w:val="008048A2"/>
    <w:rsid w:val="00805052"/>
    <w:rsid w:val="00805903"/>
    <w:rsid w:val="008124A5"/>
    <w:rsid w:val="00812B1F"/>
    <w:rsid w:val="00812F51"/>
    <w:rsid w:val="0081440B"/>
    <w:rsid w:val="008172A1"/>
    <w:rsid w:val="00821562"/>
    <w:rsid w:val="00822FA9"/>
    <w:rsid w:val="0082414F"/>
    <w:rsid w:val="00825EA1"/>
    <w:rsid w:val="0083020C"/>
    <w:rsid w:val="00836529"/>
    <w:rsid w:val="00836D07"/>
    <w:rsid w:val="0084551E"/>
    <w:rsid w:val="00846093"/>
    <w:rsid w:val="00860AC5"/>
    <w:rsid w:val="00860B26"/>
    <w:rsid w:val="00864E91"/>
    <w:rsid w:val="00872647"/>
    <w:rsid w:val="0087437C"/>
    <w:rsid w:val="00876F35"/>
    <w:rsid w:val="008811BD"/>
    <w:rsid w:val="00881BB4"/>
    <w:rsid w:val="008826DF"/>
    <w:rsid w:val="00884705"/>
    <w:rsid w:val="00885FE6"/>
    <w:rsid w:val="00886EC0"/>
    <w:rsid w:val="00890AF0"/>
    <w:rsid w:val="008A2446"/>
    <w:rsid w:val="008A4131"/>
    <w:rsid w:val="008A501C"/>
    <w:rsid w:val="008B22A5"/>
    <w:rsid w:val="008B3674"/>
    <w:rsid w:val="008B5C33"/>
    <w:rsid w:val="008B6EA3"/>
    <w:rsid w:val="008C034F"/>
    <w:rsid w:val="008C0B00"/>
    <w:rsid w:val="008C1A47"/>
    <w:rsid w:val="008C4674"/>
    <w:rsid w:val="008C63FB"/>
    <w:rsid w:val="008C7A06"/>
    <w:rsid w:val="008C7F6E"/>
    <w:rsid w:val="008D102E"/>
    <w:rsid w:val="008D1929"/>
    <w:rsid w:val="008D1A7B"/>
    <w:rsid w:val="008D422D"/>
    <w:rsid w:val="008D49BA"/>
    <w:rsid w:val="008D6039"/>
    <w:rsid w:val="008E1496"/>
    <w:rsid w:val="008E2522"/>
    <w:rsid w:val="008E2798"/>
    <w:rsid w:val="008E460E"/>
    <w:rsid w:val="008E69C8"/>
    <w:rsid w:val="008F05EA"/>
    <w:rsid w:val="008F1FCC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0E28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48DC"/>
    <w:rsid w:val="0098557B"/>
    <w:rsid w:val="0098582F"/>
    <w:rsid w:val="00985A1C"/>
    <w:rsid w:val="009900C4"/>
    <w:rsid w:val="00990ADE"/>
    <w:rsid w:val="0099615E"/>
    <w:rsid w:val="00997F57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EED"/>
    <w:rsid w:val="009E2D0D"/>
    <w:rsid w:val="009E3BD6"/>
    <w:rsid w:val="009F2430"/>
    <w:rsid w:val="009F3DAA"/>
    <w:rsid w:val="009F64BD"/>
    <w:rsid w:val="00A01053"/>
    <w:rsid w:val="00A01A8D"/>
    <w:rsid w:val="00A01EEB"/>
    <w:rsid w:val="00A126CF"/>
    <w:rsid w:val="00A1349B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61FDD"/>
    <w:rsid w:val="00A6239B"/>
    <w:rsid w:val="00A62737"/>
    <w:rsid w:val="00A654B8"/>
    <w:rsid w:val="00A656F0"/>
    <w:rsid w:val="00A6610B"/>
    <w:rsid w:val="00A72CE4"/>
    <w:rsid w:val="00A73322"/>
    <w:rsid w:val="00A77FF8"/>
    <w:rsid w:val="00A850D1"/>
    <w:rsid w:val="00A85B73"/>
    <w:rsid w:val="00A90D72"/>
    <w:rsid w:val="00A91AB4"/>
    <w:rsid w:val="00A97215"/>
    <w:rsid w:val="00AA46DA"/>
    <w:rsid w:val="00AA6C4F"/>
    <w:rsid w:val="00AB089B"/>
    <w:rsid w:val="00AB152C"/>
    <w:rsid w:val="00AB6320"/>
    <w:rsid w:val="00AB77EC"/>
    <w:rsid w:val="00AC24FC"/>
    <w:rsid w:val="00AC531F"/>
    <w:rsid w:val="00AC6A79"/>
    <w:rsid w:val="00AD1EBA"/>
    <w:rsid w:val="00AE0763"/>
    <w:rsid w:val="00AE6ACD"/>
    <w:rsid w:val="00AF017F"/>
    <w:rsid w:val="00AF1E4F"/>
    <w:rsid w:val="00AF2277"/>
    <w:rsid w:val="00AF411B"/>
    <w:rsid w:val="00AF66BF"/>
    <w:rsid w:val="00B020CE"/>
    <w:rsid w:val="00B06551"/>
    <w:rsid w:val="00B07856"/>
    <w:rsid w:val="00B134F3"/>
    <w:rsid w:val="00B15430"/>
    <w:rsid w:val="00B15DD9"/>
    <w:rsid w:val="00B1731E"/>
    <w:rsid w:val="00B22558"/>
    <w:rsid w:val="00B24394"/>
    <w:rsid w:val="00B35B1D"/>
    <w:rsid w:val="00B375B4"/>
    <w:rsid w:val="00B37CC6"/>
    <w:rsid w:val="00B46620"/>
    <w:rsid w:val="00B50DCD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6687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AD7"/>
    <w:rsid w:val="00BA14B6"/>
    <w:rsid w:val="00BA1AFE"/>
    <w:rsid w:val="00BA310A"/>
    <w:rsid w:val="00BB29F7"/>
    <w:rsid w:val="00BB3FFC"/>
    <w:rsid w:val="00BB65E6"/>
    <w:rsid w:val="00BC26A0"/>
    <w:rsid w:val="00BC47B9"/>
    <w:rsid w:val="00BC6361"/>
    <w:rsid w:val="00BC7F23"/>
    <w:rsid w:val="00BD005F"/>
    <w:rsid w:val="00BD19F3"/>
    <w:rsid w:val="00BD3730"/>
    <w:rsid w:val="00BD49A0"/>
    <w:rsid w:val="00BD71E8"/>
    <w:rsid w:val="00BE2F25"/>
    <w:rsid w:val="00BE32D9"/>
    <w:rsid w:val="00BE7C09"/>
    <w:rsid w:val="00BF4518"/>
    <w:rsid w:val="00BF6BD1"/>
    <w:rsid w:val="00C039EB"/>
    <w:rsid w:val="00C04A93"/>
    <w:rsid w:val="00C05665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0AE3"/>
    <w:rsid w:val="00C41E75"/>
    <w:rsid w:val="00C45EBE"/>
    <w:rsid w:val="00C461FA"/>
    <w:rsid w:val="00C4727E"/>
    <w:rsid w:val="00C504CC"/>
    <w:rsid w:val="00C508FF"/>
    <w:rsid w:val="00C552D2"/>
    <w:rsid w:val="00C55D05"/>
    <w:rsid w:val="00C579B5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4180"/>
    <w:rsid w:val="00C956A2"/>
    <w:rsid w:val="00CA41ED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1EB5"/>
    <w:rsid w:val="00CE353C"/>
    <w:rsid w:val="00CE5DE7"/>
    <w:rsid w:val="00CF31AF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1637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42B1F"/>
    <w:rsid w:val="00D4336B"/>
    <w:rsid w:val="00D45CB3"/>
    <w:rsid w:val="00D54DBB"/>
    <w:rsid w:val="00D55D97"/>
    <w:rsid w:val="00D56D64"/>
    <w:rsid w:val="00D57542"/>
    <w:rsid w:val="00D600B6"/>
    <w:rsid w:val="00D61425"/>
    <w:rsid w:val="00D639B0"/>
    <w:rsid w:val="00D647E2"/>
    <w:rsid w:val="00D65DFD"/>
    <w:rsid w:val="00D67874"/>
    <w:rsid w:val="00D67C26"/>
    <w:rsid w:val="00D70C16"/>
    <w:rsid w:val="00D71697"/>
    <w:rsid w:val="00D750B5"/>
    <w:rsid w:val="00D8328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891"/>
    <w:rsid w:val="00DB72AB"/>
    <w:rsid w:val="00DC1AA5"/>
    <w:rsid w:val="00DC2589"/>
    <w:rsid w:val="00DC2A0C"/>
    <w:rsid w:val="00DC2C56"/>
    <w:rsid w:val="00DC45BA"/>
    <w:rsid w:val="00DC6982"/>
    <w:rsid w:val="00DD202B"/>
    <w:rsid w:val="00DD3AA4"/>
    <w:rsid w:val="00DD5877"/>
    <w:rsid w:val="00DD6E93"/>
    <w:rsid w:val="00DE1BB1"/>
    <w:rsid w:val="00DE55BD"/>
    <w:rsid w:val="00DE55F9"/>
    <w:rsid w:val="00DE679A"/>
    <w:rsid w:val="00DE7CF7"/>
    <w:rsid w:val="00DF3398"/>
    <w:rsid w:val="00DF3AFE"/>
    <w:rsid w:val="00DF6A9C"/>
    <w:rsid w:val="00E01E76"/>
    <w:rsid w:val="00E04D16"/>
    <w:rsid w:val="00E12F1C"/>
    <w:rsid w:val="00E14374"/>
    <w:rsid w:val="00E14844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32BC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62A"/>
    <w:rsid w:val="00EA5FF2"/>
    <w:rsid w:val="00EA78F6"/>
    <w:rsid w:val="00EC035A"/>
    <w:rsid w:val="00EC0577"/>
    <w:rsid w:val="00EC0BB9"/>
    <w:rsid w:val="00EC1817"/>
    <w:rsid w:val="00EC499A"/>
    <w:rsid w:val="00EC6621"/>
    <w:rsid w:val="00ED1EB9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72BD"/>
    <w:rsid w:val="00F035A8"/>
    <w:rsid w:val="00F0361B"/>
    <w:rsid w:val="00F0445A"/>
    <w:rsid w:val="00F118D3"/>
    <w:rsid w:val="00F12420"/>
    <w:rsid w:val="00F13BC5"/>
    <w:rsid w:val="00F166AC"/>
    <w:rsid w:val="00F208ED"/>
    <w:rsid w:val="00F22A00"/>
    <w:rsid w:val="00F246DD"/>
    <w:rsid w:val="00F25A3B"/>
    <w:rsid w:val="00F25E58"/>
    <w:rsid w:val="00F2727B"/>
    <w:rsid w:val="00F36FC2"/>
    <w:rsid w:val="00F4549D"/>
    <w:rsid w:val="00F47247"/>
    <w:rsid w:val="00F51FB1"/>
    <w:rsid w:val="00F5299E"/>
    <w:rsid w:val="00F60845"/>
    <w:rsid w:val="00F609EA"/>
    <w:rsid w:val="00F62316"/>
    <w:rsid w:val="00F66F7A"/>
    <w:rsid w:val="00F7061C"/>
    <w:rsid w:val="00F7653F"/>
    <w:rsid w:val="00F76D0F"/>
    <w:rsid w:val="00F8078A"/>
    <w:rsid w:val="00F83DDA"/>
    <w:rsid w:val="00F85EC5"/>
    <w:rsid w:val="00F9070C"/>
    <w:rsid w:val="00F908D3"/>
    <w:rsid w:val="00F91526"/>
    <w:rsid w:val="00F95051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0D18"/>
    <w:rsid w:val="00FC2055"/>
    <w:rsid w:val="00FC2D14"/>
    <w:rsid w:val="00FC40EF"/>
    <w:rsid w:val="00FC4746"/>
    <w:rsid w:val="00FC55E9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2B6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5BAA"/>
  <w15:docId w15:val="{25D1533F-BC16-4427-949D-3CF5380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85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  <w:style w:type="paragraph" w:styleId="Plattetekst">
    <w:name w:val="Body Text"/>
    <w:basedOn w:val="Standaard"/>
    <w:link w:val="PlattetekstChar"/>
    <w:rsid w:val="00184D94"/>
    <w:pPr>
      <w:spacing w:after="120"/>
    </w:pPr>
    <w:rPr>
      <w:rFonts w:ascii="Calibri" w:eastAsia="Times New Roman" w:hAnsi="Calibri" w:cs="Arial Unicode MS"/>
      <w:lang w:val="da-DK"/>
    </w:rPr>
  </w:style>
  <w:style w:type="character" w:customStyle="1" w:styleId="PlattetekstChar">
    <w:name w:val="Platte tekst Char"/>
    <w:basedOn w:val="Standaardalinea-lettertype"/>
    <w:link w:val="Plattetekst"/>
    <w:rsid w:val="00184D94"/>
    <w:rPr>
      <w:rFonts w:ascii="Calibri" w:eastAsia="Times New Roman" w:hAnsi="Calibri" w:cs="Arial Unicode MS"/>
      <w:lang w:val="da-DK"/>
    </w:rPr>
  </w:style>
  <w:style w:type="paragraph" w:customStyle="1" w:styleId="Standard">
    <w:name w:val="Standard"/>
    <w:rsid w:val="00184D94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val="en-US" w:bidi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85B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E078-2435-4539-B079-1DBCC782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ARCADIS Belgium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3</cp:revision>
  <dcterms:created xsi:type="dcterms:W3CDTF">2015-12-16T19:59:00Z</dcterms:created>
  <dcterms:modified xsi:type="dcterms:W3CDTF">2015-12-16T20:09:00Z</dcterms:modified>
</cp:coreProperties>
</file>