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3F" w:rsidRPr="0076449B" w:rsidRDefault="005D3832" w:rsidP="00583D8D">
      <w:pPr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 w:rsidRPr="0076449B">
        <w:rPr>
          <w:rFonts w:ascii="Arial" w:hAnsi="Arial" w:cs="Arial"/>
          <w:b/>
          <w:sz w:val="20"/>
          <w:szCs w:val="20"/>
          <w:lang w:val="en-GB"/>
        </w:rPr>
        <w:t>Factsheet</w:t>
      </w:r>
      <w:r w:rsidR="00663774" w:rsidRPr="0076449B">
        <w:rPr>
          <w:rFonts w:ascii="Arial" w:hAnsi="Arial" w:cs="Arial"/>
          <w:b/>
          <w:sz w:val="20"/>
          <w:szCs w:val="20"/>
          <w:lang w:val="en-GB"/>
        </w:rPr>
        <w:t xml:space="preserve"> for new measures</w:t>
      </w:r>
    </w:p>
    <w:p w:rsidR="00687FA0" w:rsidRPr="0076449B" w:rsidRDefault="0042570F" w:rsidP="00583D8D">
      <w:pPr>
        <w:rPr>
          <w:rFonts w:ascii="Arial" w:hAnsi="Arial" w:cs="Arial"/>
          <w:i/>
          <w:sz w:val="20"/>
          <w:szCs w:val="20"/>
          <w:lang w:val="en-GB"/>
        </w:rPr>
      </w:pPr>
      <w:r w:rsidRPr="0076449B">
        <w:rPr>
          <w:rFonts w:ascii="Arial" w:hAnsi="Arial" w:cs="Arial"/>
          <w:i/>
          <w:sz w:val="20"/>
          <w:szCs w:val="20"/>
          <w:lang w:val="en-GB"/>
        </w:rPr>
        <w:t>This measure fact sheet is the result of coordination between the UBA project Implementation of the Marine Strategy Framework Directive (MSFD) in Bulgaria – Development of Programmes of Measures under Article 13', carried out by Fresh Thoughts/Intersus, and the EC project (DG Environment) 'Technical and administrative support for the joint implementation of the Marine Strategy Framework Directive (MSFD) in Bulgaria and Romania – Phase 2', carried out by ARCADIS-Belgium.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837"/>
        <w:gridCol w:w="2852"/>
      </w:tblGrid>
      <w:tr w:rsidR="0076449B" w:rsidRPr="0076449B" w:rsidTr="0076449B">
        <w:trPr>
          <w:tblHeader/>
        </w:trPr>
        <w:tc>
          <w:tcPr>
            <w:tcW w:w="2376" w:type="dxa"/>
            <w:shd w:val="clear" w:color="auto" w:fill="1F497D" w:themeFill="text2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Measure characteristics </w:t>
            </w:r>
          </w:p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837" w:type="dxa"/>
            <w:shd w:val="clear" w:color="auto" w:fill="1F497D" w:themeFill="text2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Management area:</w:t>
            </w:r>
          </w:p>
          <w:p w:rsidR="005D3832" w:rsidRPr="0076449B" w:rsidRDefault="00C363D9" w:rsidP="005D3832">
            <w:pPr>
              <w:numPr>
                <w:ilvl w:val="0"/>
                <w:numId w:val="2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Black Sea</w:t>
            </w:r>
          </w:p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</w:p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Any other codes</w:t>
            </w:r>
          </w:p>
        </w:tc>
        <w:tc>
          <w:tcPr>
            <w:tcW w:w="2852" w:type="dxa"/>
            <w:shd w:val="clear" w:color="auto" w:fill="1F497D" w:themeFill="text2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Code:</w:t>
            </w:r>
          </w:p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MSFD reporting code</w:t>
            </w:r>
          </w:p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No. of measure:</w:t>
            </w:r>
          </w:p>
          <w:p w:rsidR="005D3832" w:rsidRPr="0076449B" w:rsidRDefault="009F6E18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15</w:t>
            </w:r>
          </w:p>
        </w:tc>
      </w:tr>
      <w:tr w:rsidR="005D3832" w:rsidRPr="0076449B" w:rsidTr="00B504C3">
        <w:tc>
          <w:tcPr>
            <w:tcW w:w="2376" w:type="dxa"/>
            <w:shd w:val="clear" w:color="auto" w:fill="auto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Measure title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B504C3" w:rsidRPr="0076449B" w:rsidRDefault="006001D9" w:rsidP="008776DE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Creating </w:t>
            </w:r>
            <w:r w:rsidR="00B504C3" w:rsidRPr="0076449B">
              <w:rPr>
                <w:rFonts w:ascii="Arial" w:hAnsi="Arial" w:cs="Arial"/>
                <w:sz w:val="20"/>
                <w:szCs w:val="20"/>
                <w:lang w:val="en-GB"/>
              </w:rPr>
              <w:t>coherent and representative networks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 of marine protected areas that includes MPA's in both RO and BG, including management plans. </w:t>
            </w:r>
            <w:r w:rsidR="008776DE"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Enhanced </w:t>
            </w:r>
            <w:r w:rsidR="008776DE" w:rsidRPr="0076449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</w:t>
            </w:r>
            <w:r w:rsidRPr="0076449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ontrol o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f regulated activities within MPAs</w:t>
            </w:r>
            <w:r w:rsidR="00B504C3" w:rsidRPr="0076449B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</w:tr>
      <w:tr w:rsidR="00AF66BF" w:rsidRPr="00C16A57" w:rsidTr="00B504C3">
        <w:tc>
          <w:tcPr>
            <w:tcW w:w="2376" w:type="dxa"/>
            <w:shd w:val="clear" w:color="auto" w:fill="auto"/>
          </w:tcPr>
          <w:p w:rsidR="00AF66BF" w:rsidRPr="0076449B" w:rsidRDefault="00AF66BF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Short, precise description of the measure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C36783" w:rsidRPr="00A5235C" w:rsidRDefault="006001D9" w:rsidP="00C367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The measure </w:t>
            </w:r>
            <w:r w:rsidR="009F6E18"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will be developed jointly between Bulgaria and Romania </w:t>
            </w:r>
            <w:r w:rsidR="00C36783" w:rsidRPr="00A5235C">
              <w:rPr>
                <w:rFonts w:ascii="Arial" w:hAnsi="Arial" w:cs="Arial"/>
                <w:sz w:val="20"/>
                <w:szCs w:val="20"/>
                <w:lang w:val="en-US"/>
              </w:rPr>
              <w:t xml:space="preserve">in the scope of </w:t>
            </w:r>
            <w:r w:rsidR="00C36783" w:rsidRPr="00A5235C">
              <w:rPr>
                <w:rFonts w:ascii="Arial" w:hAnsi="Arial" w:cs="Arial"/>
                <w:sz w:val="20"/>
                <w:szCs w:val="20"/>
                <w:lang w:val="en-GB"/>
              </w:rPr>
              <w:t>EC project (DG Environment) “Technical and administrative support for the joint implementation of the Marine Strategy Framework Directive (MSFD) in Bulgaria and Romania – Phase 2”</w:t>
            </w:r>
            <w:r w:rsidR="00C36783" w:rsidRPr="00A5235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9F6E18" w:rsidRPr="0076449B" w:rsidRDefault="00C36783" w:rsidP="006001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measure </w:t>
            </w:r>
            <w:r w:rsidR="006001D9" w:rsidRPr="0076449B">
              <w:rPr>
                <w:rFonts w:ascii="Arial" w:hAnsi="Arial" w:cs="Arial"/>
                <w:sz w:val="20"/>
                <w:szCs w:val="20"/>
                <w:lang w:val="en-GB"/>
              </w:rPr>
              <w:t>points towards creating a common/combined</w:t>
            </w:r>
            <w:r w:rsidR="009F6E18"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6001D9"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 coherent and representative network of MPA's across BG and RO EE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Z</w:t>
            </w:r>
            <w:r w:rsidR="006001D9"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's. 'Coherent' and 'Representative' refers to Article 13 of the MSFD. Coherence could mean that there should be a connection between the physical environment (winds, currents) and the habitats. 'Representative' could mean that all types of important habitats are protected. Both offshore and coastal habitats should be included. </w:t>
            </w:r>
            <w:r w:rsidR="009F6E18" w:rsidRPr="0076449B">
              <w:rPr>
                <w:rFonts w:ascii="Arial" w:hAnsi="Arial" w:cs="Arial"/>
                <w:sz w:val="20"/>
                <w:szCs w:val="20"/>
                <w:lang w:val="en-GB"/>
              </w:rPr>
              <w:t>The measure  aim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9F6E18"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 to improve the marine environment and enhance the control of regulated activities which potentially affect MPAs ecosystems.</w:t>
            </w:r>
          </w:p>
          <w:p w:rsidR="009F6E18" w:rsidRDefault="006001D9" w:rsidP="006001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A working group should set up the criteria for defining the network and recommend actions to complete the network. </w:t>
            </w:r>
          </w:p>
          <w:p w:rsidR="004744F1" w:rsidRPr="004744F1" w:rsidRDefault="004744F1" w:rsidP="004744F1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measure required the following actions:</w:t>
            </w:r>
          </w:p>
          <w:p w:rsidR="009F6E18" w:rsidRPr="0076449B" w:rsidRDefault="003B5622" w:rsidP="006001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9F6E18" w:rsidRPr="0076449B">
              <w:rPr>
                <w:rFonts w:ascii="Arial" w:hAnsi="Arial" w:cs="Arial"/>
                <w:sz w:val="20"/>
                <w:szCs w:val="20"/>
                <w:lang w:val="en-GB"/>
              </w:rPr>
              <w:t>.1</w:t>
            </w:r>
            <w:r w:rsidR="006001D9"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 Investigate current MPA distribution, coherence and </w:t>
            </w:r>
            <w:r w:rsidR="00143FF5" w:rsidRPr="0076449B">
              <w:rPr>
                <w:rFonts w:ascii="Arial" w:hAnsi="Arial" w:cs="Arial"/>
                <w:sz w:val="20"/>
                <w:szCs w:val="20"/>
                <w:lang w:val="en-GB"/>
              </w:rPr>
              <w:t>representatively</w:t>
            </w:r>
            <w:r w:rsidR="006001D9"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 for combined BG/RO EEZ's</w:t>
            </w:r>
          </w:p>
          <w:p w:rsidR="006001D9" w:rsidRPr="0076449B" w:rsidRDefault="003B5622" w:rsidP="006001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9F6E18" w:rsidRPr="0076449B">
              <w:rPr>
                <w:rFonts w:ascii="Arial" w:hAnsi="Arial" w:cs="Arial"/>
                <w:sz w:val="20"/>
                <w:szCs w:val="20"/>
                <w:lang w:val="en-GB"/>
              </w:rPr>
              <w:t>.2</w:t>
            </w:r>
            <w:r w:rsidR="006001D9"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 Potentially designating new "missing" MPA's</w:t>
            </w:r>
          </w:p>
          <w:p w:rsidR="009F6E18" w:rsidRPr="0076449B" w:rsidRDefault="009F6E18" w:rsidP="009F6E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B5622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.3</w:t>
            </w:r>
            <w:r w:rsidR="006001D9"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 Drafting management plans (stepwise) </w:t>
            </w:r>
          </w:p>
          <w:p w:rsidR="00AF66BF" w:rsidRPr="0076449B" w:rsidRDefault="009F6E18" w:rsidP="003B56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B5622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.4</w:t>
            </w:r>
            <w:r w:rsidR="006001D9"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 Control of regulated activities within or near MPAs</w:t>
            </w:r>
          </w:p>
        </w:tc>
      </w:tr>
      <w:tr w:rsidR="009D45F8" w:rsidRPr="0076449B" w:rsidTr="00B504C3">
        <w:tc>
          <w:tcPr>
            <w:tcW w:w="2376" w:type="dxa"/>
            <w:shd w:val="clear" w:color="auto" w:fill="auto"/>
          </w:tcPr>
          <w:p w:rsidR="009D45F8" w:rsidRPr="0076449B" w:rsidRDefault="009D45F8" w:rsidP="00664B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EU measure category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9D45F8" w:rsidRPr="0076449B" w:rsidRDefault="003C156B" w:rsidP="003C1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2a</w:t>
            </w:r>
          </w:p>
        </w:tc>
      </w:tr>
      <w:tr w:rsidR="005D3832" w:rsidRPr="00C16A57" w:rsidTr="00B504C3">
        <w:tc>
          <w:tcPr>
            <w:tcW w:w="2376" w:type="dxa"/>
            <w:shd w:val="clear" w:color="auto" w:fill="auto"/>
          </w:tcPr>
          <w:p w:rsidR="005D3832" w:rsidRPr="0076449B" w:rsidRDefault="000F1AFE" w:rsidP="000F1A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Key Types of Measures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US"/>
              </w:rPr>
              <w:t>KTM 14 Research, improvement of knowledge base reducing uncertainty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US"/>
              </w:rPr>
              <w:t>KTM 19 Measures to prevent or control the adverse impacts of recreation including angling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US"/>
              </w:rPr>
              <w:t>KTM 20 Measures to prevent or control the adverse impacts of fishing and other exploitation/removal of animal and plants</w:t>
            </w:r>
          </w:p>
          <w:p w:rsidR="000F1AFE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US"/>
              </w:rPr>
              <w:t>KTM 37 Measures to restore and conserve marine ecosystems, including habitats and species</w:t>
            </w:r>
          </w:p>
        </w:tc>
      </w:tr>
      <w:tr w:rsidR="005D3832" w:rsidRPr="00C16A57" w:rsidTr="00B504C3">
        <w:trPr>
          <w:trHeight w:val="489"/>
        </w:trPr>
        <w:tc>
          <w:tcPr>
            <w:tcW w:w="2376" w:type="dxa"/>
            <w:shd w:val="clear" w:color="auto" w:fill="auto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Environmental targets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9F6E18" w:rsidRPr="004744F1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44F1">
              <w:rPr>
                <w:rFonts w:ascii="Arial" w:hAnsi="Arial" w:cs="Arial"/>
                <w:sz w:val="20"/>
                <w:szCs w:val="20"/>
                <w:lang w:val="en-GB"/>
              </w:rPr>
              <w:t>Biodiversity – Fish</w:t>
            </w:r>
          </w:p>
          <w:p w:rsidR="004744F1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44F1">
              <w:rPr>
                <w:rFonts w:ascii="Arial" w:hAnsi="Arial" w:cs="Arial"/>
                <w:sz w:val="20"/>
                <w:szCs w:val="20"/>
                <w:lang w:val="en-GB"/>
              </w:rPr>
              <w:t xml:space="preserve">RO </w:t>
            </w:r>
          </w:p>
          <w:p w:rsidR="001C0912" w:rsidRDefault="001C0912" w:rsidP="009F6E18">
            <w:pPr>
              <w:spacing w:before="60" w:after="6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1.1.1 and 1.1.2 </w:t>
            </w:r>
            <w:r w:rsidRPr="005D64BF">
              <w:rPr>
                <w:bCs/>
                <w:sz w:val="20"/>
                <w:szCs w:val="20"/>
                <w:lang w:val="ro-RO"/>
              </w:rPr>
              <w:t>Distribution area is not adversely affected by human pressure and should be within the range of values in the last two decades and the  selected species recorded over 50% attendance in the samples.</w:t>
            </w:r>
          </w:p>
          <w:p w:rsidR="001C0912" w:rsidRDefault="001C0912" w:rsidP="009F6E18">
            <w:pPr>
              <w:spacing w:before="60" w:after="60"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1.2.1 </w:t>
            </w:r>
            <w:r w:rsidRPr="005D64BF">
              <w:rPr>
                <w:bCs/>
                <w:sz w:val="20"/>
                <w:szCs w:val="20"/>
                <w:lang w:val="ro-RO"/>
              </w:rPr>
              <w:t>The size of the analyzed population is not adversely affected by human pressure and should be within the range of values in the last two decades.</w:t>
            </w:r>
          </w:p>
          <w:p w:rsidR="001C0912" w:rsidRPr="004744F1" w:rsidRDefault="001C0912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ro-RO"/>
              </w:rPr>
              <w:lastRenderedPageBreak/>
              <w:t xml:space="preserve">1.3.1 </w:t>
            </w:r>
            <w:r w:rsidRPr="005D64BF">
              <w:rPr>
                <w:bCs/>
                <w:color w:val="000000"/>
                <w:sz w:val="20"/>
                <w:szCs w:val="20"/>
                <w:lang w:val="ro-RO"/>
              </w:rPr>
              <w:t>The study population is not adversely affected by human pressure and should be within the range of values in the last two decades.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Biodiversity - Birds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1.1.1 Maintain or increase in sustainable limits (to be determined) the distribution of migratory species Mediterranean shearwater (Puffinus yelkouan).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1.2.1. The population abundance/size (number of migratory individuals) of Mediterranean shearwater (Puffinus yelkouan) remains within 95% of the natural abundance of migratory species in Romania and increases in the long term.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1.4.1. Preserve the habitats of Mediterranean shearwater (Puffinus yelkouan) by decreasing the pressure from human and natural factors.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1.5.1. The area of the habitats of the Mediterranean Shearwater (Puffinus yelkouan) is maintained or is increasing.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9F6E18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Biodiversity – Mammals</w:t>
            </w:r>
          </w:p>
          <w:p w:rsidR="004744F1" w:rsidRPr="0076449B" w:rsidRDefault="004744F1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RO</w:t>
            </w:r>
          </w:p>
          <w:p w:rsidR="001C0912" w:rsidRDefault="001C0912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1C0912" w:rsidRPr="00D630CB" w:rsidRDefault="001C0912" w:rsidP="001C091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1.1.1</w:t>
            </w:r>
            <w:r w:rsidRPr="00D630C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Maintaining the distribution and frequency of species by implementing adequate management measures</w:t>
            </w:r>
          </w:p>
          <w:p w:rsidR="001C0912" w:rsidRPr="00D630CB" w:rsidRDefault="001C0912" w:rsidP="009F6E18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1.2.1  </w:t>
            </w:r>
            <w:r w:rsidRPr="00D630C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Maintaining positive trend in the number of marine mammals populations by implementing the Action Plan for the Conservation of Dolphins in Romanian waters of the Black Sea</w:t>
            </w:r>
          </w:p>
          <w:p w:rsidR="001C0912" w:rsidRPr="00D630CB" w:rsidRDefault="001C0912" w:rsidP="009F6E18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630C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1.3.1</w:t>
            </w:r>
          </w:p>
          <w:p w:rsidR="001C0912" w:rsidRPr="00D630CB" w:rsidRDefault="001C0912" w:rsidP="009F6E18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630C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Diminishing natural mortality by maintaining the good condition of the environment and fishery resources. Reducing bycatch by adequate management measures.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4744F1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Biodiversity – Water column habitat</w:t>
            </w:r>
            <w:r w:rsidR="004744F1"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</w:p>
          <w:p w:rsidR="009F6E18" w:rsidRPr="0076449B" w:rsidRDefault="004744F1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RO</w:t>
            </w:r>
          </w:p>
          <w:p w:rsidR="009F6E18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90th of phytoplankton biomass do not exceed the thresholds values in 10 % of the summer observations for the last 6 years.</w:t>
            </w:r>
          </w:p>
          <w:p w:rsidR="004744F1" w:rsidRPr="0076449B" w:rsidRDefault="004744F1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9F6E18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Biodiversity – seabed habitats</w:t>
            </w:r>
          </w:p>
          <w:p w:rsidR="004744F1" w:rsidRPr="0076449B" w:rsidRDefault="004744F1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RO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6.1  Physical damage, having regard to substrate characteristics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6.1.1 Type, abundance, biomass and extent of relevant biogenic substrate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  <w:t xml:space="preserve">Total ban any demersal fishery (trawl, honey), including the EEZ 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  <w:t>Stopping any hydraulic or coastal protection works likely to destroy or lead to clogging natural rocky bottom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  <w:t>Stopping any hydraulic or coastal protection works of nature to destroy Zostera noltei grasslands or indirectly affect them; total ban on any kind of human activity in Zostera noltei meadows, except for scientific research and interventions for saving lives.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  <w:t xml:space="preserve">Stopping any hydraulic or coastal protection works of nature to destroy belts Cystoseira barbata or indirectly affect them; total ban on any type of human activities Cystoseira barbata belts except scientific research and interventions to save lives. 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6.2  Condition of benthic community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6.2.1  Presence of particularly sensitive species and / or tolerant 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  <w:t>Coverage with Z. noltei  ≥ 50%; decapod frequency Palaemon adspersus in  1 m2 = 100%; decapod frequency Carcinus aestuarii in transects of 50 m2 ≥ 30%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  <w:t xml:space="preserve">Coverage with C.barbata inside the belt  ≥ 50%; frequency of Colaconema 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>thuretii in 1m2 ≥ 80%; gastropod frequency Gibbula divaricata in 1 m2 ≥ 30%; gastropod frequency  Tricolia pullus in 1 m2 ≥ 1%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  <w:t xml:space="preserve">Frequency of Lithothamnion, Phyllophora or Coccotylus in transect of 50 m2 ≥ 10% ; decapod frequency Liocarcinus navigator in transect of 400 m2 ≥ 70% 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  <w:t>Polychaets frequency Ophelia bicornis in samples ≥ 1%; frequency of Gastrosaccus sanctus in samples ≥ 50%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  <w:t>Decapod frequency of Eriphia verrucosa in transects of 100 m2 ; densities of Halichondria panicea in the habitat  ≥ 1 colonie m-2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6.2.2  Multimetric indices for assessment of benthic community condition and functionality, as well as species diversity and richness report opportunistic species / species sensitive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fr-FR"/>
              </w:rPr>
              <w:t>•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fr-FR"/>
              </w:rPr>
              <w:tab/>
              <w:t>Index values EEI &gt; 0.6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fr-FR"/>
              </w:rPr>
              <w:t>•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fr-FR"/>
              </w:rPr>
              <w:tab/>
              <w:t>Index values EEI &gt; 0.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fr-FR"/>
              </w:rPr>
              <w:t>•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fr-FR"/>
              </w:rPr>
              <w:tab/>
              <w:t>Indices values :M-AMBI ≥ 0,55; AMBI ≤ 3,3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fr-FR"/>
              </w:rPr>
              <w:t>•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fr-FR"/>
              </w:rPr>
              <w:tab/>
              <w:t>Indices values :M-AMBI ≥ 0,55; AMBI ≤ 3,3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fr-FR"/>
              </w:rPr>
              <w:t>•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fr-FR"/>
              </w:rPr>
              <w:tab/>
              <w:t>Indices values :M-AMBI ≥ 0,55; AMBI ≤ 3,3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6.2.3  Proportion of biomass or number of individuals over a certain length or size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  <w:t>Specimens median size of Mytilus galloprovincialis (shell leght) ≥ 50 mm SL</w:t>
            </w:r>
          </w:p>
          <w:p w:rsidR="005D3832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  <w:t>Specimens median size of Mytilus galloprovincialis (shell leght) ≥ 70 mm SL</w:t>
            </w:r>
          </w:p>
        </w:tc>
      </w:tr>
      <w:tr w:rsidR="005D3832" w:rsidRPr="00C16A57" w:rsidTr="00B504C3">
        <w:tc>
          <w:tcPr>
            <w:tcW w:w="2376" w:type="dxa"/>
            <w:shd w:val="clear" w:color="auto" w:fill="auto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Descriptors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0F1AFE" w:rsidRPr="0076449B" w:rsidRDefault="000F1AFE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D1- Biodiversity</w:t>
            </w:r>
          </w:p>
          <w:p w:rsidR="000F1AFE" w:rsidRPr="0076449B" w:rsidRDefault="000F1AFE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F1AFE" w:rsidRPr="0076449B" w:rsidRDefault="000F1AFE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D4 – Food web</w:t>
            </w:r>
          </w:p>
          <w:p w:rsidR="000F1AFE" w:rsidRPr="0076449B" w:rsidRDefault="000F1AFE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D6 – Seabed</w:t>
            </w:r>
          </w:p>
          <w:p w:rsidR="000F1AFE" w:rsidRPr="0076449B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5D3832" w:rsidRPr="00C16A57" w:rsidTr="00B504C3">
        <w:tc>
          <w:tcPr>
            <w:tcW w:w="2376" w:type="dxa"/>
            <w:shd w:val="clear" w:color="auto" w:fill="auto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pressures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 xml:space="preserve">Biological disturbances 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>- selective extraction of species, including incidental non-target catches (e.g. by commercial and recreational fishing)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>Contamination by hazardous substances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ab/>
              <w:t>introduction of synthetic compounds (e.g. priority substances under Directive 2000/60/EC which are relevant for the marine environment such as pesticides, antifoulants, pharmaceuticals, resulting, for example, from losses from diffuse sources, pollution by ships, atmospheric deposition and biologically active substances),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ab/>
              <w:t>introduction of non-synthetic substances and compounds (e.g. heavy metals, hydrocarbons, resulting, for example, from pollution by ships and oil, gas and mineral exploration and exploitation, atmospheric deposition, riverine inputs),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>Systematic and/or international release of substances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>Physical damage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ab/>
              <w:t>abrasion (e.g. impact on the seabed of commercial fishing, boating, anchoring),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ab/>
              <w:t>selective extraction (e.g. exploration and exploitation of living and non-living resources on seabed and subsoil).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>Other physical disturbance</w:t>
            </w:r>
          </w:p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ab/>
              <w:t>marine litter</w:t>
            </w:r>
          </w:p>
          <w:p w:rsidR="00B504C3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ab/>
              <w:t>underwater noise</w:t>
            </w:r>
          </w:p>
        </w:tc>
      </w:tr>
      <w:tr w:rsidR="00AF66BF" w:rsidRPr="00C16A57" w:rsidTr="003C156B">
        <w:trPr>
          <w:trHeight w:val="2237"/>
        </w:trPr>
        <w:tc>
          <w:tcPr>
            <w:tcW w:w="2376" w:type="dxa"/>
            <w:shd w:val="clear" w:color="auto" w:fill="auto"/>
          </w:tcPr>
          <w:p w:rsidR="00AF66BF" w:rsidRPr="0076449B" w:rsidRDefault="00AF66BF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Main drivers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9F6E18" w:rsidRPr="0076449B" w:rsidRDefault="009F6E18" w:rsidP="009F6E1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The sectors/activities targeted by the measure</w:t>
            </w:r>
          </w:p>
          <w:p w:rsidR="009F6E18" w:rsidRPr="0076449B" w:rsidRDefault="009F6E18" w:rsidP="009F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Recreational activities; tourism; leisure</w:t>
            </w:r>
          </w:p>
          <w:p w:rsidR="009F6E18" w:rsidRPr="0076449B" w:rsidRDefault="009F6E18" w:rsidP="009F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Industry (direct discharges or dumping, sand and gravel extraction);</w:t>
            </w:r>
          </w:p>
          <w:p w:rsidR="009F6E18" w:rsidRPr="0076449B" w:rsidRDefault="009F6E18" w:rsidP="009F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- Maritime energy activities (offshore oil and gas prospection and operations); </w:t>
            </w:r>
          </w:p>
          <w:p w:rsidR="009F6E18" w:rsidRPr="0076449B" w:rsidRDefault="009F6E18" w:rsidP="009F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Urbanization (coastal and riverine from land – municipal waste water discharge);</w:t>
            </w:r>
          </w:p>
          <w:p w:rsidR="009F6E18" w:rsidRPr="0076449B" w:rsidRDefault="009F6E18" w:rsidP="009F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Agriculture;</w:t>
            </w:r>
          </w:p>
          <w:p w:rsidR="009F6E18" w:rsidRPr="0076449B" w:rsidRDefault="009F6E18" w:rsidP="009F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Activities associated with the extraction of living resources (fisheries, including fishing);</w:t>
            </w:r>
          </w:p>
          <w:p w:rsidR="009F6E18" w:rsidRPr="0076449B" w:rsidRDefault="009F6E18" w:rsidP="009F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Activities related to the production of seafood (aquaculture);</w:t>
            </w:r>
          </w:p>
          <w:p w:rsidR="009F6E18" w:rsidRPr="0076449B" w:rsidRDefault="009F6E18" w:rsidP="009F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76449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 Sea-based mobile activities: transport/shipping, including with - small boats)</w:t>
            </w:r>
          </w:p>
          <w:p w:rsidR="003C156B" w:rsidRPr="0076449B" w:rsidRDefault="003C156B" w:rsidP="003C156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5D3832" w:rsidRPr="0076449B" w:rsidTr="00B504C3">
        <w:tc>
          <w:tcPr>
            <w:tcW w:w="2376" w:type="dxa"/>
            <w:shd w:val="clear" w:color="auto" w:fill="auto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9F6E18" w:rsidRPr="0076449B" w:rsidRDefault="009F6E18" w:rsidP="009F6E18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Birds</w:t>
            </w:r>
          </w:p>
          <w:p w:rsidR="009F6E18" w:rsidRPr="0076449B" w:rsidRDefault="009F6E18" w:rsidP="009F6E18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Mammals</w:t>
            </w:r>
          </w:p>
          <w:p w:rsidR="009F6E18" w:rsidRPr="0076449B" w:rsidRDefault="009F6E18" w:rsidP="009F6E18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Fish</w:t>
            </w:r>
          </w:p>
          <w:p w:rsidR="009F6E18" w:rsidRPr="0076449B" w:rsidRDefault="009F6E18" w:rsidP="009F6E18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Benthic habitats</w:t>
            </w:r>
          </w:p>
          <w:p w:rsidR="00AE6ACD" w:rsidRPr="0076449B" w:rsidRDefault="009F6E18" w:rsidP="009F6E18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Pelagic habitats</w:t>
            </w:r>
          </w:p>
        </w:tc>
      </w:tr>
      <w:tr w:rsidR="005D3832" w:rsidRPr="00C16A57" w:rsidTr="00B504C3">
        <w:tc>
          <w:tcPr>
            <w:tcW w:w="2376" w:type="dxa"/>
            <w:shd w:val="clear" w:color="auto" w:fill="auto"/>
          </w:tcPr>
          <w:p w:rsidR="005D3832" w:rsidRPr="0076449B" w:rsidRDefault="00AF66BF" w:rsidP="00AF66B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Link to other directive/legislation/policy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724540" w:rsidRPr="0076449B" w:rsidRDefault="00724540" w:rsidP="00724540">
            <w:pPr>
              <w:pStyle w:val="Lijstalinea"/>
              <w:spacing w:before="60" w:after="6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76449B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Council Directive 92/43/EEC of 21 May 1992 on the conservation of natural habitats and of wild fauna and flora</w:t>
            </w:r>
          </w:p>
          <w:p w:rsidR="00724540" w:rsidRPr="0076449B" w:rsidRDefault="00724540" w:rsidP="00724540">
            <w:pPr>
              <w:pStyle w:val="Lijstalinea"/>
              <w:spacing w:after="0" w:line="24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49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Directive 2009/147/EC of the European Parliament and of the Councl of 30 November 2009 on the conservation of wild birds</w:t>
            </w:r>
          </w:p>
          <w:p w:rsidR="00724540" w:rsidRPr="0076449B" w:rsidRDefault="00724540" w:rsidP="007245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eastAsia="Calibri" w:hAnsi="Arial" w:cs="Arial"/>
                <w:sz w:val="20"/>
                <w:szCs w:val="20"/>
                <w:lang w:val="en-GB"/>
              </w:rPr>
              <w:t>Environmental  Impact Assessment (EIA) Directive</w:t>
            </w:r>
          </w:p>
          <w:p w:rsidR="003C156B" w:rsidRPr="0076449B" w:rsidRDefault="00724540" w:rsidP="00724540">
            <w:pPr>
              <w:pStyle w:val="Lijstalinea"/>
              <w:spacing w:after="60" w:line="240" w:lineRule="auto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Common Fishery Policy (CFP)</w:t>
            </w:r>
          </w:p>
        </w:tc>
      </w:tr>
      <w:tr w:rsidR="005D3832" w:rsidRPr="0076449B" w:rsidTr="00C55D97">
        <w:trPr>
          <w:trHeight w:val="11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Necessity for transnational regulation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97" w:rsidRPr="0076449B" w:rsidRDefault="00C55D97" w:rsidP="00E41209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5D3832" w:rsidRPr="0076449B" w:rsidTr="00B504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76449B" w:rsidRDefault="005D3832" w:rsidP="003B562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Instrument for implementation</w:t>
            </w:r>
            <w:r w:rsidR="00583D8D"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583D8D"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83D8D"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Mode of </w:t>
            </w:r>
            <w:r w:rsidR="003B5622">
              <w:rPr>
                <w:rFonts w:ascii="Arial" w:hAnsi="Arial" w:cs="Arial"/>
                <w:b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3B5622" w:rsidRDefault="005D3832" w:rsidP="000F1AFE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5622">
              <w:rPr>
                <w:rFonts w:ascii="Arial" w:hAnsi="Arial" w:cs="Arial"/>
                <w:sz w:val="20"/>
                <w:szCs w:val="20"/>
                <w:lang w:val="en-GB"/>
              </w:rPr>
              <w:t>Legal</w:t>
            </w:r>
          </w:p>
          <w:p w:rsidR="005D3832" w:rsidRPr="003B5622" w:rsidRDefault="005D3832" w:rsidP="000F1AFE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5622">
              <w:rPr>
                <w:rFonts w:ascii="Arial" w:hAnsi="Arial" w:cs="Arial"/>
                <w:sz w:val="20"/>
                <w:szCs w:val="20"/>
                <w:lang w:val="en-GB"/>
              </w:rPr>
              <w:t>Technical</w:t>
            </w:r>
          </w:p>
          <w:p w:rsidR="005D3832" w:rsidRPr="003B5622" w:rsidRDefault="003B5622" w:rsidP="000F1AFE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5622">
              <w:rPr>
                <w:rFonts w:ascii="Arial" w:hAnsi="Arial" w:cs="Arial"/>
                <w:sz w:val="20"/>
                <w:szCs w:val="20"/>
                <w:lang w:val="en-GB"/>
              </w:rPr>
              <w:t>Policy</w:t>
            </w:r>
          </w:p>
          <w:p w:rsidR="005D3832" w:rsidRPr="0076449B" w:rsidRDefault="005D3832" w:rsidP="000F1AFE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D3832" w:rsidRPr="00C16A57" w:rsidTr="00B504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76449B" w:rsidRDefault="009D45F8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Spatial reference</w:t>
            </w:r>
            <w:r w:rsidR="003B5622">
              <w:rPr>
                <w:rFonts w:ascii="Arial" w:hAnsi="Arial" w:cs="Arial"/>
                <w:b/>
                <w:sz w:val="20"/>
                <w:szCs w:val="20"/>
                <w:lang w:val="en-GB"/>
              </w:rPr>
              <w:t>/implementation zones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C3" w:rsidRPr="003B5622" w:rsidRDefault="003B5622" w:rsidP="003B5622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B5622">
              <w:rPr>
                <w:rFonts w:ascii="Arial" w:hAnsi="Arial" w:cs="Arial"/>
                <w:sz w:val="20"/>
                <w:szCs w:val="20"/>
                <w:lang w:val="en-US"/>
              </w:rPr>
              <w:t>Territorial waters EEZ + beyond MS Marine waters</w:t>
            </w:r>
          </w:p>
        </w:tc>
      </w:tr>
      <w:tr w:rsidR="005D3832" w:rsidRPr="00C16A57" w:rsidTr="00B504C3">
        <w:tc>
          <w:tcPr>
            <w:tcW w:w="2376" w:type="dxa"/>
            <w:shd w:val="clear" w:color="auto" w:fill="auto"/>
          </w:tcPr>
          <w:p w:rsidR="005D3832" w:rsidRPr="0076449B" w:rsidRDefault="009D45F8" w:rsidP="009D45F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Contribution of the measure to achieving the target 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5D3832" w:rsidRPr="0076449B" w:rsidRDefault="004B24E6" w:rsidP="009D45F8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The measure will have a significant contribution to achieving the targets.</w:t>
            </w:r>
          </w:p>
        </w:tc>
      </w:tr>
      <w:tr w:rsidR="005D3832" w:rsidRPr="00C16A57" w:rsidTr="00B504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Transboundary impact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76449B" w:rsidRDefault="004B24E6" w:rsidP="00E4120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The implementation of the measure is not expected to have negative effects on the marine environment of neighbouring countries.</w:t>
            </w:r>
          </w:p>
        </w:tc>
      </w:tr>
      <w:tr w:rsidR="005D3832" w:rsidRPr="0076449B" w:rsidTr="00B504C3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EA" w:rsidRPr="0076449B" w:rsidRDefault="00D779EA" w:rsidP="004B24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rough assessment: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 medium € 50.000-1.000.000</w:t>
            </w:r>
          </w:p>
          <w:p w:rsidR="00D779EA" w:rsidRPr="0076449B" w:rsidRDefault="00D779EA" w:rsidP="004B24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B24E6" w:rsidRPr="0076449B" w:rsidRDefault="004B24E6" w:rsidP="004B24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The following elements of costs are considered:</w:t>
            </w:r>
          </w:p>
          <w:p w:rsidR="004B24E6" w:rsidRPr="0076449B" w:rsidRDefault="004B24E6" w:rsidP="004B24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Research costs (research time, information and meeting cost) </w:t>
            </w:r>
          </w:p>
          <w:p w:rsidR="004B24E6" w:rsidRPr="0076449B" w:rsidRDefault="004B24E6" w:rsidP="004B24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ab/>
              <w:t>Costs for assistance with voluntary agreements (staff time (preparation, follow up, meetings with neighbouring MS,travel &amp; other costs)</w:t>
            </w:r>
          </w:p>
          <w:p w:rsidR="004B24E6" w:rsidRPr="0076449B" w:rsidRDefault="004B24E6" w:rsidP="004B24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ab/>
              <w:t>Negotiation costs (planning &amp; preparation, drafting agreement &amp; ratification, meetings with neighbouring MS, travel &amp; other costs)</w:t>
            </w:r>
          </w:p>
          <w:p w:rsidR="004B24E6" w:rsidRPr="0076449B" w:rsidRDefault="004B24E6" w:rsidP="004B24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ab/>
              <w:t>Communication costs (advertisement, staff time, other administration costs)</w:t>
            </w:r>
          </w:p>
          <w:p w:rsidR="004B24E6" w:rsidRPr="0076449B" w:rsidRDefault="004B24E6" w:rsidP="004B24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ab/>
              <w:t>Costs of stakeholder consultations (staff time (preparation, follow up), meetings with stakeholders)</w:t>
            </w:r>
          </w:p>
          <w:p w:rsidR="004B24E6" w:rsidRPr="0076449B" w:rsidRDefault="004B24E6" w:rsidP="004B24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•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ab/>
              <w:t>Cost for control staff training (preparation, training material, giving training, follow up)</w:t>
            </w:r>
          </w:p>
          <w:p w:rsidR="004B24E6" w:rsidRPr="0076449B" w:rsidRDefault="004B24E6" w:rsidP="004B24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•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ab/>
              <w:t>Enforcement costs (surface surveillance, joint enforcement patrols with local officer, investigations/prosecutions)</w:t>
            </w:r>
          </w:p>
          <w:p w:rsidR="004B24E6" w:rsidRPr="0076449B" w:rsidRDefault="004B24E6" w:rsidP="004B24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C719D" w:rsidRPr="0076449B" w:rsidRDefault="00BC719D" w:rsidP="00BC7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Creating coherent and representative networks of MPA’s, incl. management plans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BC719D" w:rsidRPr="0076449B" w:rsidRDefault="006C2BFD" w:rsidP="00583071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4B24E6"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i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nvestigate current MPA distribution, coherence and representatively for combined BG/RO EEZ's  and  </w:t>
            </w:r>
            <w:r w:rsidR="002904B0"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otentially designating new "missing" MPA's: 50.000 €</w:t>
            </w:r>
          </w:p>
          <w:p w:rsidR="006C2BFD" w:rsidRPr="0076449B" w:rsidRDefault="006C2BFD" w:rsidP="006C2BFD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Drafting management plans: 50.000 €</w:t>
            </w:r>
          </w:p>
          <w:p w:rsidR="00BC719D" w:rsidRPr="0076449B" w:rsidRDefault="00BC719D" w:rsidP="00BC7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C719D" w:rsidRPr="0076449B" w:rsidRDefault="00BC719D" w:rsidP="00BC7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Enhanced </w:t>
            </w:r>
            <w:r w:rsidRPr="0076449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control o</w:t>
            </w: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f regulated activities within MPAs</w:t>
            </w:r>
            <w:r w:rsidRPr="0076449B">
              <w:rPr>
                <w:rFonts w:ascii="Arial" w:hAnsi="Arial" w:cs="Arial"/>
                <w:b/>
                <w:sz w:val="20"/>
                <w:szCs w:val="20"/>
                <w:lang w:val="bg-BG"/>
              </w:rPr>
              <w:t>.</w:t>
            </w:r>
          </w:p>
          <w:p w:rsidR="00BC719D" w:rsidRPr="0076449B" w:rsidRDefault="006C2BFD" w:rsidP="006C2BFD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Training of control staff: 1000 €</w:t>
            </w:r>
          </w:p>
          <w:p w:rsidR="00BC719D" w:rsidRPr="0076449B" w:rsidRDefault="00BC719D" w:rsidP="006C2BFD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Additional staff for control </w:t>
            </w:r>
            <w:r w:rsidR="006C2BFD"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: </w:t>
            </w:r>
          </w:p>
          <w:p w:rsidR="00BC719D" w:rsidRPr="0076449B" w:rsidRDefault="00BC719D" w:rsidP="006C2BFD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Operational costs for control (fuel, material, boat, ...)</w:t>
            </w:r>
            <w:r w:rsidR="006C2BFD"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: 70.000€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</w:r>
          </w:p>
          <w:p w:rsidR="00BC719D" w:rsidRPr="0076449B" w:rsidRDefault="00BC719D" w:rsidP="00BC719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Total one off costs within MSFD cycle (6 </w:t>
            </w:r>
            <w:r w:rsidR="005C024F"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years):</w:t>
            </w:r>
            <w:r w:rsidR="005C024F"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ab/>
              <w:t xml:space="preserve"> </w:t>
            </w:r>
            <w:r w:rsidR="006C2BFD"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1</w:t>
            </w:r>
            <w:r w:rsidR="005C024F"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71</w:t>
            </w: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.000 €</w:t>
            </w:r>
          </w:p>
          <w:p w:rsidR="00BC719D" w:rsidRPr="0076449B" w:rsidRDefault="00BC719D" w:rsidP="00BC719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bookmarkStart w:id="1" w:name="_Toc436055794"/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Scoring:</w:t>
            </w:r>
            <w:bookmarkEnd w:id="1"/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W w:w="3240" w:type="dxa"/>
              <w:tblInd w:w="2124" w:type="dxa"/>
              <w:tblLayout w:type="fixed"/>
              <w:tblLook w:val="04A0" w:firstRow="1" w:lastRow="0" w:firstColumn="1" w:lastColumn="0" w:noHBand="0" w:noVBand="1"/>
            </w:tblPr>
            <w:tblGrid>
              <w:gridCol w:w="977"/>
              <w:gridCol w:w="2263"/>
            </w:tblGrid>
            <w:tr w:rsidR="00BC719D" w:rsidRPr="0076449B" w:rsidTr="00BC719D">
              <w:trPr>
                <w:trHeight w:val="300"/>
              </w:trPr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0079A3"/>
                  <w:noWrap/>
                  <w:hideMark/>
                </w:tcPr>
                <w:p w:rsidR="00BC719D" w:rsidRPr="0076449B" w:rsidRDefault="00BC719D" w:rsidP="00BC71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</w:pPr>
                  <w:r w:rsidRPr="0076449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  <w:t>Score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0079A3"/>
                  <w:hideMark/>
                </w:tcPr>
                <w:p w:rsidR="00BC719D" w:rsidRPr="0076449B" w:rsidRDefault="00BC719D" w:rsidP="00BC71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</w:pPr>
                  <w:r w:rsidRPr="0076449B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  <w:t>total cost</w:t>
                  </w:r>
                </w:p>
              </w:tc>
            </w:tr>
            <w:tr w:rsidR="00BC719D" w:rsidRPr="0076449B" w:rsidTr="00BC719D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0000"/>
                  <w:noWrap/>
                  <w:hideMark/>
                </w:tcPr>
                <w:p w:rsidR="00BC719D" w:rsidRPr="0076449B" w:rsidRDefault="00BC719D" w:rsidP="00BC71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7644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1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0000"/>
                  <w:hideMark/>
                </w:tcPr>
                <w:p w:rsidR="00BC719D" w:rsidRPr="0076449B" w:rsidRDefault="00BC719D" w:rsidP="00BC719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7644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 xml:space="preserve">&gt; </w:t>
                  </w:r>
                  <w:r w:rsidRPr="0076449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€ </w:t>
                  </w:r>
                  <w:r w:rsidRPr="007644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1 million</w:t>
                  </w:r>
                </w:p>
              </w:tc>
            </w:tr>
            <w:tr w:rsidR="00BC719D" w:rsidRPr="0076449B" w:rsidTr="00BC719D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9933"/>
                  <w:noWrap/>
                  <w:hideMark/>
                </w:tcPr>
                <w:p w:rsidR="00BC719D" w:rsidRPr="0076449B" w:rsidRDefault="00BC719D" w:rsidP="00BC71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7644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2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9933"/>
                  <w:hideMark/>
                </w:tcPr>
                <w:p w:rsidR="00BC719D" w:rsidRPr="0076449B" w:rsidRDefault="00BC719D" w:rsidP="00BC719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76449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€ 500.</w:t>
                  </w:r>
                  <w:r w:rsidRPr="007644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000 - 1 million</w:t>
                  </w:r>
                </w:p>
              </w:tc>
            </w:tr>
            <w:tr w:rsidR="00BC719D" w:rsidRPr="0076449B" w:rsidTr="00BC719D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00"/>
                  <w:noWrap/>
                  <w:hideMark/>
                </w:tcPr>
                <w:p w:rsidR="00BC719D" w:rsidRPr="0076449B" w:rsidRDefault="00BC719D" w:rsidP="00BC71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7644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3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00"/>
                  <w:hideMark/>
                </w:tcPr>
                <w:p w:rsidR="00BC719D" w:rsidRPr="0076449B" w:rsidRDefault="00BC719D" w:rsidP="00BC719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76449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€ 200.</w:t>
                  </w:r>
                  <w:r w:rsidRPr="007644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000 - 500.000</w:t>
                  </w:r>
                </w:p>
              </w:tc>
            </w:tr>
            <w:tr w:rsidR="00BC719D" w:rsidRPr="0076449B" w:rsidTr="00BC719D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92D050"/>
                  <w:noWrap/>
                  <w:hideMark/>
                </w:tcPr>
                <w:p w:rsidR="00BC719D" w:rsidRPr="0076449B" w:rsidRDefault="00BC719D" w:rsidP="00BC71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</w:pPr>
                  <w:r w:rsidRPr="0076449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  <w:t>4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92D050"/>
                  <w:hideMark/>
                </w:tcPr>
                <w:p w:rsidR="00BC719D" w:rsidRPr="0076449B" w:rsidRDefault="00BC719D" w:rsidP="00BC719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</w:pPr>
                  <w:r w:rsidRPr="0076449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>€ 50.</w:t>
                  </w:r>
                  <w:r w:rsidRPr="0076449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  <w:t>000 - 200.000</w:t>
                  </w:r>
                </w:p>
              </w:tc>
            </w:tr>
            <w:tr w:rsidR="00BC719D" w:rsidRPr="0076449B" w:rsidTr="00BC719D">
              <w:trPr>
                <w:trHeight w:val="300"/>
              </w:trPr>
              <w:tc>
                <w:tcPr>
                  <w:tcW w:w="976" w:type="dxa"/>
                  <w:shd w:val="clear" w:color="auto" w:fill="00B050"/>
                  <w:noWrap/>
                  <w:hideMark/>
                </w:tcPr>
                <w:p w:rsidR="00BC719D" w:rsidRPr="0076449B" w:rsidRDefault="00BC719D" w:rsidP="00BC71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7644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5</w:t>
                  </w:r>
                </w:p>
              </w:tc>
              <w:tc>
                <w:tcPr>
                  <w:tcW w:w="2262" w:type="dxa"/>
                  <w:shd w:val="clear" w:color="auto" w:fill="00B050"/>
                  <w:hideMark/>
                </w:tcPr>
                <w:p w:rsidR="00BC719D" w:rsidRPr="0076449B" w:rsidRDefault="00BC719D" w:rsidP="00BC719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7644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 xml:space="preserve">&lt; </w:t>
                  </w:r>
                  <w:r w:rsidRPr="0076449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€ </w:t>
                  </w:r>
                  <w:r w:rsidRPr="007644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50.000</w:t>
                  </w:r>
                </w:p>
              </w:tc>
            </w:tr>
          </w:tbl>
          <w:p w:rsidR="00BC719D" w:rsidRPr="0076449B" w:rsidRDefault="00BC719D" w:rsidP="00BC719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83D8D" w:rsidRPr="0076449B" w:rsidTr="00B504C3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D" w:rsidRPr="0076449B" w:rsidRDefault="00583D8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Effectiveness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D" w:rsidRPr="0076449B" w:rsidRDefault="004B24E6" w:rsidP="00E41209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Strong</w:t>
            </w:r>
          </w:p>
        </w:tc>
      </w:tr>
      <w:tr w:rsidR="008A2446" w:rsidRPr="00C16A57" w:rsidTr="00B504C3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46" w:rsidRPr="0076449B" w:rsidRDefault="008A2446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Indicator(s) to measure </w:t>
            </w:r>
            <w:r w:rsidR="00143FF5"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effectiveness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46" w:rsidRPr="0076449B" w:rsidRDefault="000934DE" w:rsidP="00E41209">
            <w:pPr>
              <w:pStyle w:val="Lijstalinea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Should be based on existing indicators.</w:t>
            </w:r>
          </w:p>
        </w:tc>
      </w:tr>
      <w:tr w:rsidR="005D3832" w:rsidRPr="00C16A57" w:rsidTr="00B504C3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Socio-economic assessment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E6" w:rsidRPr="0076449B" w:rsidRDefault="004B24E6" w:rsidP="004B24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Cost Effectiveness Assessment: cost effective</w:t>
            </w:r>
          </w:p>
          <w:p w:rsidR="005D3832" w:rsidRPr="0076449B" w:rsidRDefault="004B24E6" w:rsidP="004B24E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Cost Benefit Assessment: medium </w:t>
            </w:r>
          </w:p>
        </w:tc>
      </w:tr>
      <w:tr w:rsidR="005D3832" w:rsidRPr="0076449B" w:rsidTr="00B504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Coordination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C3" w:rsidRPr="0076449B" w:rsidRDefault="00724540" w:rsidP="00E412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US"/>
              </w:rPr>
              <w:t>national</w:t>
            </w:r>
          </w:p>
          <w:p w:rsidR="00B504C3" w:rsidRPr="0076449B" w:rsidRDefault="00B504C3" w:rsidP="00724540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US"/>
              </w:rPr>
              <w:t>bilateral</w:t>
            </w:r>
          </w:p>
          <w:p w:rsidR="00B504C3" w:rsidRPr="0076449B" w:rsidRDefault="00B504C3" w:rsidP="00B504C3">
            <w:pPr>
              <w:spacing w:after="60" w:line="240" w:lineRule="auto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583D8D" w:rsidRPr="00C16A57" w:rsidTr="00B504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D" w:rsidRPr="0076449B" w:rsidRDefault="00583D8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Technical feasibility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D" w:rsidRPr="0076449B" w:rsidRDefault="00583D8D" w:rsidP="00583D8D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i/>
                <w:sz w:val="20"/>
                <w:szCs w:val="20"/>
                <w:lang w:val="en-GB"/>
              </w:rPr>
              <w:t>Frequently applied; extensive experience / evidence of good practice</w:t>
            </w:r>
          </w:p>
          <w:p w:rsidR="00583D8D" w:rsidRPr="0076449B" w:rsidRDefault="00583D8D" w:rsidP="004B24E6">
            <w:pPr>
              <w:pStyle w:val="Lijstalinea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D3832" w:rsidRPr="00C16A57" w:rsidTr="00B504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76449B" w:rsidRDefault="005D3832" w:rsidP="009D45F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Body responsible for the measure </w:t>
            </w:r>
            <w:r w:rsidR="009D45F8"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76449B" w:rsidRDefault="004B24E6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Bulgaria: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91F1D" w:rsidRPr="0076449B">
              <w:rPr>
                <w:rFonts w:ascii="Arial" w:hAnsi="Arial" w:cs="Arial"/>
                <w:sz w:val="20"/>
                <w:szCs w:val="20"/>
                <w:lang w:val="en-GB"/>
              </w:rPr>
              <w:t>Ministry of Environment and Waters (MoEW), Black Sea Basin Directorate (BSBD), Regional Inspectorates of Environment and Water - Varna and Burgas (RIEW - Varna and RIEW Burgas), NGOs, scientific institutes, universities, laboratories, specialized in field of the marine biology and ecology</w:t>
            </w:r>
          </w:p>
          <w:p w:rsidR="00B504C3" w:rsidRPr="0076449B" w:rsidRDefault="004B24E6" w:rsidP="004B24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Romania: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 Ministry of Environment, Waters and Forests, Environment Protection Agency, NIRD “Grigore Antipa”, NIRD GeoEcoMar</w:t>
            </w:r>
          </w:p>
        </w:tc>
      </w:tr>
      <w:tr w:rsidR="005D3832" w:rsidRPr="00C16A57" w:rsidTr="00B504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Financing opportunities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76449B" w:rsidRDefault="00091F1D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National budget</w:t>
            </w:r>
            <w:r w:rsidR="004B24E6" w:rsidRPr="0076449B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, Operational Programme "Environment" 2014-2020, </w:t>
            </w:r>
            <w:r w:rsidR="004B24E6"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Bulgaria: </w:t>
            </w: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structural funds operated by the Ministry of Agriculture and Food, respectfully National Agency of Fisheries and Aquaculture (NAFA) as European Maritime and Fisheries Fund (EMFF)</w:t>
            </w:r>
            <w:r w:rsidR="004B24E6" w:rsidRPr="0076449B">
              <w:rPr>
                <w:rFonts w:ascii="Arial" w:hAnsi="Arial" w:cs="Arial"/>
                <w:sz w:val="20"/>
                <w:szCs w:val="20"/>
                <w:lang w:val="en-GB"/>
              </w:rPr>
              <w:t>, EU projects (i.e Horizon 2020 ProgramO-BG CBC program)</w:t>
            </w:r>
          </w:p>
          <w:p w:rsidR="00B504C3" w:rsidRPr="0076449B" w:rsidRDefault="00B504C3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D3832" w:rsidRPr="0076449B" w:rsidTr="00B504C3">
        <w:tc>
          <w:tcPr>
            <w:tcW w:w="2376" w:type="dxa"/>
            <w:shd w:val="clear" w:color="auto" w:fill="auto"/>
            <w:vAlign w:val="center"/>
          </w:tcPr>
          <w:p w:rsidR="005D3832" w:rsidRPr="0076449B" w:rsidRDefault="005D3832" w:rsidP="00B504C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Planning of implementation</w:t>
            </w:r>
            <w:r w:rsidR="003B5622">
              <w:rPr>
                <w:rFonts w:ascii="Arial" w:hAnsi="Arial" w:cs="Arial"/>
                <w:b/>
                <w:sz w:val="20"/>
                <w:szCs w:val="20"/>
                <w:lang w:val="en-GB"/>
              </w:rPr>
              <w:t>/temporal coverage</w:t>
            </w:r>
          </w:p>
        </w:tc>
        <w:tc>
          <w:tcPr>
            <w:tcW w:w="7689" w:type="dxa"/>
            <w:gridSpan w:val="2"/>
            <w:shd w:val="clear" w:color="auto" w:fill="auto"/>
            <w:vAlign w:val="center"/>
          </w:tcPr>
          <w:p w:rsidR="00583D8D" w:rsidRPr="0076449B" w:rsidRDefault="00B504C3" w:rsidP="004B24E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bg-BG"/>
              </w:rPr>
              <w:t>201</w:t>
            </w:r>
            <w:r w:rsidR="004B24E6" w:rsidRPr="0076449B">
              <w:rPr>
                <w:rFonts w:ascii="Arial" w:hAnsi="Arial" w:cs="Arial"/>
                <w:b/>
                <w:sz w:val="20"/>
                <w:szCs w:val="20"/>
                <w:lang w:val="nl-BE"/>
              </w:rPr>
              <w:t>8</w:t>
            </w:r>
          </w:p>
        </w:tc>
      </w:tr>
      <w:tr w:rsidR="00AE6ACD" w:rsidRPr="0076449B" w:rsidTr="00B504C3">
        <w:tc>
          <w:tcPr>
            <w:tcW w:w="2376" w:type="dxa"/>
            <w:shd w:val="clear" w:color="auto" w:fill="auto"/>
          </w:tcPr>
          <w:p w:rsidR="00AE6ACD" w:rsidRPr="0076449B" w:rsidRDefault="00AE6AC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Difficulties in implementation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AE6ACD" w:rsidRPr="0076449B" w:rsidRDefault="004B24E6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AE6ACD" w:rsidRPr="007644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5D3832" w:rsidRPr="0076449B" w:rsidTr="00B504C3">
        <w:tc>
          <w:tcPr>
            <w:tcW w:w="10065" w:type="dxa"/>
            <w:gridSpan w:val="3"/>
            <w:shd w:val="clear" w:color="auto" w:fill="auto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Supporting information for SEA</w:t>
            </w:r>
          </w:p>
        </w:tc>
      </w:tr>
      <w:tr w:rsidR="005D3832" w:rsidRPr="00C16A57" w:rsidTr="00B504C3">
        <w:tc>
          <w:tcPr>
            <w:tcW w:w="2376" w:type="dxa"/>
            <w:shd w:val="clear" w:color="auto" w:fill="auto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values for protection (outside MSFD)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5D3832" w:rsidRPr="0076449B" w:rsidRDefault="005D3832" w:rsidP="00AE6ACD">
            <w:pPr>
              <w:pStyle w:val="Lijstalinea"/>
              <w:spacing w:after="0" w:line="240" w:lineRule="auto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D3832" w:rsidRPr="0076449B" w:rsidTr="00B504C3">
        <w:tc>
          <w:tcPr>
            <w:tcW w:w="2376" w:type="dxa"/>
            <w:shd w:val="clear" w:color="auto" w:fill="auto"/>
          </w:tcPr>
          <w:p w:rsidR="005D3832" w:rsidRPr="0076449B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6449B"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Reasonable alternatives</w:t>
            </w:r>
          </w:p>
        </w:tc>
        <w:tc>
          <w:tcPr>
            <w:tcW w:w="7689" w:type="dxa"/>
            <w:gridSpan w:val="2"/>
            <w:shd w:val="clear" w:color="auto" w:fill="auto"/>
          </w:tcPr>
          <w:p w:rsidR="005D3832" w:rsidRPr="0076449B" w:rsidRDefault="005D3832" w:rsidP="00E41209">
            <w:pPr>
              <w:spacing w:before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:rsidR="005D3832" w:rsidRPr="0076449B" w:rsidRDefault="005D3832" w:rsidP="005D3832">
      <w:pPr>
        <w:rPr>
          <w:rFonts w:ascii="Arial" w:hAnsi="Arial" w:cs="Arial"/>
          <w:sz w:val="20"/>
          <w:szCs w:val="20"/>
          <w:lang w:val="en-GB"/>
        </w:rPr>
      </w:pPr>
    </w:p>
    <w:sectPr w:rsidR="005D3832" w:rsidRPr="0076449B" w:rsidSect="00B504C3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FA" w:rsidRDefault="006461FA" w:rsidP="000F1AFE">
      <w:pPr>
        <w:spacing w:after="0" w:line="240" w:lineRule="auto"/>
      </w:pPr>
      <w:r>
        <w:separator/>
      </w:r>
    </w:p>
  </w:endnote>
  <w:endnote w:type="continuationSeparator" w:id="0">
    <w:p w:rsidR="006461FA" w:rsidRDefault="006461FA" w:rsidP="000F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FA" w:rsidRDefault="006461FA" w:rsidP="000F1AFE">
      <w:pPr>
        <w:spacing w:after="0" w:line="240" w:lineRule="auto"/>
      </w:pPr>
      <w:r>
        <w:separator/>
      </w:r>
    </w:p>
  </w:footnote>
  <w:footnote w:type="continuationSeparator" w:id="0">
    <w:p w:rsidR="006461FA" w:rsidRDefault="006461FA" w:rsidP="000F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304"/>
    <w:multiLevelType w:val="hybridMultilevel"/>
    <w:tmpl w:val="8D546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0279D"/>
    <w:multiLevelType w:val="hybridMultilevel"/>
    <w:tmpl w:val="2F484FA4"/>
    <w:lvl w:ilvl="0" w:tplc="CDD4E81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C2D0B"/>
    <w:multiLevelType w:val="hybridMultilevel"/>
    <w:tmpl w:val="546E5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0967"/>
    <w:multiLevelType w:val="hybridMultilevel"/>
    <w:tmpl w:val="6C789768"/>
    <w:lvl w:ilvl="0" w:tplc="1EE0DA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A14D0"/>
    <w:multiLevelType w:val="hybridMultilevel"/>
    <w:tmpl w:val="432A33CA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F30B1"/>
    <w:multiLevelType w:val="hybridMultilevel"/>
    <w:tmpl w:val="8D546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E6095"/>
    <w:multiLevelType w:val="hybridMultilevel"/>
    <w:tmpl w:val="FD1A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844"/>
    <w:multiLevelType w:val="hybridMultilevel"/>
    <w:tmpl w:val="A848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5524"/>
    <w:multiLevelType w:val="hybridMultilevel"/>
    <w:tmpl w:val="1FB853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3785CF3"/>
    <w:multiLevelType w:val="hybridMultilevel"/>
    <w:tmpl w:val="2DD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74DB"/>
    <w:multiLevelType w:val="hybridMultilevel"/>
    <w:tmpl w:val="A224C94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B1487"/>
    <w:multiLevelType w:val="hybridMultilevel"/>
    <w:tmpl w:val="7F009FD8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892E48"/>
    <w:multiLevelType w:val="hybridMultilevel"/>
    <w:tmpl w:val="8E001802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E"/>
    <w:rsid w:val="00001895"/>
    <w:rsid w:val="0001038D"/>
    <w:rsid w:val="00010EB8"/>
    <w:rsid w:val="00014249"/>
    <w:rsid w:val="000175F0"/>
    <w:rsid w:val="000406CF"/>
    <w:rsid w:val="0004092E"/>
    <w:rsid w:val="0004295D"/>
    <w:rsid w:val="00047DD6"/>
    <w:rsid w:val="00052448"/>
    <w:rsid w:val="00052584"/>
    <w:rsid w:val="00054FC6"/>
    <w:rsid w:val="00056915"/>
    <w:rsid w:val="00061B05"/>
    <w:rsid w:val="000628E0"/>
    <w:rsid w:val="000667E5"/>
    <w:rsid w:val="000670F4"/>
    <w:rsid w:val="00067DDE"/>
    <w:rsid w:val="00077B71"/>
    <w:rsid w:val="00084912"/>
    <w:rsid w:val="00090BA0"/>
    <w:rsid w:val="00091E7D"/>
    <w:rsid w:val="00091F1D"/>
    <w:rsid w:val="00092F4A"/>
    <w:rsid w:val="000934DE"/>
    <w:rsid w:val="00094332"/>
    <w:rsid w:val="0009460E"/>
    <w:rsid w:val="0009487F"/>
    <w:rsid w:val="000A5794"/>
    <w:rsid w:val="000A6B33"/>
    <w:rsid w:val="000B1117"/>
    <w:rsid w:val="000B113E"/>
    <w:rsid w:val="000B1AED"/>
    <w:rsid w:val="000B2AEB"/>
    <w:rsid w:val="000B68A6"/>
    <w:rsid w:val="000B78C2"/>
    <w:rsid w:val="000B7A39"/>
    <w:rsid w:val="000C0FED"/>
    <w:rsid w:val="000C323B"/>
    <w:rsid w:val="000C3C7F"/>
    <w:rsid w:val="000C66A9"/>
    <w:rsid w:val="000C6EF5"/>
    <w:rsid w:val="000D1BFB"/>
    <w:rsid w:val="000D2616"/>
    <w:rsid w:val="000E2E08"/>
    <w:rsid w:val="000E31D3"/>
    <w:rsid w:val="000E4052"/>
    <w:rsid w:val="000E5A55"/>
    <w:rsid w:val="000F1125"/>
    <w:rsid w:val="000F1AFE"/>
    <w:rsid w:val="000F679D"/>
    <w:rsid w:val="000F7684"/>
    <w:rsid w:val="00100B8E"/>
    <w:rsid w:val="001032EA"/>
    <w:rsid w:val="0010440B"/>
    <w:rsid w:val="00113400"/>
    <w:rsid w:val="001152E4"/>
    <w:rsid w:val="001160B9"/>
    <w:rsid w:val="00127705"/>
    <w:rsid w:val="0013003B"/>
    <w:rsid w:val="001317F0"/>
    <w:rsid w:val="00132BB9"/>
    <w:rsid w:val="00133472"/>
    <w:rsid w:val="00140454"/>
    <w:rsid w:val="0014247B"/>
    <w:rsid w:val="001439DD"/>
    <w:rsid w:val="00143FF5"/>
    <w:rsid w:val="001444C8"/>
    <w:rsid w:val="00145EF7"/>
    <w:rsid w:val="00146742"/>
    <w:rsid w:val="0014759F"/>
    <w:rsid w:val="00151889"/>
    <w:rsid w:val="00152329"/>
    <w:rsid w:val="001561EF"/>
    <w:rsid w:val="00161ED5"/>
    <w:rsid w:val="00162CFD"/>
    <w:rsid w:val="001630EE"/>
    <w:rsid w:val="001644CF"/>
    <w:rsid w:val="00164812"/>
    <w:rsid w:val="00165AF0"/>
    <w:rsid w:val="001705D6"/>
    <w:rsid w:val="00170CD8"/>
    <w:rsid w:val="001711C6"/>
    <w:rsid w:val="00171A4C"/>
    <w:rsid w:val="001730E2"/>
    <w:rsid w:val="0017379B"/>
    <w:rsid w:val="00173F94"/>
    <w:rsid w:val="00175D7B"/>
    <w:rsid w:val="00177B83"/>
    <w:rsid w:val="0018607B"/>
    <w:rsid w:val="00186246"/>
    <w:rsid w:val="001872C2"/>
    <w:rsid w:val="00191AA9"/>
    <w:rsid w:val="00194BF1"/>
    <w:rsid w:val="00194C40"/>
    <w:rsid w:val="001A3774"/>
    <w:rsid w:val="001A3C04"/>
    <w:rsid w:val="001B0CD8"/>
    <w:rsid w:val="001B2A80"/>
    <w:rsid w:val="001B589E"/>
    <w:rsid w:val="001B5C63"/>
    <w:rsid w:val="001B6039"/>
    <w:rsid w:val="001B694C"/>
    <w:rsid w:val="001B7B14"/>
    <w:rsid w:val="001C06B4"/>
    <w:rsid w:val="001C0912"/>
    <w:rsid w:val="001C0E78"/>
    <w:rsid w:val="001C390E"/>
    <w:rsid w:val="001C4E7C"/>
    <w:rsid w:val="001C5D1F"/>
    <w:rsid w:val="001D2777"/>
    <w:rsid w:val="001D63A1"/>
    <w:rsid w:val="001D65EE"/>
    <w:rsid w:val="001D730F"/>
    <w:rsid w:val="001D7DBD"/>
    <w:rsid w:val="001E3167"/>
    <w:rsid w:val="001E5E06"/>
    <w:rsid w:val="001E7639"/>
    <w:rsid w:val="001F008F"/>
    <w:rsid w:val="001F2F96"/>
    <w:rsid w:val="001F6166"/>
    <w:rsid w:val="001F62EE"/>
    <w:rsid w:val="001F7A69"/>
    <w:rsid w:val="00206CC9"/>
    <w:rsid w:val="002101F3"/>
    <w:rsid w:val="00212289"/>
    <w:rsid w:val="00212A6E"/>
    <w:rsid w:val="00216F98"/>
    <w:rsid w:val="00220454"/>
    <w:rsid w:val="002223DF"/>
    <w:rsid w:val="002224C9"/>
    <w:rsid w:val="002241F8"/>
    <w:rsid w:val="002308EB"/>
    <w:rsid w:val="002337DF"/>
    <w:rsid w:val="00234F80"/>
    <w:rsid w:val="00235AA4"/>
    <w:rsid w:val="002429A7"/>
    <w:rsid w:val="00242CB1"/>
    <w:rsid w:val="00243342"/>
    <w:rsid w:val="00245DEF"/>
    <w:rsid w:val="002472FB"/>
    <w:rsid w:val="00247FA7"/>
    <w:rsid w:val="00250B4A"/>
    <w:rsid w:val="00252C83"/>
    <w:rsid w:val="00260166"/>
    <w:rsid w:val="00260EE6"/>
    <w:rsid w:val="00264112"/>
    <w:rsid w:val="0026494B"/>
    <w:rsid w:val="00265692"/>
    <w:rsid w:val="00265726"/>
    <w:rsid w:val="002721F7"/>
    <w:rsid w:val="002826FC"/>
    <w:rsid w:val="002867B5"/>
    <w:rsid w:val="0028680F"/>
    <w:rsid w:val="00287492"/>
    <w:rsid w:val="002904B0"/>
    <w:rsid w:val="00290B2E"/>
    <w:rsid w:val="002946A3"/>
    <w:rsid w:val="00297E12"/>
    <w:rsid w:val="002A7569"/>
    <w:rsid w:val="002A75EF"/>
    <w:rsid w:val="002A7D0A"/>
    <w:rsid w:val="002B2792"/>
    <w:rsid w:val="002B3E36"/>
    <w:rsid w:val="002B42A0"/>
    <w:rsid w:val="002B43D2"/>
    <w:rsid w:val="002B5A01"/>
    <w:rsid w:val="002C0FAB"/>
    <w:rsid w:val="002C12E5"/>
    <w:rsid w:val="002D11E4"/>
    <w:rsid w:val="002D174F"/>
    <w:rsid w:val="002D3AC5"/>
    <w:rsid w:val="002D490C"/>
    <w:rsid w:val="002D5519"/>
    <w:rsid w:val="002D5C96"/>
    <w:rsid w:val="002E3844"/>
    <w:rsid w:val="002E4AC2"/>
    <w:rsid w:val="002E6F8B"/>
    <w:rsid w:val="002F0887"/>
    <w:rsid w:val="002F1D56"/>
    <w:rsid w:val="002F20AC"/>
    <w:rsid w:val="00301E1A"/>
    <w:rsid w:val="00303184"/>
    <w:rsid w:val="00303BD6"/>
    <w:rsid w:val="00305EC7"/>
    <w:rsid w:val="00306801"/>
    <w:rsid w:val="00306F22"/>
    <w:rsid w:val="00310C9A"/>
    <w:rsid w:val="00316A74"/>
    <w:rsid w:val="00320258"/>
    <w:rsid w:val="003205D9"/>
    <w:rsid w:val="00320DE0"/>
    <w:rsid w:val="00322690"/>
    <w:rsid w:val="00323602"/>
    <w:rsid w:val="00333310"/>
    <w:rsid w:val="00335114"/>
    <w:rsid w:val="003436AA"/>
    <w:rsid w:val="00346BA5"/>
    <w:rsid w:val="00346F80"/>
    <w:rsid w:val="0035158A"/>
    <w:rsid w:val="00356276"/>
    <w:rsid w:val="0036182D"/>
    <w:rsid w:val="00367024"/>
    <w:rsid w:val="00367174"/>
    <w:rsid w:val="003673C3"/>
    <w:rsid w:val="0037025F"/>
    <w:rsid w:val="0037221E"/>
    <w:rsid w:val="00375A6D"/>
    <w:rsid w:val="00381731"/>
    <w:rsid w:val="00387904"/>
    <w:rsid w:val="00390CAA"/>
    <w:rsid w:val="00390FE2"/>
    <w:rsid w:val="0039783F"/>
    <w:rsid w:val="003A057C"/>
    <w:rsid w:val="003A20FE"/>
    <w:rsid w:val="003A46C0"/>
    <w:rsid w:val="003A5F68"/>
    <w:rsid w:val="003A695C"/>
    <w:rsid w:val="003A73C5"/>
    <w:rsid w:val="003B0C05"/>
    <w:rsid w:val="003B3FA1"/>
    <w:rsid w:val="003B5622"/>
    <w:rsid w:val="003C0318"/>
    <w:rsid w:val="003C156B"/>
    <w:rsid w:val="003C3D18"/>
    <w:rsid w:val="003C7A1A"/>
    <w:rsid w:val="003D06FD"/>
    <w:rsid w:val="003D20CD"/>
    <w:rsid w:val="003D3F70"/>
    <w:rsid w:val="003D6616"/>
    <w:rsid w:val="003D6899"/>
    <w:rsid w:val="003D6F35"/>
    <w:rsid w:val="003D789A"/>
    <w:rsid w:val="003E139C"/>
    <w:rsid w:val="003E33D2"/>
    <w:rsid w:val="003E6546"/>
    <w:rsid w:val="003E6CC7"/>
    <w:rsid w:val="003F3E9C"/>
    <w:rsid w:val="003F4EC9"/>
    <w:rsid w:val="003F4F94"/>
    <w:rsid w:val="003F5518"/>
    <w:rsid w:val="003F5F36"/>
    <w:rsid w:val="003F62BD"/>
    <w:rsid w:val="003F773F"/>
    <w:rsid w:val="004009F8"/>
    <w:rsid w:val="00406887"/>
    <w:rsid w:val="00407F5B"/>
    <w:rsid w:val="0041476A"/>
    <w:rsid w:val="00416815"/>
    <w:rsid w:val="00421DBE"/>
    <w:rsid w:val="00422BCF"/>
    <w:rsid w:val="0042570F"/>
    <w:rsid w:val="0043116D"/>
    <w:rsid w:val="00436B30"/>
    <w:rsid w:val="004433AC"/>
    <w:rsid w:val="00444BD8"/>
    <w:rsid w:val="00446120"/>
    <w:rsid w:val="0044729F"/>
    <w:rsid w:val="004472CB"/>
    <w:rsid w:val="004570E5"/>
    <w:rsid w:val="00457190"/>
    <w:rsid w:val="00467B87"/>
    <w:rsid w:val="00473667"/>
    <w:rsid w:val="00473F86"/>
    <w:rsid w:val="004744F1"/>
    <w:rsid w:val="0047784F"/>
    <w:rsid w:val="0048230A"/>
    <w:rsid w:val="00483F1F"/>
    <w:rsid w:val="00491998"/>
    <w:rsid w:val="004919B0"/>
    <w:rsid w:val="00495037"/>
    <w:rsid w:val="004A0337"/>
    <w:rsid w:val="004B24E6"/>
    <w:rsid w:val="004B29D2"/>
    <w:rsid w:val="004B3C91"/>
    <w:rsid w:val="004B6CB6"/>
    <w:rsid w:val="004C0C29"/>
    <w:rsid w:val="004C3616"/>
    <w:rsid w:val="004C536D"/>
    <w:rsid w:val="004D3AE8"/>
    <w:rsid w:val="004D621C"/>
    <w:rsid w:val="004E1BB3"/>
    <w:rsid w:val="004E1DE7"/>
    <w:rsid w:val="004E3E2D"/>
    <w:rsid w:val="004E4169"/>
    <w:rsid w:val="004E6790"/>
    <w:rsid w:val="004E6D9D"/>
    <w:rsid w:val="004F1B7B"/>
    <w:rsid w:val="00502D3F"/>
    <w:rsid w:val="00504C98"/>
    <w:rsid w:val="00514BBD"/>
    <w:rsid w:val="00523F54"/>
    <w:rsid w:val="00525BC2"/>
    <w:rsid w:val="00527711"/>
    <w:rsid w:val="00527CB9"/>
    <w:rsid w:val="00551404"/>
    <w:rsid w:val="005558FC"/>
    <w:rsid w:val="00560531"/>
    <w:rsid w:val="00560DA0"/>
    <w:rsid w:val="00561C6F"/>
    <w:rsid w:val="00576643"/>
    <w:rsid w:val="00577ED9"/>
    <w:rsid w:val="00583D8D"/>
    <w:rsid w:val="00584474"/>
    <w:rsid w:val="005844F9"/>
    <w:rsid w:val="005855A3"/>
    <w:rsid w:val="005860B5"/>
    <w:rsid w:val="00587E8F"/>
    <w:rsid w:val="00594FA3"/>
    <w:rsid w:val="005976F7"/>
    <w:rsid w:val="005A044F"/>
    <w:rsid w:val="005A2955"/>
    <w:rsid w:val="005A30AE"/>
    <w:rsid w:val="005A3D1D"/>
    <w:rsid w:val="005A465C"/>
    <w:rsid w:val="005A4E92"/>
    <w:rsid w:val="005B2279"/>
    <w:rsid w:val="005B385A"/>
    <w:rsid w:val="005B728C"/>
    <w:rsid w:val="005B7941"/>
    <w:rsid w:val="005C024F"/>
    <w:rsid w:val="005C55AE"/>
    <w:rsid w:val="005C7FFD"/>
    <w:rsid w:val="005D048F"/>
    <w:rsid w:val="005D2263"/>
    <w:rsid w:val="005D3832"/>
    <w:rsid w:val="005E2FA0"/>
    <w:rsid w:val="005E6FCE"/>
    <w:rsid w:val="005E7153"/>
    <w:rsid w:val="005F027D"/>
    <w:rsid w:val="005F08F0"/>
    <w:rsid w:val="005F3D76"/>
    <w:rsid w:val="005F51CE"/>
    <w:rsid w:val="005F6D03"/>
    <w:rsid w:val="006001D9"/>
    <w:rsid w:val="00601489"/>
    <w:rsid w:val="00603017"/>
    <w:rsid w:val="00610F36"/>
    <w:rsid w:val="0061506E"/>
    <w:rsid w:val="006161D3"/>
    <w:rsid w:val="0062076D"/>
    <w:rsid w:val="00623E82"/>
    <w:rsid w:val="00624241"/>
    <w:rsid w:val="006252EA"/>
    <w:rsid w:val="00627658"/>
    <w:rsid w:val="00634549"/>
    <w:rsid w:val="00635799"/>
    <w:rsid w:val="00635C2A"/>
    <w:rsid w:val="006371C1"/>
    <w:rsid w:val="006420D9"/>
    <w:rsid w:val="006461FA"/>
    <w:rsid w:val="0065119B"/>
    <w:rsid w:val="006528C0"/>
    <w:rsid w:val="00654DD8"/>
    <w:rsid w:val="00656745"/>
    <w:rsid w:val="0066262D"/>
    <w:rsid w:val="00663774"/>
    <w:rsid w:val="00663CE9"/>
    <w:rsid w:val="00663E1D"/>
    <w:rsid w:val="006670B8"/>
    <w:rsid w:val="00672E77"/>
    <w:rsid w:val="0068238C"/>
    <w:rsid w:val="006838F1"/>
    <w:rsid w:val="00686511"/>
    <w:rsid w:val="00687FA0"/>
    <w:rsid w:val="006911C3"/>
    <w:rsid w:val="0069221D"/>
    <w:rsid w:val="006975A0"/>
    <w:rsid w:val="006B4BCC"/>
    <w:rsid w:val="006B5124"/>
    <w:rsid w:val="006C059B"/>
    <w:rsid w:val="006C2BFD"/>
    <w:rsid w:val="006C33B6"/>
    <w:rsid w:val="006C5C89"/>
    <w:rsid w:val="006D379F"/>
    <w:rsid w:val="006D4D5C"/>
    <w:rsid w:val="006E02A6"/>
    <w:rsid w:val="006E3C7E"/>
    <w:rsid w:val="006E56FC"/>
    <w:rsid w:val="006E5FC3"/>
    <w:rsid w:val="006E6D04"/>
    <w:rsid w:val="006F1570"/>
    <w:rsid w:val="006F1A8A"/>
    <w:rsid w:val="006F349E"/>
    <w:rsid w:val="006F4905"/>
    <w:rsid w:val="006F57E6"/>
    <w:rsid w:val="006F6173"/>
    <w:rsid w:val="006F6781"/>
    <w:rsid w:val="006F746F"/>
    <w:rsid w:val="006F7A55"/>
    <w:rsid w:val="00700646"/>
    <w:rsid w:val="00703BC3"/>
    <w:rsid w:val="00704364"/>
    <w:rsid w:val="00710118"/>
    <w:rsid w:val="007117EB"/>
    <w:rsid w:val="007146AF"/>
    <w:rsid w:val="0071772A"/>
    <w:rsid w:val="00720833"/>
    <w:rsid w:val="00721A91"/>
    <w:rsid w:val="00723749"/>
    <w:rsid w:val="00723AF5"/>
    <w:rsid w:val="00724540"/>
    <w:rsid w:val="00730BC3"/>
    <w:rsid w:val="00732D32"/>
    <w:rsid w:val="00734E9B"/>
    <w:rsid w:val="00736CFA"/>
    <w:rsid w:val="007422F2"/>
    <w:rsid w:val="007424AA"/>
    <w:rsid w:val="00744B19"/>
    <w:rsid w:val="00744CCA"/>
    <w:rsid w:val="00746B1B"/>
    <w:rsid w:val="0075242A"/>
    <w:rsid w:val="007525E9"/>
    <w:rsid w:val="0075501F"/>
    <w:rsid w:val="0076271D"/>
    <w:rsid w:val="0076449B"/>
    <w:rsid w:val="00765FB5"/>
    <w:rsid w:val="00774434"/>
    <w:rsid w:val="00776D99"/>
    <w:rsid w:val="007825DE"/>
    <w:rsid w:val="00782DFE"/>
    <w:rsid w:val="0078374B"/>
    <w:rsid w:val="00786889"/>
    <w:rsid w:val="00786A39"/>
    <w:rsid w:val="007902D3"/>
    <w:rsid w:val="00790A0B"/>
    <w:rsid w:val="007912EF"/>
    <w:rsid w:val="00792470"/>
    <w:rsid w:val="00793990"/>
    <w:rsid w:val="00793CD6"/>
    <w:rsid w:val="0079624A"/>
    <w:rsid w:val="007A2F1F"/>
    <w:rsid w:val="007A5033"/>
    <w:rsid w:val="007A6084"/>
    <w:rsid w:val="007B132D"/>
    <w:rsid w:val="007B27F6"/>
    <w:rsid w:val="007B29BD"/>
    <w:rsid w:val="007B58DD"/>
    <w:rsid w:val="007B7E19"/>
    <w:rsid w:val="007C0C69"/>
    <w:rsid w:val="007C168E"/>
    <w:rsid w:val="007C2459"/>
    <w:rsid w:val="007C263F"/>
    <w:rsid w:val="007C6937"/>
    <w:rsid w:val="007D1CC0"/>
    <w:rsid w:val="007D3294"/>
    <w:rsid w:val="007D35E2"/>
    <w:rsid w:val="007D7E02"/>
    <w:rsid w:val="007E3175"/>
    <w:rsid w:val="007E3F3D"/>
    <w:rsid w:val="007E65C1"/>
    <w:rsid w:val="007F1F1C"/>
    <w:rsid w:val="007F6F58"/>
    <w:rsid w:val="00800197"/>
    <w:rsid w:val="008048A2"/>
    <w:rsid w:val="00805903"/>
    <w:rsid w:val="00812B1F"/>
    <w:rsid w:val="00812F51"/>
    <w:rsid w:val="0081440B"/>
    <w:rsid w:val="008172A1"/>
    <w:rsid w:val="00821562"/>
    <w:rsid w:val="00822FA9"/>
    <w:rsid w:val="0082414F"/>
    <w:rsid w:val="0083020C"/>
    <w:rsid w:val="00836529"/>
    <w:rsid w:val="00846093"/>
    <w:rsid w:val="00860AC5"/>
    <w:rsid w:val="00860B26"/>
    <w:rsid w:val="00864E91"/>
    <w:rsid w:val="0087437C"/>
    <w:rsid w:val="00876F35"/>
    <w:rsid w:val="008776DE"/>
    <w:rsid w:val="008811BD"/>
    <w:rsid w:val="008826DF"/>
    <w:rsid w:val="00884705"/>
    <w:rsid w:val="00885FE6"/>
    <w:rsid w:val="00886EC0"/>
    <w:rsid w:val="00890AF0"/>
    <w:rsid w:val="008A2446"/>
    <w:rsid w:val="008A4131"/>
    <w:rsid w:val="008A501C"/>
    <w:rsid w:val="008B22A5"/>
    <w:rsid w:val="008B3674"/>
    <w:rsid w:val="008B5C33"/>
    <w:rsid w:val="008B6EA3"/>
    <w:rsid w:val="008C0B00"/>
    <w:rsid w:val="008C1A47"/>
    <w:rsid w:val="008C4674"/>
    <w:rsid w:val="008C63FB"/>
    <w:rsid w:val="008C7A06"/>
    <w:rsid w:val="008C7F6E"/>
    <w:rsid w:val="008D102E"/>
    <w:rsid w:val="008D1929"/>
    <w:rsid w:val="008D422D"/>
    <w:rsid w:val="008D49BA"/>
    <w:rsid w:val="008D6039"/>
    <w:rsid w:val="008E2522"/>
    <w:rsid w:val="008E2798"/>
    <w:rsid w:val="008E460E"/>
    <w:rsid w:val="008E69C8"/>
    <w:rsid w:val="008F05EA"/>
    <w:rsid w:val="008F3BD3"/>
    <w:rsid w:val="008F5164"/>
    <w:rsid w:val="008F531E"/>
    <w:rsid w:val="008F7210"/>
    <w:rsid w:val="00902E46"/>
    <w:rsid w:val="00903218"/>
    <w:rsid w:val="0092369E"/>
    <w:rsid w:val="00924D2B"/>
    <w:rsid w:val="00925610"/>
    <w:rsid w:val="009310FC"/>
    <w:rsid w:val="00936608"/>
    <w:rsid w:val="00936C55"/>
    <w:rsid w:val="009371A3"/>
    <w:rsid w:val="00937F1F"/>
    <w:rsid w:val="00941274"/>
    <w:rsid w:val="00943EA3"/>
    <w:rsid w:val="009443BB"/>
    <w:rsid w:val="00944BDC"/>
    <w:rsid w:val="009450D2"/>
    <w:rsid w:val="009458C7"/>
    <w:rsid w:val="009460A3"/>
    <w:rsid w:val="00947F5C"/>
    <w:rsid w:val="00950843"/>
    <w:rsid w:val="00956970"/>
    <w:rsid w:val="00957F0D"/>
    <w:rsid w:val="00964EDF"/>
    <w:rsid w:val="00965C24"/>
    <w:rsid w:val="009667CB"/>
    <w:rsid w:val="00966897"/>
    <w:rsid w:val="009700B6"/>
    <w:rsid w:val="00972017"/>
    <w:rsid w:val="00974B46"/>
    <w:rsid w:val="00977106"/>
    <w:rsid w:val="0097722A"/>
    <w:rsid w:val="009807EE"/>
    <w:rsid w:val="00983516"/>
    <w:rsid w:val="00983B06"/>
    <w:rsid w:val="0098557B"/>
    <w:rsid w:val="00985A1C"/>
    <w:rsid w:val="009900C4"/>
    <w:rsid w:val="00990ADE"/>
    <w:rsid w:val="0099615E"/>
    <w:rsid w:val="009A550D"/>
    <w:rsid w:val="009B088A"/>
    <w:rsid w:val="009B751B"/>
    <w:rsid w:val="009B7925"/>
    <w:rsid w:val="009C12D1"/>
    <w:rsid w:val="009C1A59"/>
    <w:rsid w:val="009C7A47"/>
    <w:rsid w:val="009C7BA8"/>
    <w:rsid w:val="009D2093"/>
    <w:rsid w:val="009D3496"/>
    <w:rsid w:val="009D44C6"/>
    <w:rsid w:val="009D45F8"/>
    <w:rsid w:val="009E1EED"/>
    <w:rsid w:val="009E3BD6"/>
    <w:rsid w:val="009F2430"/>
    <w:rsid w:val="009F3DAA"/>
    <w:rsid w:val="009F64BD"/>
    <w:rsid w:val="009F6E18"/>
    <w:rsid w:val="00A01053"/>
    <w:rsid w:val="00A01A8D"/>
    <w:rsid w:val="00A01EEB"/>
    <w:rsid w:val="00A126CF"/>
    <w:rsid w:val="00A1401B"/>
    <w:rsid w:val="00A150D7"/>
    <w:rsid w:val="00A162F4"/>
    <w:rsid w:val="00A16340"/>
    <w:rsid w:val="00A17509"/>
    <w:rsid w:val="00A21E3C"/>
    <w:rsid w:val="00A227C0"/>
    <w:rsid w:val="00A251E9"/>
    <w:rsid w:val="00A266D2"/>
    <w:rsid w:val="00A312B9"/>
    <w:rsid w:val="00A31F3A"/>
    <w:rsid w:val="00A33905"/>
    <w:rsid w:val="00A42BB7"/>
    <w:rsid w:val="00A431EC"/>
    <w:rsid w:val="00A47C88"/>
    <w:rsid w:val="00A52574"/>
    <w:rsid w:val="00A54A0E"/>
    <w:rsid w:val="00A61FDD"/>
    <w:rsid w:val="00A6239B"/>
    <w:rsid w:val="00A62737"/>
    <w:rsid w:val="00A654B8"/>
    <w:rsid w:val="00A656F0"/>
    <w:rsid w:val="00A72CE4"/>
    <w:rsid w:val="00A77FF8"/>
    <w:rsid w:val="00A850D1"/>
    <w:rsid w:val="00A90D72"/>
    <w:rsid w:val="00A91AB4"/>
    <w:rsid w:val="00A97215"/>
    <w:rsid w:val="00AA46DA"/>
    <w:rsid w:val="00AA6C4F"/>
    <w:rsid w:val="00AB089B"/>
    <w:rsid w:val="00AB152C"/>
    <w:rsid w:val="00AB6320"/>
    <w:rsid w:val="00AB77EC"/>
    <w:rsid w:val="00AC24FC"/>
    <w:rsid w:val="00AC6A79"/>
    <w:rsid w:val="00AD1EBA"/>
    <w:rsid w:val="00AE0763"/>
    <w:rsid w:val="00AE6ACD"/>
    <w:rsid w:val="00AF017F"/>
    <w:rsid w:val="00AF1E4F"/>
    <w:rsid w:val="00AF2277"/>
    <w:rsid w:val="00AF411B"/>
    <w:rsid w:val="00AF66BF"/>
    <w:rsid w:val="00B020CE"/>
    <w:rsid w:val="00B06551"/>
    <w:rsid w:val="00B07856"/>
    <w:rsid w:val="00B134F3"/>
    <w:rsid w:val="00B15430"/>
    <w:rsid w:val="00B1731E"/>
    <w:rsid w:val="00B22558"/>
    <w:rsid w:val="00B24394"/>
    <w:rsid w:val="00B35B1D"/>
    <w:rsid w:val="00B375B4"/>
    <w:rsid w:val="00B37CC6"/>
    <w:rsid w:val="00B46620"/>
    <w:rsid w:val="00B504C3"/>
    <w:rsid w:val="00B51777"/>
    <w:rsid w:val="00B51C17"/>
    <w:rsid w:val="00B524D5"/>
    <w:rsid w:val="00B538FB"/>
    <w:rsid w:val="00B540AC"/>
    <w:rsid w:val="00B54B30"/>
    <w:rsid w:val="00B557EE"/>
    <w:rsid w:val="00B55B78"/>
    <w:rsid w:val="00B55C03"/>
    <w:rsid w:val="00B571EA"/>
    <w:rsid w:val="00B60648"/>
    <w:rsid w:val="00B60A57"/>
    <w:rsid w:val="00B61405"/>
    <w:rsid w:val="00B61A90"/>
    <w:rsid w:val="00B62C38"/>
    <w:rsid w:val="00B645BC"/>
    <w:rsid w:val="00B71D22"/>
    <w:rsid w:val="00B72F4B"/>
    <w:rsid w:val="00B74F95"/>
    <w:rsid w:val="00B84182"/>
    <w:rsid w:val="00B863C4"/>
    <w:rsid w:val="00B905CF"/>
    <w:rsid w:val="00B9111A"/>
    <w:rsid w:val="00B9148A"/>
    <w:rsid w:val="00B91AD4"/>
    <w:rsid w:val="00B93A0D"/>
    <w:rsid w:val="00B93B21"/>
    <w:rsid w:val="00B968E5"/>
    <w:rsid w:val="00B97AD7"/>
    <w:rsid w:val="00BA14B6"/>
    <w:rsid w:val="00BA1AFE"/>
    <w:rsid w:val="00BA310A"/>
    <w:rsid w:val="00BB29F7"/>
    <w:rsid w:val="00BB3FFC"/>
    <w:rsid w:val="00BC26A0"/>
    <w:rsid w:val="00BC47B9"/>
    <w:rsid w:val="00BC6361"/>
    <w:rsid w:val="00BC719D"/>
    <w:rsid w:val="00BC7F23"/>
    <w:rsid w:val="00BD005F"/>
    <w:rsid w:val="00BD19F3"/>
    <w:rsid w:val="00BD3730"/>
    <w:rsid w:val="00BD49A0"/>
    <w:rsid w:val="00BD71E8"/>
    <w:rsid w:val="00BE2F25"/>
    <w:rsid w:val="00BE32D9"/>
    <w:rsid w:val="00BE7C09"/>
    <w:rsid w:val="00BF4518"/>
    <w:rsid w:val="00BF6BD1"/>
    <w:rsid w:val="00C039EB"/>
    <w:rsid w:val="00C04A93"/>
    <w:rsid w:val="00C05665"/>
    <w:rsid w:val="00C15AC2"/>
    <w:rsid w:val="00C16A57"/>
    <w:rsid w:val="00C22415"/>
    <w:rsid w:val="00C2499C"/>
    <w:rsid w:val="00C32321"/>
    <w:rsid w:val="00C35569"/>
    <w:rsid w:val="00C363D9"/>
    <w:rsid w:val="00C366A7"/>
    <w:rsid w:val="00C36783"/>
    <w:rsid w:val="00C37589"/>
    <w:rsid w:val="00C404EF"/>
    <w:rsid w:val="00C41E75"/>
    <w:rsid w:val="00C45EBE"/>
    <w:rsid w:val="00C461FA"/>
    <w:rsid w:val="00C4727E"/>
    <w:rsid w:val="00C504CC"/>
    <w:rsid w:val="00C508FF"/>
    <w:rsid w:val="00C552D2"/>
    <w:rsid w:val="00C55D05"/>
    <w:rsid w:val="00C55D97"/>
    <w:rsid w:val="00C6298F"/>
    <w:rsid w:val="00C64E5D"/>
    <w:rsid w:val="00C66617"/>
    <w:rsid w:val="00C71FD5"/>
    <w:rsid w:val="00C72556"/>
    <w:rsid w:val="00C72DE7"/>
    <w:rsid w:val="00C72F66"/>
    <w:rsid w:val="00C74344"/>
    <w:rsid w:val="00C746FB"/>
    <w:rsid w:val="00C811BA"/>
    <w:rsid w:val="00C84180"/>
    <w:rsid w:val="00C956A2"/>
    <w:rsid w:val="00CA372C"/>
    <w:rsid w:val="00CA4AF4"/>
    <w:rsid w:val="00CB1096"/>
    <w:rsid w:val="00CB62B8"/>
    <w:rsid w:val="00CC037A"/>
    <w:rsid w:val="00CC25FC"/>
    <w:rsid w:val="00CC444E"/>
    <w:rsid w:val="00CC4D45"/>
    <w:rsid w:val="00CD37A7"/>
    <w:rsid w:val="00CD3E6D"/>
    <w:rsid w:val="00CD4DBB"/>
    <w:rsid w:val="00CE353C"/>
    <w:rsid w:val="00CE5DE7"/>
    <w:rsid w:val="00CF31AF"/>
    <w:rsid w:val="00CF4718"/>
    <w:rsid w:val="00CF5816"/>
    <w:rsid w:val="00CF5E20"/>
    <w:rsid w:val="00CF6655"/>
    <w:rsid w:val="00CF6E8E"/>
    <w:rsid w:val="00D006A1"/>
    <w:rsid w:val="00D00BE3"/>
    <w:rsid w:val="00D029E6"/>
    <w:rsid w:val="00D03AFD"/>
    <w:rsid w:val="00D04A6A"/>
    <w:rsid w:val="00D063AF"/>
    <w:rsid w:val="00D10DA6"/>
    <w:rsid w:val="00D14B80"/>
    <w:rsid w:val="00D1584C"/>
    <w:rsid w:val="00D20BB2"/>
    <w:rsid w:val="00D21193"/>
    <w:rsid w:val="00D22227"/>
    <w:rsid w:val="00D23C1A"/>
    <w:rsid w:val="00D23C52"/>
    <w:rsid w:val="00D23CEE"/>
    <w:rsid w:val="00D26BF7"/>
    <w:rsid w:val="00D27615"/>
    <w:rsid w:val="00D2797F"/>
    <w:rsid w:val="00D3070B"/>
    <w:rsid w:val="00D30980"/>
    <w:rsid w:val="00D34741"/>
    <w:rsid w:val="00D34C00"/>
    <w:rsid w:val="00D35C19"/>
    <w:rsid w:val="00D364E2"/>
    <w:rsid w:val="00D37C8F"/>
    <w:rsid w:val="00D42B1F"/>
    <w:rsid w:val="00D4336B"/>
    <w:rsid w:val="00D45CB3"/>
    <w:rsid w:val="00D54DBB"/>
    <w:rsid w:val="00D55D97"/>
    <w:rsid w:val="00D56D64"/>
    <w:rsid w:val="00D57542"/>
    <w:rsid w:val="00D61425"/>
    <w:rsid w:val="00D630CB"/>
    <w:rsid w:val="00D639B0"/>
    <w:rsid w:val="00D647E2"/>
    <w:rsid w:val="00D65DFD"/>
    <w:rsid w:val="00D67874"/>
    <w:rsid w:val="00D67C26"/>
    <w:rsid w:val="00D70C16"/>
    <w:rsid w:val="00D71697"/>
    <w:rsid w:val="00D750B5"/>
    <w:rsid w:val="00D779EA"/>
    <w:rsid w:val="00D8328D"/>
    <w:rsid w:val="00D853DA"/>
    <w:rsid w:val="00D90CB4"/>
    <w:rsid w:val="00D926BF"/>
    <w:rsid w:val="00D96810"/>
    <w:rsid w:val="00D96D77"/>
    <w:rsid w:val="00D9720E"/>
    <w:rsid w:val="00D97554"/>
    <w:rsid w:val="00DA3BED"/>
    <w:rsid w:val="00DA6306"/>
    <w:rsid w:val="00DA69F3"/>
    <w:rsid w:val="00DA7721"/>
    <w:rsid w:val="00DB2A21"/>
    <w:rsid w:val="00DB2F95"/>
    <w:rsid w:val="00DB4891"/>
    <w:rsid w:val="00DC1AA5"/>
    <w:rsid w:val="00DC2589"/>
    <w:rsid w:val="00DC2A0C"/>
    <w:rsid w:val="00DC45BA"/>
    <w:rsid w:val="00DC6982"/>
    <w:rsid w:val="00DD202B"/>
    <w:rsid w:val="00DD5877"/>
    <w:rsid w:val="00DD6E93"/>
    <w:rsid w:val="00DE1BB1"/>
    <w:rsid w:val="00DE55BD"/>
    <w:rsid w:val="00DE55F9"/>
    <w:rsid w:val="00DE7CF7"/>
    <w:rsid w:val="00DF3398"/>
    <w:rsid w:val="00DF3AFE"/>
    <w:rsid w:val="00DF6A9C"/>
    <w:rsid w:val="00E01E76"/>
    <w:rsid w:val="00E04D16"/>
    <w:rsid w:val="00E12F1C"/>
    <w:rsid w:val="00E14374"/>
    <w:rsid w:val="00E14844"/>
    <w:rsid w:val="00E30D44"/>
    <w:rsid w:val="00E317AC"/>
    <w:rsid w:val="00E32201"/>
    <w:rsid w:val="00E33FBA"/>
    <w:rsid w:val="00E350CF"/>
    <w:rsid w:val="00E352F1"/>
    <w:rsid w:val="00E47E60"/>
    <w:rsid w:val="00E50173"/>
    <w:rsid w:val="00E51D70"/>
    <w:rsid w:val="00E51F8A"/>
    <w:rsid w:val="00E53872"/>
    <w:rsid w:val="00E55085"/>
    <w:rsid w:val="00E55299"/>
    <w:rsid w:val="00E64C7C"/>
    <w:rsid w:val="00E67560"/>
    <w:rsid w:val="00E7047F"/>
    <w:rsid w:val="00E73FA2"/>
    <w:rsid w:val="00E756D7"/>
    <w:rsid w:val="00E762AC"/>
    <w:rsid w:val="00E7790C"/>
    <w:rsid w:val="00E83607"/>
    <w:rsid w:val="00E838B8"/>
    <w:rsid w:val="00E87D8C"/>
    <w:rsid w:val="00E94721"/>
    <w:rsid w:val="00E953F1"/>
    <w:rsid w:val="00E97047"/>
    <w:rsid w:val="00EA016D"/>
    <w:rsid w:val="00EA2FBE"/>
    <w:rsid w:val="00EA3689"/>
    <w:rsid w:val="00EA467A"/>
    <w:rsid w:val="00EA511C"/>
    <w:rsid w:val="00EA5FF2"/>
    <w:rsid w:val="00EA78F6"/>
    <w:rsid w:val="00EC035A"/>
    <w:rsid w:val="00EC0577"/>
    <w:rsid w:val="00EC1817"/>
    <w:rsid w:val="00EC499A"/>
    <w:rsid w:val="00EC6621"/>
    <w:rsid w:val="00ED3B34"/>
    <w:rsid w:val="00ED43F1"/>
    <w:rsid w:val="00ED477D"/>
    <w:rsid w:val="00EE23EC"/>
    <w:rsid w:val="00EE3EEC"/>
    <w:rsid w:val="00EE4258"/>
    <w:rsid w:val="00EE5244"/>
    <w:rsid w:val="00EE5D90"/>
    <w:rsid w:val="00EE7A70"/>
    <w:rsid w:val="00EF37B8"/>
    <w:rsid w:val="00EF434E"/>
    <w:rsid w:val="00EF72BD"/>
    <w:rsid w:val="00F035A8"/>
    <w:rsid w:val="00F0361B"/>
    <w:rsid w:val="00F0445A"/>
    <w:rsid w:val="00F12420"/>
    <w:rsid w:val="00F13BC5"/>
    <w:rsid w:val="00F166AC"/>
    <w:rsid w:val="00F208ED"/>
    <w:rsid w:val="00F246DD"/>
    <w:rsid w:val="00F25A3B"/>
    <w:rsid w:val="00F2727B"/>
    <w:rsid w:val="00F36FC2"/>
    <w:rsid w:val="00F4549D"/>
    <w:rsid w:val="00F47247"/>
    <w:rsid w:val="00F51FB1"/>
    <w:rsid w:val="00F5299E"/>
    <w:rsid w:val="00F60845"/>
    <w:rsid w:val="00F609EA"/>
    <w:rsid w:val="00F62316"/>
    <w:rsid w:val="00F66F7A"/>
    <w:rsid w:val="00F7061C"/>
    <w:rsid w:val="00F7653F"/>
    <w:rsid w:val="00F76D0F"/>
    <w:rsid w:val="00F8078A"/>
    <w:rsid w:val="00F83DDA"/>
    <w:rsid w:val="00F85EC5"/>
    <w:rsid w:val="00F9070C"/>
    <w:rsid w:val="00F908D3"/>
    <w:rsid w:val="00F91526"/>
    <w:rsid w:val="00F9464F"/>
    <w:rsid w:val="00F960A4"/>
    <w:rsid w:val="00FA0C44"/>
    <w:rsid w:val="00FA4E3E"/>
    <w:rsid w:val="00FA56F5"/>
    <w:rsid w:val="00FA6031"/>
    <w:rsid w:val="00FA61F6"/>
    <w:rsid w:val="00FA70C6"/>
    <w:rsid w:val="00FB3472"/>
    <w:rsid w:val="00FB37F6"/>
    <w:rsid w:val="00FB57FD"/>
    <w:rsid w:val="00FC0D18"/>
    <w:rsid w:val="00FC2055"/>
    <w:rsid w:val="00FC2D14"/>
    <w:rsid w:val="00FC40EF"/>
    <w:rsid w:val="00FC4746"/>
    <w:rsid w:val="00FC55E9"/>
    <w:rsid w:val="00FC652F"/>
    <w:rsid w:val="00FC6954"/>
    <w:rsid w:val="00FC7AAC"/>
    <w:rsid w:val="00FD0D8E"/>
    <w:rsid w:val="00FD1BC4"/>
    <w:rsid w:val="00FD44E8"/>
    <w:rsid w:val="00FD4683"/>
    <w:rsid w:val="00FD5D77"/>
    <w:rsid w:val="00FD7BB8"/>
    <w:rsid w:val="00FE4283"/>
    <w:rsid w:val="00FE70BA"/>
    <w:rsid w:val="00FF089F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6508F-8CC0-4A53-9461-FC9363B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1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C7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Heading 2_sj,List Paragraph1,Listenabsatz1"/>
    <w:basedOn w:val="Standaard"/>
    <w:link w:val="LijstalineaChar"/>
    <w:uiPriority w:val="34"/>
    <w:qFormat/>
    <w:rsid w:val="00F036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D3832"/>
    <w:rPr>
      <w:color w:val="0000FF" w:themeColor="hyperlink"/>
      <w:u w:val="single"/>
    </w:rPr>
  </w:style>
  <w:style w:type="paragraph" w:styleId="Voetnoottekst">
    <w:name w:val="footnote text"/>
    <w:aliases w:val="M Footnotes"/>
    <w:basedOn w:val="Standaard"/>
    <w:link w:val="VoetnoottekstChar"/>
    <w:uiPriority w:val="99"/>
    <w:unhideWhenUsed/>
    <w:qFormat/>
    <w:rsid w:val="005D3832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VoetnoottekstChar">
    <w:name w:val="Voetnoottekst Char"/>
    <w:aliases w:val="M Footnotes Char"/>
    <w:basedOn w:val="Standaardalinea-lettertype"/>
    <w:link w:val="Voetnoottekst"/>
    <w:uiPriority w:val="99"/>
    <w:rsid w:val="005D3832"/>
    <w:rPr>
      <w:rFonts w:ascii="Calibri" w:eastAsia="Calibri" w:hAnsi="Calibri" w:cs="Times New Roman"/>
      <w:sz w:val="20"/>
      <w:szCs w:val="20"/>
      <w:lang w:val="de-DE"/>
    </w:rPr>
  </w:style>
  <w:style w:type="paragraph" w:customStyle="1" w:styleId="Tablecontents">
    <w:name w:val="Table contents"/>
    <w:basedOn w:val="Standaard"/>
    <w:uiPriority w:val="99"/>
    <w:qFormat/>
    <w:rsid w:val="000F1AFE"/>
    <w:pPr>
      <w:spacing w:before="60" w:after="60" w:line="240" w:lineRule="auto"/>
      <w:jc w:val="both"/>
    </w:pPr>
    <w:rPr>
      <w:rFonts w:ascii="Calibri" w:eastAsia="Times New Roman" w:hAnsi="Calibri" w:cs="Times New Roman"/>
      <w:sz w:val="18"/>
      <w:lang w:val="en-GB"/>
    </w:rPr>
  </w:style>
  <w:style w:type="character" w:styleId="Voetnootmarkering">
    <w:name w:val="footnote reference"/>
    <w:aliases w:val="SUPERS,stylish,BVI fnr,Footnote symbol,Footnote Refernece,callout,16 Point,Superscript 6 Point,Odwołanie przypisu,Footnote Reference Number,Footnote Reference Superscript,Times 10 Point,Exposant 3 Point,Ref,de nota al pie,FR, BVI fnr"/>
    <w:uiPriority w:val="99"/>
    <w:unhideWhenUsed/>
    <w:qFormat/>
    <w:rsid w:val="000F1AFE"/>
    <w:rPr>
      <w:vertAlign w:val="superscript"/>
    </w:rPr>
  </w:style>
  <w:style w:type="paragraph" w:customStyle="1" w:styleId="Tableheader">
    <w:name w:val="Table header"/>
    <w:basedOn w:val="Tablecontents"/>
    <w:uiPriority w:val="99"/>
    <w:qFormat/>
    <w:rsid w:val="000F1AFE"/>
    <w:rPr>
      <w:b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0F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LijstalineaChar">
    <w:name w:val="Lijstalinea Char"/>
    <w:aliases w:val="Heading 2_sj Char,List Paragraph1 Char,Listenabsatz1 Char"/>
    <w:link w:val="Lijstalinea"/>
    <w:uiPriority w:val="34"/>
    <w:locked/>
    <w:rsid w:val="000F1AFE"/>
  </w:style>
  <w:style w:type="character" w:styleId="Verwijzingopmerking">
    <w:name w:val="annotation reference"/>
    <w:basedOn w:val="Standaardalinea-lettertype"/>
    <w:uiPriority w:val="99"/>
    <w:semiHidden/>
    <w:unhideWhenUsed/>
    <w:rsid w:val="00B51C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1C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1C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1C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1C1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C1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420D9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3C156B"/>
    <w:pPr>
      <w:spacing w:after="120"/>
    </w:pPr>
    <w:rPr>
      <w:rFonts w:ascii="Calibri" w:eastAsia="Calibri" w:hAnsi="Calibri" w:cs="Arial Unicode MS"/>
      <w:lang w:val="da-DK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C156B"/>
    <w:rPr>
      <w:rFonts w:ascii="Calibri" w:eastAsia="Calibri" w:hAnsi="Calibri" w:cs="Arial Unicode MS"/>
      <w:lang w:val="da-DK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C7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RCADISStandaard">
    <w:name w:val="ARCADIS Standaard"/>
    <w:basedOn w:val="Standaard"/>
    <w:qFormat/>
    <w:rsid w:val="00BC719D"/>
    <w:pPr>
      <w:spacing w:before="60" w:after="60" w:line="280" w:lineRule="atLeast"/>
      <w:ind w:left="1701"/>
    </w:pPr>
    <w:rPr>
      <w:rFonts w:ascii="Arial" w:hAnsi="Arial"/>
      <w:sz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00A7-6974-42BD-AB54-AFC7F74A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ARCADIS Belgium</Company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Rommens, Wouter</cp:lastModifiedBy>
  <cp:revision>3</cp:revision>
  <dcterms:created xsi:type="dcterms:W3CDTF">2015-12-16T19:53:00Z</dcterms:created>
  <dcterms:modified xsi:type="dcterms:W3CDTF">2015-12-16T20:08:00Z</dcterms:modified>
</cp:coreProperties>
</file>