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C0101" w14:textId="77777777" w:rsidR="00F7653F" w:rsidRPr="004E0F2B" w:rsidRDefault="005D3832" w:rsidP="00583D8D">
      <w:pPr>
        <w:rPr>
          <w:rFonts w:ascii="Arial" w:hAnsi="Arial" w:cs="Arial"/>
          <w:b/>
          <w:sz w:val="20"/>
          <w:szCs w:val="20"/>
          <w:lang w:val="en-GB"/>
        </w:rPr>
      </w:pPr>
      <w:bookmarkStart w:id="0" w:name="_GoBack"/>
      <w:bookmarkEnd w:id="0"/>
      <w:r w:rsidRPr="004E0F2B">
        <w:rPr>
          <w:rFonts w:ascii="Arial" w:hAnsi="Arial" w:cs="Arial"/>
          <w:b/>
          <w:sz w:val="20"/>
          <w:szCs w:val="20"/>
          <w:lang w:val="en-GB"/>
        </w:rPr>
        <w:t>Factsheet</w:t>
      </w:r>
      <w:r w:rsidR="00663774" w:rsidRPr="004E0F2B">
        <w:rPr>
          <w:rFonts w:ascii="Arial" w:hAnsi="Arial" w:cs="Arial"/>
          <w:b/>
          <w:sz w:val="20"/>
          <w:szCs w:val="20"/>
          <w:lang w:val="en-GB"/>
        </w:rPr>
        <w:t xml:space="preserve"> for new measures</w:t>
      </w:r>
    </w:p>
    <w:p w14:paraId="1D2F68AB" w14:textId="77777777" w:rsidR="00687FA0" w:rsidRPr="004E0F2B" w:rsidRDefault="0042570F" w:rsidP="00583D8D">
      <w:pPr>
        <w:rPr>
          <w:rFonts w:ascii="Arial" w:hAnsi="Arial" w:cs="Arial"/>
          <w:i/>
          <w:sz w:val="20"/>
          <w:szCs w:val="20"/>
          <w:lang w:val="en-GB"/>
        </w:rPr>
      </w:pPr>
      <w:r w:rsidRPr="004E0F2B">
        <w:rPr>
          <w:rFonts w:ascii="Arial" w:hAnsi="Arial" w:cs="Arial"/>
          <w:i/>
          <w:sz w:val="20"/>
          <w:szCs w:val="20"/>
          <w:lang w:val="en-GB"/>
        </w:rPr>
        <w:t>This measure fact sheet is the result of coordination between the UBA project Implementation of the Marine Strategy Framework Directive (MSFD) in Bulgaria – Development of Programmes of Measures under Article 13', carried out by Fresh Thoughts/Intersus, and the EC project (DG Environment) 'Technical and administrative support for the joint implementation of the Marine Strategy Framework Directive (MSFD) in Bulgaria and Romania – Phase 2', carried out by ARCADIS-Belgium.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837"/>
        <w:gridCol w:w="2534"/>
      </w:tblGrid>
      <w:tr w:rsidR="004E0F2B" w:rsidRPr="004E0F2B" w14:paraId="222E76DB" w14:textId="77777777" w:rsidTr="004E0F2B">
        <w:trPr>
          <w:tblHeader/>
        </w:trPr>
        <w:tc>
          <w:tcPr>
            <w:tcW w:w="2376" w:type="dxa"/>
            <w:shd w:val="clear" w:color="auto" w:fill="1F497D" w:themeFill="text2"/>
          </w:tcPr>
          <w:p w14:paraId="3ECF31C7" w14:textId="77777777" w:rsidR="005D3832" w:rsidRPr="004E0F2B" w:rsidRDefault="005D3832" w:rsidP="00E41209">
            <w:pPr>
              <w:spacing w:before="60" w:after="60" w:line="240" w:lineRule="auto"/>
              <w:rPr>
                <w:rFonts w:ascii="Arial" w:hAnsi="Arial" w:cs="Arial"/>
                <w:b/>
                <w:color w:val="FFFFFF" w:themeColor="background1"/>
                <w:sz w:val="20"/>
                <w:szCs w:val="20"/>
                <w:lang w:val="en-GB"/>
              </w:rPr>
            </w:pPr>
            <w:r w:rsidRPr="004E0F2B">
              <w:rPr>
                <w:rFonts w:ascii="Arial" w:hAnsi="Arial" w:cs="Arial"/>
                <w:b/>
                <w:color w:val="FFFFFF" w:themeColor="background1"/>
                <w:sz w:val="20"/>
                <w:szCs w:val="20"/>
                <w:lang w:val="en-GB"/>
              </w:rPr>
              <w:t xml:space="preserve">Measure characteristics </w:t>
            </w:r>
          </w:p>
          <w:p w14:paraId="2DB567FA" w14:textId="77777777" w:rsidR="005D3832" w:rsidRPr="004E0F2B" w:rsidRDefault="005D3832" w:rsidP="00E41209">
            <w:pPr>
              <w:spacing w:before="60" w:after="60" w:line="240" w:lineRule="auto"/>
              <w:rPr>
                <w:rFonts w:ascii="Arial" w:hAnsi="Arial" w:cs="Arial"/>
                <w:b/>
                <w:color w:val="FFFFFF" w:themeColor="background1"/>
                <w:sz w:val="20"/>
                <w:szCs w:val="20"/>
                <w:lang w:val="en-GB"/>
              </w:rPr>
            </w:pPr>
          </w:p>
        </w:tc>
        <w:tc>
          <w:tcPr>
            <w:tcW w:w="4837" w:type="dxa"/>
            <w:shd w:val="clear" w:color="auto" w:fill="1F497D" w:themeFill="text2"/>
          </w:tcPr>
          <w:p w14:paraId="23629CA4" w14:textId="77777777" w:rsidR="005D3832" w:rsidRPr="004E0F2B" w:rsidRDefault="005D3832" w:rsidP="00E41209">
            <w:pPr>
              <w:spacing w:before="60" w:after="60" w:line="240" w:lineRule="auto"/>
              <w:rPr>
                <w:rFonts w:ascii="Arial" w:hAnsi="Arial" w:cs="Arial"/>
                <w:b/>
                <w:color w:val="FFFFFF" w:themeColor="background1"/>
                <w:sz w:val="20"/>
                <w:szCs w:val="20"/>
                <w:lang w:val="en-GB"/>
              </w:rPr>
            </w:pPr>
            <w:r w:rsidRPr="004E0F2B">
              <w:rPr>
                <w:rFonts w:ascii="Arial" w:hAnsi="Arial" w:cs="Arial"/>
                <w:b/>
                <w:color w:val="FFFFFF" w:themeColor="background1"/>
                <w:sz w:val="20"/>
                <w:szCs w:val="20"/>
                <w:lang w:val="en-GB"/>
              </w:rPr>
              <w:t>Management area:</w:t>
            </w:r>
          </w:p>
          <w:p w14:paraId="1920099C" w14:textId="77777777" w:rsidR="005D3832" w:rsidRPr="004E0F2B" w:rsidRDefault="00C363D9" w:rsidP="005D3832">
            <w:pPr>
              <w:numPr>
                <w:ilvl w:val="0"/>
                <w:numId w:val="2"/>
              </w:numPr>
              <w:spacing w:before="60" w:after="60" w:line="240" w:lineRule="auto"/>
              <w:ind w:left="714" w:hanging="357"/>
              <w:rPr>
                <w:rFonts w:ascii="Arial" w:hAnsi="Arial" w:cs="Arial"/>
                <w:b/>
                <w:i/>
                <w:color w:val="FFFFFF" w:themeColor="background1"/>
                <w:sz w:val="20"/>
                <w:szCs w:val="20"/>
                <w:lang w:val="en-GB"/>
              </w:rPr>
            </w:pPr>
            <w:r w:rsidRPr="004E0F2B">
              <w:rPr>
                <w:rFonts w:ascii="Arial" w:hAnsi="Arial" w:cs="Arial"/>
                <w:b/>
                <w:i/>
                <w:color w:val="FFFFFF" w:themeColor="background1"/>
                <w:sz w:val="20"/>
                <w:szCs w:val="20"/>
                <w:lang w:val="en-GB"/>
              </w:rPr>
              <w:t>Black Sea</w:t>
            </w:r>
          </w:p>
          <w:p w14:paraId="7D1D6AD4" w14:textId="77777777" w:rsidR="005D3832" w:rsidRPr="004E0F2B" w:rsidRDefault="005D3832" w:rsidP="00E41209">
            <w:pPr>
              <w:spacing w:before="60" w:after="60" w:line="240" w:lineRule="auto"/>
              <w:rPr>
                <w:rFonts w:ascii="Arial" w:hAnsi="Arial" w:cs="Arial"/>
                <w:b/>
                <w:i/>
                <w:color w:val="FFFFFF" w:themeColor="background1"/>
                <w:sz w:val="20"/>
                <w:szCs w:val="20"/>
                <w:lang w:val="en-GB"/>
              </w:rPr>
            </w:pPr>
          </w:p>
          <w:p w14:paraId="6C9839F4" w14:textId="77777777" w:rsidR="005D3832" w:rsidRPr="004E0F2B" w:rsidRDefault="005D3832" w:rsidP="00E41209">
            <w:pPr>
              <w:spacing w:before="60" w:after="60" w:line="240" w:lineRule="auto"/>
              <w:rPr>
                <w:rFonts w:ascii="Arial" w:hAnsi="Arial" w:cs="Arial"/>
                <w:b/>
                <w:i/>
                <w:color w:val="FFFFFF" w:themeColor="background1"/>
                <w:sz w:val="20"/>
                <w:szCs w:val="20"/>
                <w:lang w:val="en-GB"/>
              </w:rPr>
            </w:pPr>
            <w:r w:rsidRPr="004E0F2B">
              <w:rPr>
                <w:rFonts w:ascii="Arial" w:hAnsi="Arial" w:cs="Arial"/>
                <w:b/>
                <w:i/>
                <w:color w:val="FFFFFF" w:themeColor="background1"/>
                <w:sz w:val="20"/>
                <w:szCs w:val="20"/>
                <w:lang w:val="en-GB"/>
              </w:rPr>
              <w:t>Any other codes</w:t>
            </w:r>
          </w:p>
        </w:tc>
        <w:tc>
          <w:tcPr>
            <w:tcW w:w="2534" w:type="dxa"/>
            <w:shd w:val="clear" w:color="auto" w:fill="1F497D" w:themeFill="text2"/>
          </w:tcPr>
          <w:p w14:paraId="26F4380F" w14:textId="77777777" w:rsidR="005D3832" w:rsidRPr="004E0F2B" w:rsidRDefault="005D3832" w:rsidP="00E41209">
            <w:pPr>
              <w:spacing w:before="60" w:after="60" w:line="240" w:lineRule="auto"/>
              <w:rPr>
                <w:rFonts w:ascii="Arial" w:hAnsi="Arial" w:cs="Arial"/>
                <w:b/>
                <w:color w:val="FFFFFF" w:themeColor="background1"/>
                <w:sz w:val="20"/>
                <w:szCs w:val="20"/>
                <w:lang w:val="en-GB"/>
              </w:rPr>
            </w:pPr>
            <w:r w:rsidRPr="004E0F2B">
              <w:rPr>
                <w:rFonts w:ascii="Arial" w:hAnsi="Arial" w:cs="Arial"/>
                <w:b/>
                <w:color w:val="FFFFFF" w:themeColor="background1"/>
                <w:sz w:val="20"/>
                <w:szCs w:val="20"/>
                <w:lang w:val="en-GB"/>
              </w:rPr>
              <w:t>Code:</w:t>
            </w:r>
          </w:p>
          <w:p w14:paraId="02175904" w14:textId="77777777" w:rsidR="005D3832" w:rsidRPr="004E0F2B" w:rsidRDefault="005D3832" w:rsidP="00E41209">
            <w:pPr>
              <w:spacing w:before="60" w:after="60" w:line="240" w:lineRule="auto"/>
              <w:rPr>
                <w:rFonts w:ascii="Arial" w:hAnsi="Arial" w:cs="Arial"/>
                <w:b/>
                <w:i/>
                <w:color w:val="FFFFFF" w:themeColor="background1"/>
                <w:sz w:val="20"/>
                <w:szCs w:val="20"/>
                <w:lang w:val="en-GB"/>
              </w:rPr>
            </w:pPr>
            <w:r w:rsidRPr="004E0F2B">
              <w:rPr>
                <w:rFonts w:ascii="Arial" w:hAnsi="Arial" w:cs="Arial"/>
                <w:b/>
                <w:i/>
                <w:color w:val="FFFFFF" w:themeColor="background1"/>
                <w:sz w:val="20"/>
                <w:szCs w:val="20"/>
                <w:lang w:val="en-GB"/>
              </w:rPr>
              <w:t>MSFD reporting code</w:t>
            </w:r>
          </w:p>
          <w:p w14:paraId="54BE9F75" w14:textId="77777777" w:rsidR="005D3832" w:rsidRPr="004E0F2B" w:rsidRDefault="005D3832" w:rsidP="00E41209">
            <w:pPr>
              <w:spacing w:before="60" w:after="60" w:line="240" w:lineRule="auto"/>
              <w:rPr>
                <w:rFonts w:ascii="Arial" w:hAnsi="Arial" w:cs="Arial"/>
                <w:b/>
                <w:color w:val="FFFFFF" w:themeColor="background1"/>
                <w:sz w:val="20"/>
                <w:szCs w:val="20"/>
                <w:lang w:val="en-GB"/>
              </w:rPr>
            </w:pPr>
          </w:p>
          <w:p w14:paraId="2FF81D67" w14:textId="77777777" w:rsidR="005D3832" w:rsidRPr="004E0F2B" w:rsidRDefault="005D3832" w:rsidP="00E41209">
            <w:pPr>
              <w:spacing w:before="60" w:after="60" w:line="240" w:lineRule="auto"/>
              <w:rPr>
                <w:rFonts w:ascii="Arial" w:hAnsi="Arial" w:cs="Arial"/>
                <w:b/>
                <w:color w:val="FFFFFF" w:themeColor="background1"/>
                <w:sz w:val="20"/>
                <w:szCs w:val="20"/>
                <w:lang w:val="en-GB"/>
              </w:rPr>
            </w:pPr>
            <w:r w:rsidRPr="004E0F2B">
              <w:rPr>
                <w:rFonts w:ascii="Arial" w:hAnsi="Arial" w:cs="Arial"/>
                <w:b/>
                <w:color w:val="FFFFFF" w:themeColor="background1"/>
                <w:sz w:val="20"/>
                <w:szCs w:val="20"/>
                <w:lang w:val="en-GB"/>
              </w:rPr>
              <w:t>No. of measure:</w:t>
            </w:r>
          </w:p>
          <w:p w14:paraId="5C8CD75A" w14:textId="1AF76650" w:rsidR="005D3832" w:rsidRPr="004E0F2B" w:rsidRDefault="006B1300" w:rsidP="00E41209">
            <w:pPr>
              <w:spacing w:before="60" w:after="60" w:line="240" w:lineRule="auto"/>
              <w:rPr>
                <w:rFonts w:ascii="Arial" w:hAnsi="Arial" w:cs="Arial"/>
                <w:b/>
                <w:color w:val="FFFFFF" w:themeColor="background1"/>
                <w:sz w:val="20"/>
                <w:szCs w:val="20"/>
                <w:lang w:val="en-GB"/>
              </w:rPr>
            </w:pPr>
            <w:r w:rsidRPr="004E0F2B">
              <w:rPr>
                <w:rFonts w:ascii="Arial" w:hAnsi="Arial" w:cs="Arial"/>
                <w:b/>
                <w:color w:val="FFFFFF" w:themeColor="background1"/>
                <w:sz w:val="20"/>
                <w:szCs w:val="20"/>
                <w:lang w:val="en-GB"/>
              </w:rPr>
              <w:t>13</w:t>
            </w:r>
          </w:p>
        </w:tc>
      </w:tr>
      <w:tr w:rsidR="005D3832" w:rsidRPr="0023317E" w14:paraId="5C28D9D1" w14:textId="77777777" w:rsidTr="00AF66BF">
        <w:tc>
          <w:tcPr>
            <w:tcW w:w="2376" w:type="dxa"/>
            <w:shd w:val="clear" w:color="auto" w:fill="auto"/>
          </w:tcPr>
          <w:p w14:paraId="6B927D42" w14:textId="77777777" w:rsidR="005D3832" w:rsidRPr="004E0F2B" w:rsidRDefault="005D3832" w:rsidP="00E41209">
            <w:pPr>
              <w:spacing w:before="60" w:after="60" w:line="240" w:lineRule="auto"/>
              <w:rPr>
                <w:rFonts w:ascii="Arial" w:hAnsi="Arial" w:cs="Arial"/>
                <w:b/>
                <w:sz w:val="20"/>
                <w:szCs w:val="20"/>
                <w:lang w:val="en-GB"/>
              </w:rPr>
            </w:pPr>
            <w:r w:rsidRPr="004E0F2B">
              <w:rPr>
                <w:rFonts w:ascii="Arial" w:hAnsi="Arial" w:cs="Arial"/>
                <w:b/>
                <w:sz w:val="20"/>
                <w:szCs w:val="20"/>
                <w:lang w:val="en-GB"/>
              </w:rPr>
              <w:t>Measure title</w:t>
            </w:r>
          </w:p>
        </w:tc>
        <w:tc>
          <w:tcPr>
            <w:tcW w:w="7371" w:type="dxa"/>
            <w:gridSpan w:val="2"/>
            <w:shd w:val="clear" w:color="auto" w:fill="auto"/>
          </w:tcPr>
          <w:p w14:paraId="33DDB9AC" w14:textId="44A76ADE" w:rsidR="005D3832" w:rsidRPr="004E0F2B" w:rsidRDefault="006350A9" w:rsidP="006B1300">
            <w:pPr>
              <w:rPr>
                <w:rFonts w:ascii="Arial" w:hAnsi="Arial" w:cs="Arial"/>
                <w:sz w:val="20"/>
                <w:szCs w:val="20"/>
                <w:lang w:val="bg-BG"/>
              </w:rPr>
            </w:pPr>
            <w:r w:rsidRPr="004E0F2B">
              <w:rPr>
                <w:rFonts w:ascii="Arial" w:hAnsi="Arial" w:cs="Arial"/>
                <w:sz w:val="20"/>
                <w:szCs w:val="20"/>
                <w:lang w:val="en-GB"/>
              </w:rPr>
              <w:t>Protection of non-breeding seabird species Yelkouan Shearwater (</w:t>
            </w:r>
            <w:r w:rsidRPr="004E0F2B">
              <w:rPr>
                <w:rFonts w:ascii="Arial" w:hAnsi="Arial" w:cs="Arial"/>
                <w:i/>
                <w:sz w:val="20"/>
                <w:szCs w:val="20"/>
                <w:lang w:val="en-GB"/>
              </w:rPr>
              <w:t>Puffinus yelkouan</w:t>
            </w:r>
            <w:r w:rsidRPr="004E0F2B">
              <w:rPr>
                <w:rFonts w:ascii="Arial" w:hAnsi="Arial" w:cs="Arial"/>
                <w:sz w:val="20"/>
                <w:szCs w:val="20"/>
                <w:lang w:val="en-GB"/>
              </w:rPr>
              <w:t>) and European shag (</w:t>
            </w:r>
            <w:r w:rsidRPr="004E0F2B">
              <w:rPr>
                <w:rFonts w:ascii="Arial" w:hAnsi="Arial" w:cs="Arial"/>
                <w:i/>
                <w:sz w:val="20"/>
                <w:szCs w:val="20"/>
                <w:lang w:val="en-GB"/>
              </w:rPr>
              <w:t>Phalacrocorax aristotilis</w:t>
            </w:r>
            <w:r w:rsidRPr="004E0F2B">
              <w:rPr>
                <w:rFonts w:ascii="Arial" w:hAnsi="Arial" w:cs="Arial"/>
                <w:sz w:val="20"/>
                <w:szCs w:val="20"/>
                <w:lang w:val="en-GB"/>
              </w:rPr>
              <w:t xml:space="preserve">) in coastal, territorial waters and EEZ of BS countries. </w:t>
            </w:r>
          </w:p>
        </w:tc>
      </w:tr>
      <w:tr w:rsidR="00AF66BF" w:rsidRPr="0023317E" w14:paraId="78D1211D" w14:textId="77777777" w:rsidTr="00770E25">
        <w:trPr>
          <w:trHeight w:val="1275"/>
        </w:trPr>
        <w:tc>
          <w:tcPr>
            <w:tcW w:w="2376" w:type="dxa"/>
            <w:shd w:val="clear" w:color="auto" w:fill="auto"/>
          </w:tcPr>
          <w:p w14:paraId="26391B11" w14:textId="77777777" w:rsidR="00AF66BF" w:rsidRPr="004E0F2B" w:rsidRDefault="00AF66BF" w:rsidP="00E41209">
            <w:pPr>
              <w:spacing w:before="60" w:after="60" w:line="240" w:lineRule="auto"/>
              <w:rPr>
                <w:rFonts w:ascii="Arial" w:hAnsi="Arial" w:cs="Arial"/>
                <w:b/>
                <w:sz w:val="20"/>
                <w:szCs w:val="20"/>
                <w:lang w:val="en-GB"/>
              </w:rPr>
            </w:pPr>
            <w:r w:rsidRPr="004E0F2B">
              <w:rPr>
                <w:rFonts w:ascii="Arial" w:hAnsi="Arial" w:cs="Arial"/>
                <w:b/>
                <w:sz w:val="20"/>
                <w:szCs w:val="20"/>
                <w:lang w:val="en-GB"/>
              </w:rPr>
              <w:t>Short, precise description of the measure</w:t>
            </w:r>
          </w:p>
        </w:tc>
        <w:tc>
          <w:tcPr>
            <w:tcW w:w="7371" w:type="dxa"/>
            <w:gridSpan w:val="2"/>
            <w:shd w:val="clear" w:color="auto" w:fill="auto"/>
          </w:tcPr>
          <w:p w14:paraId="77D0237A" w14:textId="77777777" w:rsidR="00770E25" w:rsidRPr="004E0F2B" w:rsidRDefault="00770E25" w:rsidP="00770E25">
            <w:pPr>
              <w:spacing w:after="0" w:line="240" w:lineRule="auto"/>
              <w:rPr>
                <w:rFonts w:ascii="Arial" w:hAnsi="Arial" w:cs="Arial"/>
                <w:sz w:val="20"/>
                <w:szCs w:val="20"/>
                <w:lang w:val="en-US"/>
              </w:rPr>
            </w:pPr>
            <w:r w:rsidRPr="004E0F2B">
              <w:rPr>
                <w:rFonts w:ascii="Arial" w:hAnsi="Arial" w:cs="Arial"/>
                <w:sz w:val="20"/>
                <w:szCs w:val="20"/>
                <w:lang w:val="bg-BG"/>
              </w:rPr>
              <w:t xml:space="preserve">This measure is </w:t>
            </w:r>
            <w:r w:rsidRPr="004E0F2B">
              <w:rPr>
                <w:rFonts w:ascii="Arial" w:hAnsi="Arial" w:cs="Arial"/>
                <w:sz w:val="20"/>
                <w:szCs w:val="20"/>
                <w:lang w:val="en-US"/>
              </w:rPr>
              <w:t>developed as common coordinated measure</w:t>
            </w:r>
            <w:r w:rsidRPr="004E0F2B">
              <w:rPr>
                <w:rFonts w:ascii="Arial" w:hAnsi="Arial" w:cs="Arial"/>
                <w:sz w:val="20"/>
                <w:szCs w:val="20"/>
                <w:lang w:val="bg-BG"/>
              </w:rPr>
              <w:t xml:space="preserve"> with Romania</w:t>
            </w:r>
            <w:r w:rsidRPr="004E0F2B">
              <w:rPr>
                <w:rFonts w:ascii="Arial" w:hAnsi="Arial" w:cs="Arial"/>
                <w:sz w:val="20"/>
                <w:szCs w:val="20"/>
                <w:lang w:val="en-US"/>
              </w:rPr>
              <w:t xml:space="preserve"> in the scope of </w:t>
            </w:r>
            <w:r w:rsidRPr="004E0F2B">
              <w:rPr>
                <w:rFonts w:ascii="Arial" w:hAnsi="Arial" w:cs="Arial"/>
                <w:sz w:val="20"/>
                <w:szCs w:val="20"/>
                <w:lang w:val="en-GB"/>
              </w:rPr>
              <w:t>EC project (DG Environment) “Technical and administrative support for the joint implementation of the Marine Strategy Framework Directive (MSFD) in Bulgaria and Romania – Phase 2”</w:t>
            </w:r>
            <w:r w:rsidRPr="004E0F2B">
              <w:rPr>
                <w:rFonts w:ascii="Arial" w:hAnsi="Arial" w:cs="Arial"/>
                <w:sz w:val="20"/>
                <w:szCs w:val="20"/>
                <w:lang w:val="en-US"/>
              </w:rPr>
              <w:t>.</w:t>
            </w:r>
          </w:p>
          <w:p w14:paraId="06EE0A64" w14:textId="77777777" w:rsidR="00770E25" w:rsidRPr="004E0F2B" w:rsidRDefault="00770E25" w:rsidP="00770E25">
            <w:pPr>
              <w:spacing w:after="0" w:line="240" w:lineRule="auto"/>
              <w:rPr>
                <w:rFonts w:ascii="Arial" w:hAnsi="Arial" w:cs="Arial"/>
                <w:sz w:val="20"/>
                <w:szCs w:val="20"/>
                <w:lang w:val="en-US"/>
              </w:rPr>
            </w:pPr>
          </w:p>
          <w:p w14:paraId="75115699" w14:textId="77777777" w:rsidR="00770E25" w:rsidRPr="004E0F2B" w:rsidRDefault="00770E25" w:rsidP="00956298">
            <w:pPr>
              <w:pStyle w:val="Plattetekst"/>
              <w:spacing w:after="0" w:line="240" w:lineRule="auto"/>
              <w:jc w:val="both"/>
              <w:rPr>
                <w:rFonts w:ascii="Arial" w:eastAsia="Calibri" w:hAnsi="Arial" w:cs="Arial"/>
                <w:sz w:val="20"/>
                <w:szCs w:val="20"/>
                <w:lang w:val="en-GB"/>
              </w:rPr>
            </w:pPr>
            <w:r w:rsidRPr="004E0F2B">
              <w:rPr>
                <w:rFonts w:ascii="Arial" w:eastAsia="Calibri" w:hAnsi="Arial" w:cs="Arial"/>
                <w:sz w:val="20"/>
                <w:szCs w:val="20"/>
                <w:lang w:val="en-GB"/>
              </w:rPr>
              <w:t>Two main species of seabirds are subject to researches and spatial protection under this measure. They will be monitored by the monitoring program Descriptor 1,4 Seabirds of Bulgaria and Romania:</w:t>
            </w:r>
          </w:p>
          <w:p w14:paraId="3534153B" w14:textId="77777777" w:rsidR="00956298" w:rsidRPr="004E0F2B" w:rsidRDefault="00956298" w:rsidP="00956298">
            <w:pPr>
              <w:pStyle w:val="Plattetekst"/>
              <w:spacing w:after="0" w:line="240" w:lineRule="auto"/>
              <w:jc w:val="both"/>
              <w:rPr>
                <w:rFonts w:ascii="Arial" w:eastAsia="Calibri" w:hAnsi="Arial" w:cs="Arial"/>
                <w:sz w:val="20"/>
                <w:szCs w:val="20"/>
                <w:lang w:val="en-GB"/>
              </w:rPr>
            </w:pPr>
            <w:r w:rsidRPr="004E0F2B">
              <w:rPr>
                <w:rFonts w:ascii="Arial" w:eastAsia="Calibri" w:hAnsi="Arial" w:cs="Arial"/>
                <w:sz w:val="20"/>
                <w:szCs w:val="20"/>
                <w:lang w:val="en-GB"/>
              </w:rPr>
              <w:t>- Non-breeding seabird species, Yelkouan Shearwater (</w:t>
            </w:r>
            <w:r w:rsidRPr="004E0F2B">
              <w:rPr>
                <w:rFonts w:ascii="Arial" w:eastAsia="Calibri" w:hAnsi="Arial" w:cs="Arial"/>
                <w:i/>
                <w:iCs/>
                <w:sz w:val="20"/>
                <w:szCs w:val="20"/>
                <w:lang w:val="en-GB"/>
              </w:rPr>
              <w:t>Puffinus yelkouan</w:t>
            </w:r>
            <w:r w:rsidRPr="004E0F2B">
              <w:rPr>
                <w:rFonts w:ascii="Arial" w:eastAsia="Calibri" w:hAnsi="Arial" w:cs="Arial"/>
                <w:sz w:val="20"/>
                <w:szCs w:val="20"/>
                <w:lang w:val="en-GB"/>
              </w:rPr>
              <w:t xml:space="preserve">). It is included in Annex I of the Bird Directive 2009/147/EO and Annex II of the Bern Convention as species of priority conservation status and defined as vulnerable („VU”) according to the </w:t>
            </w:r>
            <w:r w:rsidRPr="004E0F2B">
              <w:rPr>
                <w:rStyle w:val="Nadruk"/>
                <w:rFonts w:ascii="Arial" w:hAnsi="Arial" w:cs="Arial"/>
                <w:bCs/>
                <w:i w:val="0"/>
                <w:iCs w:val="0"/>
                <w:color w:val="000000"/>
                <w:sz w:val="20"/>
                <w:szCs w:val="20"/>
                <w:shd w:val="clear" w:color="auto" w:fill="FFFFFF"/>
                <w:lang w:val="en-GB"/>
              </w:rPr>
              <w:t>International Union for Conservation of Nature</w:t>
            </w:r>
            <w:r w:rsidRPr="004E0F2B">
              <w:rPr>
                <w:rFonts w:ascii="Arial" w:eastAsia="Calibri" w:hAnsi="Arial" w:cs="Arial"/>
                <w:color w:val="000000"/>
                <w:sz w:val="20"/>
                <w:szCs w:val="20"/>
                <w:lang w:val="en-GB"/>
              </w:rPr>
              <w:t xml:space="preserve"> (IUCN) Red</w:t>
            </w:r>
            <w:r w:rsidRPr="004E0F2B">
              <w:rPr>
                <w:rFonts w:ascii="Arial" w:eastAsia="Calibri" w:hAnsi="Arial" w:cs="Arial"/>
                <w:sz w:val="20"/>
                <w:szCs w:val="20"/>
                <w:lang w:val="en-GB"/>
              </w:rPr>
              <w:t xml:space="preserve"> List 2014. </w:t>
            </w:r>
          </w:p>
          <w:p w14:paraId="2A1F56C5" w14:textId="77777777" w:rsidR="00770E25" w:rsidRPr="004E0F2B" w:rsidRDefault="00956298" w:rsidP="00956298">
            <w:pPr>
              <w:pStyle w:val="Plattetekst"/>
              <w:spacing w:after="0" w:line="240" w:lineRule="auto"/>
              <w:jc w:val="both"/>
              <w:rPr>
                <w:rFonts w:ascii="Arial" w:eastAsia="Calibri" w:hAnsi="Arial" w:cs="Arial"/>
                <w:sz w:val="20"/>
                <w:szCs w:val="20"/>
                <w:lang w:val="en-GB"/>
              </w:rPr>
            </w:pPr>
            <w:r w:rsidRPr="004E0F2B">
              <w:rPr>
                <w:rFonts w:ascii="Arial" w:eastAsia="Calibri" w:hAnsi="Arial" w:cs="Arial"/>
                <w:sz w:val="20"/>
                <w:szCs w:val="20"/>
                <w:lang w:val="en-GB"/>
              </w:rPr>
              <w:t>- European Shag (</w:t>
            </w:r>
            <w:r w:rsidRPr="004E0F2B">
              <w:rPr>
                <w:rFonts w:ascii="Arial" w:eastAsia="Calibri" w:hAnsi="Arial" w:cs="Arial"/>
                <w:i/>
                <w:sz w:val="20"/>
                <w:szCs w:val="20"/>
                <w:lang w:val="en-GB"/>
              </w:rPr>
              <w:t>Phalacrocorax aristotelis</w:t>
            </w:r>
            <w:r w:rsidRPr="004E0F2B">
              <w:rPr>
                <w:rFonts w:ascii="Arial" w:eastAsia="Calibri" w:hAnsi="Arial" w:cs="Arial"/>
                <w:sz w:val="20"/>
                <w:szCs w:val="20"/>
                <w:lang w:val="en-GB"/>
              </w:rPr>
              <w:t xml:space="preserve">). It is included in Annex I of the Bird Directive 2009/147/EO and Annex II of the Bern Convention as species of priority conservation status. This seabird is wintering and breeding species in Bulgaria (two breeding colonies are present on the BG Black Sea coast). </w:t>
            </w:r>
          </w:p>
          <w:p w14:paraId="0F509158" w14:textId="77777777" w:rsidR="00956298" w:rsidRPr="004E0F2B" w:rsidRDefault="00956298" w:rsidP="00956298">
            <w:pPr>
              <w:pStyle w:val="Plattetekst"/>
              <w:spacing w:after="0" w:line="240" w:lineRule="auto"/>
              <w:jc w:val="both"/>
              <w:rPr>
                <w:rFonts w:ascii="Arial" w:eastAsia="Calibri" w:hAnsi="Arial" w:cs="Arial"/>
                <w:sz w:val="20"/>
                <w:szCs w:val="20"/>
                <w:lang w:val="en-GB"/>
              </w:rPr>
            </w:pPr>
            <w:r w:rsidRPr="004E0F2B">
              <w:rPr>
                <w:rFonts w:ascii="Arial" w:eastAsia="Calibri" w:hAnsi="Arial" w:cs="Arial"/>
                <w:sz w:val="20"/>
                <w:szCs w:val="20"/>
                <w:lang w:val="en-GB"/>
              </w:rPr>
              <w:t xml:space="preserve">These two species </w:t>
            </w:r>
            <w:r w:rsidR="00770E25" w:rsidRPr="004E0F2B">
              <w:rPr>
                <w:rFonts w:ascii="Arial" w:eastAsia="Calibri" w:hAnsi="Arial" w:cs="Arial"/>
                <w:sz w:val="20"/>
                <w:szCs w:val="20"/>
                <w:lang w:val="en-GB"/>
              </w:rPr>
              <w:t>are chosen as common indicators</w:t>
            </w:r>
            <w:r w:rsidR="00770E25" w:rsidRPr="004E0F2B">
              <w:rPr>
                <w:rFonts w:ascii="Arial" w:hAnsi="Arial" w:cs="Arial"/>
                <w:sz w:val="20"/>
                <w:szCs w:val="20"/>
              </w:rPr>
              <w:t xml:space="preserve"> </w:t>
            </w:r>
            <w:r w:rsidR="00770E25" w:rsidRPr="004E0F2B">
              <w:rPr>
                <w:rFonts w:ascii="Arial" w:eastAsia="Calibri" w:hAnsi="Arial" w:cs="Arial"/>
                <w:sz w:val="20"/>
                <w:szCs w:val="20"/>
                <w:lang w:val="en-GB"/>
              </w:rPr>
              <w:t>for both Black Sea MS Bulgaria and Romania for the purposes of MSFD, because both are monitored on the Bulgarian and Romanian Black sea coast by Bulgarian Society for the Protection of Birds (BSPB) and the Romanian Ornithological Society (SOR) as partners of BirdLife International.</w:t>
            </w:r>
          </w:p>
          <w:p w14:paraId="20E4A547" w14:textId="77777777" w:rsidR="00956298" w:rsidRPr="004E0F2B" w:rsidRDefault="00956298" w:rsidP="00A353AB">
            <w:pPr>
              <w:jc w:val="both"/>
              <w:rPr>
                <w:rFonts w:ascii="Arial" w:hAnsi="Arial" w:cs="Arial"/>
                <w:sz w:val="20"/>
                <w:szCs w:val="20"/>
                <w:lang w:val="bg-BG"/>
              </w:rPr>
            </w:pPr>
            <w:r w:rsidRPr="004E0F2B">
              <w:rPr>
                <w:rFonts w:ascii="Arial" w:hAnsi="Arial" w:cs="Arial"/>
                <w:sz w:val="20"/>
                <w:szCs w:val="20"/>
                <w:lang w:val="en-GB"/>
              </w:rPr>
              <w:t>Also both species of marine birds: Mediterranean Shearwater (</w:t>
            </w:r>
            <w:r w:rsidRPr="004E0F2B">
              <w:rPr>
                <w:rFonts w:ascii="Arial" w:hAnsi="Arial" w:cs="Arial"/>
                <w:i/>
                <w:sz w:val="20"/>
                <w:szCs w:val="20"/>
                <w:lang w:val="en-GB"/>
              </w:rPr>
              <w:t>Puffinus yelkouan</w:t>
            </w:r>
            <w:r w:rsidRPr="004E0F2B">
              <w:rPr>
                <w:rFonts w:ascii="Arial" w:hAnsi="Arial" w:cs="Arial"/>
                <w:sz w:val="20"/>
                <w:szCs w:val="20"/>
                <w:lang w:val="en-GB"/>
              </w:rPr>
              <w:t>) and European Shag (</w:t>
            </w:r>
            <w:r w:rsidRPr="004E0F2B">
              <w:rPr>
                <w:rFonts w:ascii="Arial" w:hAnsi="Arial" w:cs="Arial"/>
                <w:i/>
                <w:sz w:val="20"/>
                <w:szCs w:val="20"/>
                <w:lang w:val="en-GB"/>
              </w:rPr>
              <w:t>Phalacrocorax aristotelis</w:t>
            </w:r>
            <w:r w:rsidRPr="004E0F2B">
              <w:rPr>
                <w:rFonts w:ascii="Arial" w:hAnsi="Arial" w:cs="Arial"/>
                <w:sz w:val="20"/>
                <w:szCs w:val="20"/>
                <w:lang w:val="en-GB"/>
              </w:rPr>
              <w:t xml:space="preserve">) are included in Annex 2 of the Protocol for the protection of biological and landscape diversity of the Black Sea to the Convention on Protection of the Black Sea Against Pollution from 14.06.2002, the list of major Black Sea species. The first species is defined as rare, and the second </w:t>
            </w:r>
            <w:r w:rsidR="00770E25" w:rsidRPr="004E0F2B">
              <w:rPr>
                <w:rFonts w:ascii="Arial" w:hAnsi="Arial" w:cs="Arial"/>
                <w:sz w:val="20"/>
                <w:szCs w:val="20"/>
                <w:lang w:val="en-GB"/>
              </w:rPr>
              <w:t xml:space="preserve">one </w:t>
            </w:r>
            <w:r w:rsidRPr="004E0F2B">
              <w:rPr>
                <w:rFonts w:ascii="Arial" w:hAnsi="Arial" w:cs="Arial"/>
                <w:sz w:val="20"/>
                <w:szCs w:val="20"/>
                <w:lang w:val="en-GB"/>
              </w:rPr>
              <w:t>as endangered.</w:t>
            </w:r>
          </w:p>
          <w:p w14:paraId="7EA55321" w14:textId="77777777" w:rsidR="004A1522" w:rsidRPr="004E0F2B" w:rsidRDefault="004A1522" w:rsidP="00A353AB">
            <w:pPr>
              <w:spacing w:after="0" w:line="240" w:lineRule="auto"/>
              <w:jc w:val="both"/>
              <w:rPr>
                <w:rFonts w:ascii="Arial" w:hAnsi="Arial" w:cs="Arial"/>
                <w:sz w:val="20"/>
                <w:szCs w:val="20"/>
                <w:lang w:val="en-GB"/>
              </w:rPr>
            </w:pPr>
            <w:r w:rsidRPr="004E0F2B">
              <w:rPr>
                <w:rFonts w:ascii="Arial" w:hAnsi="Arial" w:cs="Arial"/>
                <w:sz w:val="20"/>
                <w:szCs w:val="20"/>
                <w:lang w:val="en-GB"/>
              </w:rPr>
              <w:t>The measure aims at gathering more detailed information on resting and feeding areas of both selected species and will support the monitoring program for Descriptor 1.4 - Sea birds of Bulgaria and Romania. Activities that might cause impact on the biodiversity of marine birds will also be monitored under this measure.</w:t>
            </w:r>
          </w:p>
          <w:p w14:paraId="27731DFD" w14:textId="77777777" w:rsidR="004A1522" w:rsidRDefault="004A1522" w:rsidP="00A353AB">
            <w:pPr>
              <w:spacing w:after="0" w:line="240" w:lineRule="auto"/>
              <w:jc w:val="both"/>
              <w:rPr>
                <w:rFonts w:ascii="Arial" w:hAnsi="Arial" w:cs="Arial"/>
                <w:sz w:val="20"/>
                <w:szCs w:val="20"/>
                <w:lang w:val="en-GB"/>
              </w:rPr>
            </w:pPr>
            <w:r w:rsidRPr="004E0F2B">
              <w:rPr>
                <w:rFonts w:ascii="Arial" w:hAnsi="Arial" w:cs="Arial"/>
                <w:sz w:val="20"/>
                <w:szCs w:val="20"/>
                <w:lang w:val="en-GB"/>
              </w:rPr>
              <w:t>Another aim of the measure is limiting pressure from tourism and coastal urbanization, fishing, oil spills, coastal erosion of coastal zones.</w:t>
            </w:r>
          </w:p>
          <w:p w14:paraId="15A1234D" w14:textId="77777777" w:rsidR="00A353AB" w:rsidRPr="004E0F2B" w:rsidRDefault="00A353AB" w:rsidP="00A353AB">
            <w:pPr>
              <w:spacing w:after="0" w:line="240" w:lineRule="auto"/>
              <w:jc w:val="both"/>
              <w:rPr>
                <w:rFonts w:ascii="Arial" w:hAnsi="Arial" w:cs="Arial"/>
                <w:sz w:val="20"/>
                <w:szCs w:val="20"/>
                <w:lang w:val="bg-BG"/>
              </w:rPr>
            </w:pPr>
          </w:p>
          <w:p w14:paraId="06523646" w14:textId="77777777" w:rsidR="004A1522" w:rsidRPr="004E0F2B" w:rsidRDefault="004A1522" w:rsidP="00A353AB">
            <w:pPr>
              <w:spacing w:after="0" w:line="240" w:lineRule="auto"/>
              <w:jc w:val="both"/>
              <w:rPr>
                <w:rFonts w:ascii="Arial" w:hAnsi="Arial" w:cs="Arial"/>
                <w:b/>
                <w:sz w:val="20"/>
                <w:szCs w:val="20"/>
                <w:lang w:val="en-US"/>
              </w:rPr>
            </w:pPr>
            <w:r w:rsidRPr="004E0F2B">
              <w:rPr>
                <w:rFonts w:ascii="Arial" w:hAnsi="Arial" w:cs="Arial"/>
                <w:b/>
                <w:sz w:val="20"/>
                <w:szCs w:val="20"/>
                <w:lang w:val="en-US"/>
              </w:rPr>
              <w:t>Scope of the measure:</w:t>
            </w:r>
          </w:p>
          <w:p w14:paraId="1AF8DA39" w14:textId="77777777" w:rsidR="00770E25" w:rsidRPr="004E0F2B" w:rsidRDefault="00770E25" w:rsidP="004A1522">
            <w:pPr>
              <w:spacing w:after="0" w:line="240" w:lineRule="auto"/>
              <w:rPr>
                <w:rFonts w:ascii="Arial" w:hAnsi="Arial" w:cs="Arial"/>
                <w:b/>
                <w:sz w:val="20"/>
                <w:szCs w:val="20"/>
                <w:lang w:val="bg-BG"/>
              </w:rPr>
            </w:pPr>
            <w:r w:rsidRPr="004E0F2B">
              <w:rPr>
                <w:rFonts w:ascii="Arial" w:hAnsi="Arial" w:cs="Arial"/>
                <w:b/>
                <w:sz w:val="20"/>
                <w:szCs w:val="20"/>
                <w:lang w:val="en-GB"/>
              </w:rPr>
              <w:t xml:space="preserve">Phase 1: </w:t>
            </w:r>
          </w:p>
          <w:p w14:paraId="57D8786C" w14:textId="77777777" w:rsidR="00770E25" w:rsidRPr="004E0F2B" w:rsidRDefault="00770E25" w:rsidP="00770E25">
            <w:pPr>
              <w:spacing w:after="0" w:line="240" w:lineRule="auto"/>
              <w:rPr>
                <w:rFonts w:ascii="Arial" w:hAnsi="Arial" w:cs="Arial"/>
                <w:sz w:val="20"/>
                <w:szCs w:val="20"/>
                <w:lang w:val="bg-BG"/>
              </w:rPr>
            </w:pPr>
            <w:r w:rsidRPr="004E0F2B">
              <w:rPr>
                <w:rFonts w:ascii="Arial" w:hAnsi="Arial" w:cs="Arial"/>
                <w:sz w:val="20"/>
                <w:szCs w:val="20"/>
                <w:lang w:val="bg-BG"/>
              </w:rPr>
              <w:t xml:space="preserve">- </w:t>
            </w:r>
            <w:r w:rsidRPr="004E0F2B">
              <w:rPr>
                <w:rFonts w:ascii="Arial" w:hAnsi="Arial" w:cs="Arial"/>
                <w:sz w:val="20"/>
                <w:szCs w:val="20"/>
                <w:lang w:val="en-GB"/>
              </w:rPr>
              <w:t>Researches for determination of rafting/resting and feeding areas of non-breeding seabird species Yelkouan Shearwater (</w:t>
            </w:r>
            <w:r w:rsidRPr="00A353AB">
              <w:rPr>
                <w:rFonts w:ascii="Arial" w:hAnsi="Arial" w:cs="Arial"/>
                <w:i/>
                <w:sz w:val="20"/>
                <w:szCs w:val="20"/>
                <w:lang w:val="en-GB"/>
              </w:rPr>
              <w:t>Puffinus yelkouan</w:t>
            </w:r>
            <w:r w:rsidRPr="004E0F2B">
              <w:rPr>
                <w:rFonts w:ascii="Arial" w:hAnsi="Arial" w:cs="Arial"/>
                <w:sz w:val="20"/>
                <w:szCs w:val="20"/>
                <w:lang w:val="en-GB"/>
              </w:rPr>
              <w:t>) and European shag (</w:t>
            </w:r>
            <w:r w:rsidRPr="00A353AB">
              <w:rPr>
                <w:rFonts w:ascii="Arial" w:hAnsi="Arial" w:cs="Arial"/>
                <w:i/>
                <w:sz w:val="20"/>
                <w:szCs w:val="20"/>
                <w:lang w:val="en-GB"/>
              </w:rPr>
              <w:t>Phalacrocorax aristotelis</w:t>
            </w:r>
            <w:r w:rsidRPr="004E0F2B">
              <w:rPr>
                <w:rFonts w:ascii="Arial" w:hAnsi="Arial" w:cs="Arial"/>
                <w:sz w:val="20"/>
                <w:szCs w:val="20"/>
                <w:lang w:val="en-GB"/>
              </w:rPr>
              <w:t>) in coastal, territorial waters and EEZ of Bulgaria and Romania</w:t>
            </w:r>
          </w:p>
          <w:p w14:paraId="2690BE86" w14:textId="77777777" w:rsidR="00770E25" w:rsidRPr="004E0F2B" w:rsidRDefault="00770E25" w:rsidP="00770E25">
            <w:pPr>
              <w:spacing w:after="0" w:line="240" w:lineRule="auto"/>
              <w:rPr>
                <w:rFonts w:ascii="Arial" w:hAnsi="Arial" w:cs="Arial"/>
                <w:sz w:val="20"/>
                <w:szCs w:val="20"/>
                <w:lang w:val="bg-BG"/>
              </w:rPr>
            </w:pPr>
            <w:r w:rsidRPr="004E0F2B">
              <w:rPr>
                <w:rFonts w:ascii="Arial" w:hAnsi="Arial" w:cs="Arial"/>
                <w:sz w:val="20"/>
                <w:szCs w:val="20"/>
                <w:lang w:val="bg-BG"/>
              </w:rPr>
              <w:t xml:space="preserve">- Delineation of rest and feeding areas </w:t>
            </w:r>
            <w:r w:rsidRPr="004E0F2B">
              <w:rPr>
                <w:rFonts w:ascii="Arial" w:hAnsi="Arial" w:cs="Arial"/>
                <w:sz w:val="20"/>
                <w:szCs w:val="20"/>
                <w:lang w:val="en-US"/>
              </w:rPr>
              <w:t xml:space="preserve">with aim of establishment of measures </w:t>
            </w:r>
            <w:r w:rsidRPr="004E0F2B">
              <w:rPr>
                <w:rFonts w:ascii="Arial" w:hAnsi="Arial" w:cs="Arial"/>
                <w:sz w:val="20"/>
                <w:szCs w:val="20"/>
                <w:lang w:val="bg-BG"/>
              </w:rPr>
              <w:t xml:space="preserve">for </w:t>
            </w:r>
            <w:r w:rsidRPr="004E0F2B">
              <w:rPr>
                <w:rFonts w:ascii="Arial" w:hAnsi="Arial" w:cs="Arial"/>
                <w:sz w:val="20"/>
                <w:szCs w:val="20"/>
                <w:lang w:val="en-US"/>
              </w:rPr>
              <w:t>f</w:t>
            </w:r>
            <w:r w:rsidRPr="004E0F2B">
              <w:rPr>
                <w:rFonts w:ascii="Arial" w:hAnsi="Arial" w:cs="Arial"/>
                <w:sz w:val="20"/>
                <w:szCs w:val="20"/>
                <w:lang w:val="bg-BG"/>
              </w:rPr>
              <w:t xml:space="preserve">urther protection </w:t>
            </w:r>
          </w:p>
          <w:p w14:paraId="7F7C8F70" w14:textId="319F682D" w:rsidR="00827E7B" w:rsidRPr="004E0F2B" w:rsidRDefault="00827E7B" w:rsidP="00770E25">
            <w:pPr>
              <w:spacing w:after="0" w:line="240" w:lineRule="auto"/>
              <w:rPr>
                <w:rFonts w:ascii="Arial" w:hAnsi="Arial" w:cs="Arial"/>
                <w:sz w:val="20"/>
                <w:szCs w:val="20"/>
                <w:lang w:val="en-US"/>
              </w:rPr>
            </w:pPr>
            <w:r w:rsidRPr="004E0F2B">
              <w:rPr>
                <w:rFonts w:ascii="Arial" w:hAnsi="Arial" w:cs="Arial"/>
                <w:sz w:val="20"/>
                <w:szCs w:val="20"/>
                <w:lang w:val="en-US"/>
              </w:rPr>
              <w:lastRenderedPageBreak/>
              <w:t xml:space="preserve">This will lead to the following information: </w:t>
            </w:r>
          </w:p>
          <w:p w14:paraId="3CAEEFFD" w14:textId="77777777" w:rsidR="00827E7B" w:rsidRPr="004E0F2B" w:rsidRDefault="00827E7B" w:rsidP="00827E7B">
            <w:pPr>
              <w:spacing w:after="0" w:line="240" w:lineRule="auto"/>
              <w:rPr>
                <w:rFonts w:ascii="Arial" w:hAnsi="Arial" w:cs="Arial"/>
                <w:b/>
                <w:sz w:val="20"/>
                <w:szCs w:val="20"/>
                <w:lang w:val="en-US"/>
              </w:rPr>
            </w:pPr>
            <w:r w:rsidRPr="004E0F2B">
              <w:rPr>
                <w:rFonts w:ascii="Arial" w:hAnsi="Arial" w:cs="Arial"/>
                <w:b/>
                <w:sz w:val="20"/>
                <w:szCs w:val="20"/>
                <w:lang w:val="en-US"/>
              </w:rPr>
              <w:t>Indicative lists of characteristics, pressures and impacts</w:t>
            </w:r>
          </w:p>
          <w:p w14:paraId="1E3984B2" w14:textId="77777777" w:rsidR="00827E7B" w:rsidRPr="004E0F2B" w:rsidRDefault="00827E7B" w:rsidP="00827E7B">
            <w:pPr>
              <w:spacing w:after="0" w:line="240" w:lineRule="auto"/>
              <w:rPr>
                <w:rFonts w:ascii="Arial" w:hAnsi="Arial" w:cs="Arial"/>
                <w:sz w:val="20"/>
                <w:szCs w:val="20"/>
                <w:lang w:val="en-US"/>
              </w:rPr>
            </w:pPr>
            <w:r w:rsidRPr="004E0F2B">
              <w:rPr>
                <w:rFonts w:ascii="Arial" w:hAnsi="Arial" w:cs="Arial"/>
                <w:sz w:val="20"/>
                <w:szCs w:val="20"/>
                <w:lang w:val="en-US"/>
              </w:rPr>
              <w:t>— identification and mapping of special habitat types, especially those recognised or identified under Community legislation (the Habitats Directive and the Birds Directive) or international conventions as being of special scientific or biodiversity interest,</w:t>
            </w:r>
          </w:p>
          <w:p w14:paraId="1FA45497" w14:textId="77777777" w:rsidR="00827E7B" w:rsidRPr="004E0F2B" w:rsidRDefault="00827E7B" w:rsidP="00827E7B">
            <w:pPr>
              <w:spacing w:after="0" w:line="240" w:lineRule="auto"/>
              <w:rPr>
                <w:rFonts w:ascii="Arial" w:hAnsi="Arial" w:cs="Arial"/>
                <w:sz w:val="20"/>
                <w:szCs w:val="20"/>
                <w:lang w:val="en-US"/>
              </w:rPr>
            </w:pPr>
            <w:r w:rsidRPr="004E0F2B">
              <w:rPr>
                <w:rFonts w:ascii="Arial" w:hAnsi="Arial" w:cs="Arial"/>
                <w:sz w:val="20"/>
                <w:szCs w:val="20"/>
                <w:lang w:val="en-US"/>
              </w:rPr>
              <w:t>— habitats in areas which by virtue of their characteristics, location or strategic importance merit a particular reference. This may include areas subject to intense or specific pressures or areas which merit a specific protection regime.</w:t>
            </w:r>
          </w:p>
          <w:p w14:paraId="7E4DF9F8" w14:textId="77777777" w:rsidR="00827E7B" w:rsidRPr="004E0F2B" w:rsidRDefault="00827E7B" w:rsidP="00827E7B">
            <w:pPr>
              <w:spacing w:after="0" w:line="240" w:lineRule="auto"/>
              <w:rPr>
                <w:rFonts w:ascii="Arial" w:hAnsi="Arial" w:cs="Arial"/>
                <w:sz w:val="20"/>
                <w:szCs w:val="20"/>
                <w:lang w:val="en-US"/>
              </w:rPr>
            </w:pPr>
            <w:r w:rsidRPr="004E0F2B">
              <w:rPr>
                <w:rFonts w:ascii="Arial" w:hAnsi="Arial" w:cs="Arial"/>
                <w:sz w:val="20"/>
                <w:szCs w:val="20"/>
                <w:lang w:val="en-US"/>
              </w:rPr>
              <w:t>Biological features</w:t>
            </w:r>
          </w:p>
          <w:p w14:paraId="6897C9E6" w14:textId="107BAC7D" w:rsidR="00827E7B" w:rsidRPr="004E0F2B" w:rsidRDefault="00827E7B" w:rsidP="00827E7B">
            <w:pPr>
              <w:spacing w:after="0" w:line="240" w:lineRule="auto"/>
              <w:rPr>
                <w:rFonts w:ascii="Arial" w:hAnsi="Arial" w:cs="Arial"/>
                <w:sz w:val="20"/>
                <w:szCs w:val="20"/>
                <w:lang w:val="en-US"/>
              </w:rPr>
            </w:pPr>
            <w:r w:rsidRPr="004E0F2B">
              <w:rPr>
                <w:rFonts w:ascii="Arial" w:hAnsi="Arial" w:cs="Arial"/>
                <w:sz w:val="20"/>
                <w:szCs w:val="20"/>
                <w:lang w:val="en-US"/>
              </w:rPr>
              <w:t>— a description of the population dynamics, natural and actual range and status of species of marine mammals and reptiles occurring in the marine region or subregion,</w:t>
            </w:r>
          </w:p>
          <w:p w14:paraId="4B6C45D0" w14:textId="77777777" w:rsidR="00827E7B" w:rsidRPr="004E0F2B" w:rsidRDefault="00827E7B" w:rsidP="00770E25">
            <w:pPr>
              <w:spacing w:after="0" w:line="240" w:lineRule="auto"/>
              <w:rPr>
                <w:rFonts w:ascii="Arial" w:hAnsi="Arial" w:cs="Arial"/>
                <w:b/>
                <w:sz w:val="20"/>
                <w:szCs w:val="20"/>
                <w:lang w:val="bg-BG"/>
              </w:rPr>
            </w:pPr>
          </w:p>
          <w:p w14:paraId="19E9D4C0" w14:textId="77777777" w:rsidR="00770E25" w:rsidRPr="004E0F2B" w:rsidRDefault="00770E25" w:rsidP="00770E25">
            <w:pPr>
              <w:spacing w:after="0" w:line="240" w:lineRule="auto"/>
              <w:rPr>
                <w:rFonts w:ascii="Arial" w:hAnsi="Arial" w:cs="Arial"/>
                <w:b/>
                <w:sz w:val="20"/>
                <w:szCs w:val="20"/>
                <w:lang w:val="bg-BG"/>
              </w:rPr>
            </w:pPr>
            <w:r w:rsidRPr="004E0F2B">
              <w:rPr>
                <w:rFonts w:ascii="Arial" w:hAnsi="Arial" w:cs="Arial"/>
                <w:b/>
                <w:sz w:val="20"/>
                <w:szCs w:val="20"/>
                <w:lang w:val="bg-BG"/>
              </w:rPr>
              <w:t>Phase 2</w:t>
            </w:r>
          </w:p>
          <w:p w14:paraId="3A939AD3" w14:textId="77777777" w:rsidR="00770E25" w:rsidRPr="004E0F2B" w:rsidRDefault="00770E25" w:rsidP="00770E25">
            <w:pPr>
              <w:spacing w:after="0" w:line="240" w:lineRule="auto"/>
              <w:rPr>
                <w:rFonts w:ascii="Arial" w:hAnsi="Arial" w:cs="Arial"/>
                <w:sz w:val="20"/>
                <w:szCs w:val="20"/>
                <w:lang w:val="bg-BG"/>
              </w:rPr>
            </w:pPr>
            <w:r w:rsidRPr="004E0F2B">
              <w:rPr>
                <w:rFonts w:ascii="Arial" w:hAnsi="Arial" w:cs="Arial"/>
                <w:sz w:val="20"/>
                <w:szCs w:val="20"/>
                <w:lang w:val="bg-BG"/>
              </w:rPr>
              <w:t xml:space="preserve">- </w:t>
            </w:r>
            <w:r w:rsidRPr="004E0F2B">
              <w:rPr>
                <w:rFonts w:ascii="Arial" w:hAnsi="Arial" w:cs="Arial"/>
                <w:sz w:val="20"/>
                <w:szCs w:val="20"/>
                <w:lang w:val="en-US"/>
              </w:rPr>
              <w:t>implementation</w:t>
            </w:r>
            <w:r w:rsidRPr="004E0F2B">
              <w:rPr>
                <w:rFonts w:ascii="Arial" w:hAnsi="Arial" w:cs="Arial"/>
                <w:sz w:val="20"/>
                <w:szCs w:val="20"/>
                <w:lang w:val="bg-BG"/>
              </w:rPr>
              <w:t xml:space="preserve"> </w:t>
            </w:r>
            <w:r w:rsidRPr="004E0F2B">
              <w:rPr>
                <w:rFonts w:ascii="Arial" w:hAnsi="Arial" w:cs="Arial"/>
                <w:sz w:val="20"/>
                <w:szCs w:val="20"/>
                <w:lang w:val="en-US"/>
              </w:rPr>
              <w:t>of spatial p</w:t>
            </w:r>
            <w:r w:rsidRPr="004E0F2B">
              <w:rPr>
                <w:rFonts w:ascii="Arial" w:hAnsi="Arial" w:cs="Arial"/>
                <w:sz w:val="20"/>
                <w:szCs w:val="20"/>
                <w:lang w:val="bg-BG"/>
              </w:rPr>
              <w:t>rotection measures</w:t>
            </w:r>
          </w:p>
          <w:p w14:paraId="4BA758A8" w14:textId="77777777" w:rsidR="00770E25" w:rsidRPr="004E0F2B" w:rsidRDefault="00770E25" w:rsidP="00770E25">
            <w:pPr>
              <w:spacing w:after="0" w:line="240" w:lineRule="auto"/>
              <w:rPr>
                <w:rFonts w:ascii="Arial" w:hAnsi="Arial" w:cs="Arial"/>
                <w:sz w:val="20"/>
                <w:szCs w:val="20"/>
                <w:lang w:val="en-US"/>
              </w:rPr>
            </w:pPr>
          </w:p>
          <w:p w14:paraId="793B73A9" w14:textId="691A17D0" w:rsidR="00956298" w:rsidRPr="004E0F2B" w:rsidRDefault="00770E25" w:rsidP="006B1300">
            <w:pPr>
              <w:rPr>
                <w:rFonts w:ascii="Arial" w:hAnsi="Arial" w:cs="Arial"/>
                <w:i/>
                <w:sz w:val="20"/>
                <w:szCs w:val="20"/>
                <w:lang w:val="bg-BG"/>
              </w:rPr>
            </w:pPr>
            <w:r w:rsidRPr="004E0F2B">
              <w:rPr>
                <w:rFonts w:ascii="Arial" w:hAnsi="Arial" w:cs="Arial"/>
                <w:sz w:val="20"/>
                <w:szCs w:val="20"/>
                <w:lang w:val="en-GB"/>
              </w:rPr>
              <w:t>This measure is related to spatial protection actions under the Directive on the conservation of wild birds 2009/147/EC and the Directive on the Conservation of the habitats 92/43/EEC.</w:t>
            </w:r>
          </w:p>
        </w:tc>
      </w:tr>
      <w:tr w:rsidR="009D45F8" w:rsidRPr="004E0F2B" w14:paraId="11E6D003" w14:textId="77777777" w:rsidTr="00664B7F">
        <w:tc>
          <w:tcPr>
            <w:tcW w:w="2376" w:type="dxa"/>
            <w:shd w:val="clear" w:color="auto" w:fill="auto"/>
          </w:tcPr>
          <w:p w14:paraId="09F04628" w14:textId="22297378" w:rsidR="009D45F8" w:rsidRPr="004E0F2B" w:rsidRDefault="009D45F8" w:rsidP="00664B7F">
            <w:pPr>
              <w:spacing w:before="60" w:after="60" w:line="240" w:lineRule="auto"/>
              <w:rPr>
                <w:rFonts w:ascii="Arial" w:hAnsi="Arial" w:cs="Arial"/>
                <w:b/>
                <w:sz w:val="20"/>
                <w:szCs w:val="20"/>
                <w:lang w:val="en-GB"/>
              </w:rPr>
            </w:pPr>
            <w:r w:rsidRPr="004E0F2B">
              <w:rPr>
                <w:rFonts w:ascii="Arial" w:hAnsi="Arial" w:cs="Arial"/>
                <w:b/>
                <w:sz w:val="20"/>
                <w:szCs w:val="20"/>
                <w:lang w:val="en-GB"/>
              </w:rPr>
              <w:lastRenderedPageBreak/>
              <w:t>EU measure category</w:t>
            </w:r>
          </w:p>
        </w:tc>
        <w:tc>
          <w:tcPr>
            <w:tcW w:w="7371" w:type="dxa"/>
            <w:gridSpan w:val="2"/>
            <w:shd w:val="clear" w:color="auto" w:fill="auto"/>
          </w:tcPr>
          <w:p w14:paraId="22A43DE2" w14:textId="29108318" w:rsidR="009D45F8" w:rsidRPr="004E0F2B" w:rsidRDefault="00956298" w:rsidP="00956298">
            <w:pPr>
              <w:spacing w:before="60" w:after="60" w:line="240" w:lineRule="auto"/>
              <w:rPr>
                <w:rFonts w:ascii="Arial" w:hAnsi="Arial" w:cs="Arial"/>
                <w:sz w:val="20"/>
                <w:szCs w:val="20"/>
                <w:lang w:val="bg-BG"/>
              </w:rPr>
            </w:pPr>
            <w:r w:rsidRPr="004E0F2B">
              <w:rPr>
                <w:rFonts w:ascii="Arial" w:hAnsi="Arial" w:cs="Arial"/>
                <w:sz w:val="20"/>
                <w:szCs w:val="20"/>
                <w:lang w:val="en-GB"/>
              </w:rPr>
              <w:t>2a</w:t>
            </w:r>
          </w:p>
        </w:tc>
      </w:tr>
      <w:tr w:rsidR="005D3832" w:rsidRPr="0023317E" w14:paraId="43062CE0" w14:textId="77777777" w:rsidTr="006B1300">
        <w:trPr>
          <w:trHeight w:val="865"/>
        </w:trPr>
        <w:tc>
          <w:tcPr>
            <w:tcW w:w="2376" w:type="dxa"/>
            <w:shd w:val="clear" w:color="auto" w:fill="auto"/>
          </w:tcPr>
          <w:p w14:paraId="5EC6AC73" w14:textId="77777777" w:rsidR="005D3832" w:rsidRPr="004E0F2B" w:rsidRDefault="000F1AFE" w:rsidP="000F1AFE">
            <w:pPr>
              <w:spacing w:before="60" w:after="60" w:line="240" w:lineRule="auto"/>
              <w:rPr>
                <w:rFonts w:ascii="Arial" w:hAnsi="Arial" w:cs="Arial"/>
                <w:b/>
                <w:sz w:val="20"/>
                <w:szCs w:val="20"/>
                <w:lang w:val="en-GB"/>
              </w:rPr>
            </w:pPr>
            <w:r w:rsidRPr="004E0F2B">
              <w:rPr>
                <w:rFonts w:ascii="Arial" w:hAnsi="Arial" w:cs="Arial"/>
                <w:b/>
                <w:sz w:val="20"/>
                <w:szCs w:val="20"/>
                <w:lang w:val="en-GB"/>
              </w:rPr>
              <w:t>Key Types of Measures</w:t>
            </w:r>
          </w:p>
        </w:tc>
        <w:tc>
          <w:tcPr>
            <w:tcW w:w="7371" w:type="dxa"/>
            <w:gridSpan w:val="2"/>
            <w:shd w:val="clear" w:color="auto" w:fill="auto"/>
          </w:tcPr>
          <w:p w14:paraId="364A57DB" w14:textId="77777777" w:rsidR="00827E7B" w:rsidRPr="004E0F2B" w:rsidRDefault="00827E7B" w:rsidP="00827E7B">
            <w:pPr>
              <w:spacing w:before="60" w:after="60" w:line="240" w:lineRule="auto"/>
              <w:rPr>
                <w:rFonts w:ascii="Arial" w:hAnsi="Arial" w:cs="Arial"/>
                <w:sz w:val="20"/>
                <w:szCs w:val="20"/>
                <w:lang w:val="en-US"/>
              </w:rPr>
            </w:pPr>
            <w:r w:rsidRPr="004E0F2B">
              <w:rPr>
                <w:rFonts w:ascii="Arial" w:hAnsi="Arial" w:cs="Arial"/>
                <w:sz w:val="20"/>
                <w:szCs w:val="20"/>
                <w:lang w:val="en-US"/>
              </w:rPr>
              <w:t>KTM 14 - Research, improvement of knowledge base reducing uncertainty</w:t>
            </w:r>
          </w:p>
          <w:p w14:paraId="2AEE486A" w14:textId="77777777" w:rsidR="00827E7B" w:rsidRPr="004E0F2B" w:rsidRDefault="00827E7B" w:rsidP="00827E7B">
            <w:pPr>
              <w:spacing w:before="60" w:after="60" w:line="240" w:lineRule="auto"/>
              <w:rPr>
                <w:rFonts w:ascii="Arial" w:hAnsi="Arial" w:cs="Arial"/>
                <w:sz w:val="20"/>
                <w:szCs w:val="20"/>
                <w:lang w:val="en-US"/>
              </w:rPr>
            </w:pPr>
            <w:r w:rsidRPr="004E0F2B">
              <w:rPr>
                <w:rFonts w:ascii="Arial" w:hAnsi="Arial" w:cs="Arial"/>
                <w:sz w:val="20"/>
                <w:szCs w:val="20"/>
                <w:lang w:val="en-US"/>
              </w:rPr>
              <w:t>KTM 20 - Measures to prevent or control the adverse impacts of fishing and other exploitation/removal of animal and plants</w:t>
            </w:r>
          </w:p>
          <w:p w14:paraId="27D21F44" w14:textId="125CC9C0" w:rsidR="000F1AFE" w:rsidRPr="004E0F2B" w:rsidRDefault="00AA19EC" w:rsidP="00827E7B">
            <w:pPr>
              <w:spacing w:before="60" w:after="60" w:line="240" w:lineRule="auto"/>
              <w:rPr>
                <w:rFonts w:ascii="Arial" w:hAnsi="Arial" w:cs="Arial"/>
                <w:i/>
                <w:sz w:val="20"/>
                <w:szCs w:val="20"/>
                <w:lang w:val="bg-BG"/>
              </w:rPr>
            </w:pPr>
            <w:r w:rsidRPr="004E0F2B">
              <w:rPr>
                <w:rFonts w:ascii="Arial" w:hAnsi="Arial" w:cs="Arial"/>
                <w:sz w:val="20"/>
                <w:szCs w:val="20"/>
                <w:lang w:val="en-US"/>
              </w:rPr>
              <w:t>KTM 37 Measures to restore and conserve marine ecosystems, including habitats and species</w:t>
            </w:r>
          </w:p>
        </w:tc>
      </w:tr>
      <w:tr w:rsidR="005D3832" w:rsidRPr="0023317E" w14:paraId="237AF55A" w14:textId="77777777" w:rsidTr="00AF66BF">
        <w:trPr>
          <w:trHeight w:val="489"/>
        </w:trPr>
        <w:tc>
          <w:tcPr>
            <w:tcW w:w="2376" w:type="dxa"/>
            <w:shd w:val="clear" w:color="auto" w:fill="auto"/>
          </w:tcPr>
          <w:p w14:paraId="5EF4578D" w14:textId="77777777" w:rsidR="005D3832" w:rsidRPr="004E0F2B" w:rsidRDefault="005D3832" w:rsidP="00E41209">
            <w:pPr>
              <w:spacing w:before="60" w:after="60" w:line="240" w:lineRule="auto"/>
              <w:rPr>
                <w:rFonts w:ascii="Arial" w:hAnsi="Arial" w:cs="Arial"/>
                <w:b/>
                <w:sz w:val="20"/>
                <w:szCs w:val="20"/>
                <w:lang w:val="en-GB"/>
              </w:rPr>
            </w:pPr>
            <w:r w:rsidRPr="004E0F2B">
              <w:rPr>
                <w:rFonts w:ascii="Arial" w:hAnsi="Arial" w:cs="Arial"/>
                <w:b/>
                <w:sz w:val="20"/>
                <w:szCs w:val="20"/>
                <w:lang w:val="en-GB"/>
              </w:rPr>
              <w:t>Environmental targets</w:t>
            </w:r>
          </w:p>
        </w:tc>
        <w:tc>
          <w:tcPr>
            <w:tcW w:w="7371" w:type="dxa"/>
            <w:gridSpan w:val="2"/>
            <w:shd w:val="clear" w:color="auto" w:fill="auto"/>
          </w:tcPr>
          <w:p w14:paraId="4F14A172" w14:textId="65826522" w:rsidR="00691F48" w:rsidRDefault="00956298" w:rsidP="00956298">
            <w:pPr>
              <w:pStyle w:val="Plattetekst"/>
              <w:spacing w:line="240" w:lineRule="auto"/>
              <w:rPr>
                <w:rFonts w:ascii="Arial" w:hAnsi="Arial" w:cs="Arial"/>
                <w:iCs/>
                <w:sz w:val="20"/>
                <w:szCs w:val="20"/>
                <w:lang w:val="en-GB"/>
              </w:rPr>
            </w:pPr>
            <w:r w:rsidRPr="004E0F2B">
              <w:rPr>
                <w:rFonts w:ascii="Arial" w:hAnsi="Arial" w:cs="Arial"/>
                <w:iCs/>
                <w:sz w:val="20"/>
                <w:szCs w:val="20"/>
                <w:lang w:val="en-GB"/>
              </w:rPr>
              <w:t>Environmental target on criterion 1.1. "Species distribution" on indicator 1.1.1: Maintain or increase in sustainable limits (to be determined, see. Section 6) the distribution of migratory species of Mediterranean shearwater (</w:t>
            </w:r>
            <w:r w:rsidRPr="004E0F2B">
              <w:rPr>
                <w:rFonts w:ascii="Arial" w:hAnsi="Arial" w:cs="Arial"/>
                <w:i/>
                <w:iCs/>
                <w:sz w:val="20"/>
                <w:szCs w:val="20"/>
                <w:lang w:val="en-GB"/>
              </w:rPr>
              <w:t>Puffinus yelkouan</w:t>
            </w:r>
            <w:r w:rsidRPr="004E0F2B">
              <w:rPr>
                <w:rFonts w:ascii="Arial" w:hAnsi="Arial" w:cs="Arial"/>
                <w:iCs/>
                <w:sz w:val="20"/>
                <w:szCs w:val="20"/>
                <w:lang w:val="en-GB"/>
              </w:rPr>
              <w:t>), the wintering species European shag (</w:t>
            </w:r>
            <w:r w:rsidRPr="004E0F2B">
              <w:rPr>
                <w:rFonts w:ascii="Arial" w:hAnsi="Arial" w:cs="Arial"/>
                <w:i/>
                <w:iCs/>
                <w:sz w:val="20"/>
                <w:szCs w:val="20"/>
                <w:lang w:val="en-GB"/>
              </w:rPr>
              <w:t>Phalacrocorax aristotelis</w:t>
            </w:r>
            <w:r w:rsidRPr="004E0F2B">
              <w:rPr>
                <w:rFonts w:ascii="Arial" w:hAnsi="Arial" w:cs="Arial"/>
                <w:iCs/>
                <w:sz w:val="20"/>
                <w:szCs w:val="20"/>
                <w:lang w:val="en-GB"/>
              </w:rPr>
              <w:t>) and the distribution of other migratory / feeding and / or wintering species of seabirds and waterbirds.</w:t>
            </w:r>
          </w:p>
          <w:p w14:paraId="566EB792" w14:textId="77777777" w:rsidR="00691F48" w:rsidRDefault="00691F48" w:rsidP="00956298">
            <w:pPr>
              <w:pStyle w:val="Plattetekst"/>
              <w:spacing w:line="240" w:lineRule="auto"/>
              <w:rPr>
                <w:rFonts w:ascii="Arial" w:hAnsi="Arial" w:cs="Arial"/>
                <w:iCs/>
                <w:sz w:val="20"/>
                <w:szCs w:val="20"/>
                <w:lang w:val="en-GB"/>
              </w:rPr>
            </w:pPr>
            <w:r>
              <w:rPr>
                <w:rFonts w:ascii="Arial" w:hAnsi="Arial" w:cs="Arial"/>
                <w:iCs/>
                <w:sz w:val="20"/>
                <w:szCs w:val="20"/>
                <w:lang w:val="en-GB"/>
              </w:rPr>
              <w:t>RO</w:t>
            </w:r>
          </w:p>
          <w:p w14:paraId="70853D4B" w14:textId="1F064240" w:rsidR="00691F48" w:rsidRPr="004E0F2B" w:rsidRDefault="00691F48" w:rsidP="00956298">
            <w:pPr>
              <w:pStyle w:val="Plattetekst"/>
              <w:spacing w:line="240" w:lineRule="auto"/>
              <w:rPr>
                <w:rFonts w:ascii="Arial" w:hAnsi="Arial" w:cs="Arial"/>
                <w:iCs/>
                <w:sz w:val="20"/>
                <w:szCs w:val="20"/>
                <w:lang w:val="en-GB"/>
              </w:rPr>
            </w:pPr>
            <w:r>
              <w:rPr>
                <w:rFonts w:ascii="Arial" w:hAnsi="Arial" w:cs="Arial"/>
                <w:iCs/>
                <w:sz w:val="20"/>
                <w:szCs w:val="20"/>
                <w:lang w:val="en-GB"/>
              </w:rPr>
              <w:t xml:space="preserve">1.1.1 </w:t>
            </w:r>
            <w:r w:rsidRPr="008438C0">
              <w:rPr>
                <w:rFonts w:ascii="Arial" w:hAnsi="Arial" w:cs="Arial"/>
                <w:bCs/>
                <w:iCs/>
              </w:rPr>
              <w:t>The distribution of migratory species of Mediterranean shearwater (</w:t>
            </w:r>
            <w:r w:rsidRPr="008438C0">
              <w:rPr>
                <w:rFonts w:ascii="Arial" w:hAnsi="Arial" w:cs="Arial"/>
                <w:bCs/>
                <w:i/>
                <w:iCs/>
              </w:rPr>
              <w:t>Puffinus yelkouan</w:t>
            </w:r>
            <w:r w:rsidRPr="008438C0">
              <w:rPr>
                <w:rFonts w:ascii="Arial" w:hAnsi="Arial" w:cs="Arial"/>
                <w:bCs/>
                <w:iCs/>
              </w:rPr>
              <w:t>) along the Black Sea Romanian coast remains within its current limits, or there is expansion of the range.</w:t>
            </w:r>
          </w:p>
          <w:p w14:paraId="169DBD4D" w14:textId="77777777" w:rsidR="00956298" w:rsidRDefault="00956298" w:rsidP="00956298">
            <w:pPr>
              <w:pStyle w:val="Plattetekst"/>
              <w:spacing w:line="240" w:lineRule="auto"/>
              <w:rPr>
                <w:rFonts w:ascii="Arial" w:hAnsi="Arial" w:cs="Arial"/>
                <w:iCs/>
                <w:sz w:val="20"/>
                <w:szCs w:val="20"/>
                <w:lang w:val="en-GB"/>
              </w:rPr>
            </w:pPr>
            <w:r w:rsidRPr="004E0F2B">
              <w:rPr>
                <w:rFonts w:ascii="Arial" w:hAnsi="Arial" w:cs="Arial"/>
                <w:iCs/>
                <w:sz w:val="20"/>
                <w:szCs w:val="20"/>
                <w:lang w:val="en-GB"/>
              </w:rPr>
              <w:t>Environmental target on criterion 1.2. "Population size" indicator 1.2.1 and Criterion 4.3 "Abundance / distribution of key trophic groups / species" indicator 4.3.1: The population size (number of individuals / breeding pairs) of European shag (</w:t>
            </w:r>
            <w:r w:rsidRPr="004E0F2B">
              <w:rPr>
                <w:rFonts w:ascii="Arial" w:hAnsi="Arial" w:cs="Arial"/>
                <w:i/>
                <w:iCs/>
                <w:sz w:val="20"/>
                <w:szCs w:val="20"/>
                <w:lang w:val="en-GB"/>
              </w:rPr>
              <w:t>Phalacrocorax aristotelis</w:t>
            </w:r>
            <w:r w:rsidRPr="004E0F2B">
              <w:rPr>
                <w:rFonts w:ascii="Arial" w:hAnsi="Arial" w:cs="Arial"/>
                <w:iCs/>
                <w:sz w:val="20"/>
                <w:szCs w:val="20"/>
                <w:lang w:val="en-GB"/>
              </w:rPr>
              <w:t>) remains within 95% of the natural abundance of the species in Bulgaria long period. The population size (number of migratory individuals / number of migratory pairs) of Mediterranean shearwater (</w:t>
            </w:r>
            <w:r w:rsidRPr="004E0F2B">
              <w:rPr>
                <w:rFonts w:ascii="Arial" w:hAnsi="Arial" w:cs="Arial"/>
                <w:i/>
                <w:iCs/>
                <w:sz w:val="20"/>
                <w:szCs w:val="20"/>
                <w:lang w:val="en-GB"/>
              </w:rPr>
              <w:t>Puffinus yelkouan</w:t>
            </w:r>
            <w:r w:rsidRPr="004E0F2B">
              <w:rPr>
                <w:rFonts w:ascii="Arial" w:hAnsi="Arial" w:cs="Arial"/>
                <w:iCs/>
                <w:sz w:val="20"/>
                <w:szCs w:val="20"/>
                <w:lang w:val="en-GB"/>
              </w:rPr>
              <w:t>) remains within 95% of the natural abundance of migratory species in Bulgaria and increases in the long term.</w:t>
            </w:r>
          </w:p>
          <w:p w14:paraId="78821D11" w14:textId="0A91E4F9" w:rsidR="00691F48" w:rsidRPr="00691F48" w:rsidRDefault="00691F48" w:rsidP="00691F48">
            <w:pPr>
              <w:pStyle w:val="Default"/>
              <w:spacing w:after="120" w:line="276" w:lineRule="auto"/>
              <w:jc w:val="both"/>
              <w:rPr>
                <w:rFonts w:ascii="Arial" w:hAnsi="Arial" w:cs="Arial"/>
                <w:bCs/>
                <w:iCs/>
                <w:sz w:val="22"/>
                <w:szCs w:val="22"/>
              </w:rPr>
            </w:pPr>
            <w:r>
              <w:rPr>
                <w:rFonts w:ascii="Arial" w:hAnsi="Arial" w:cs="Arial"/>
                <w:bCs/>
                <w:iCs/>
                <w:sz w:val="22"/>
                <w:szCs w:val="22"/>
              </w:rPr>
              <w:t xml:space="preserve">RO </w:t>
            </w:r>
            <w:r w:rsidRPr="008438C0">
              <w:rPr>
                <w:rFonts w:ascii="Arial" w:hAnsi="Arial" w:cs="Arial"/>
                <w:bCs/>
                <w:iCs/>
                <w:sz w:val="22"/>
                <w:szCs w:val="22"/>
              </w:rPr>
              <w:t>1.2.1 and 4.3.1 - The population size of  the Mediterranean shearwater (</w:t>
            </w:r>
            <w:r w:rsidRPr="008438C0">
              <w:rPr>
                <w:rFonts w:ascii="Arial" w:hAnsi="Arial" w:cs="Arial"/>
                <w:bCs/>
                <w:i/>
                <w:iCs/>
                <w:sz w:val="22"/>
                <w:szCs w:val="22"/>
              </w:rPr>
              <w:t>Puffinus yelkouan</w:t>
            </w:r>
            <w:r w:rsidRPr="008438C0">
              <w:rPr>
                <w:rFonts w:ascii="Arial" w:hAnsi="Arial" w:cs="Arial"/>
                <w:bCs/>
                <w:iCs/>
                <w:sz w:val="22"/>
                <w:szCs w:val="22"/>
              </w:rPr>
              <w:t>) remains stable and increases in the long term.</w:t>
            </w:r>
          </w:p>
          <w:p w14:paraId="3C73DF7B" w14:textId="77777777" w:rsidR="00956298" w:rsidRPr="004E0F2B" w:rsidRDefault="00956298" w:rsidP="00956298">
            <w:pPr>
              <w:pStyle w:val="Plattetekst"/>
              <w:spacing w:line="240" w:lineRule="auto"/>
              <w:rPr>
                <w:rFonts w:ascii="Arial" w:hAnsi="Arial" w:cs="Arial"/>
                <w:iCs/>
                <w:sz w:val="20"/>
                <w:szCs w:val="20"/>
                <w:lang w:val="en-GB"/>
              </w:rPr>
            </w:pPr>
            <w:r w:rsidRPr="004E0F2B">
              <w:rPr>
                <w:rFonts w:ascii="Arial" w:hAnsi="Arial" w:cs="Arial"/>
                <w:iCs/>
                <w:sz w:val="20"/>
                <w:szCs w:val="20"/>
                <w:lang w:val="en-GB"/>
              </w:rPr>
              <w:t>Environmental target on criterion 1.3 "Condition of the population", indicator 1.3.1: The number of registered cases of injured and dead birds as a result of the negative impact of human activities decreases.</w:t>
            </w:r>
          </w:p>
          <w:p w14:paraId="4451477A" w14:textId="77777777" w:rsidR="00956298" w:rsidRDefault="00956298" w:rsidP="00956298">
            <w:pPr>
              <w:pStyle w:val="Plattetekst"/>
              <w:spacing w:line="240" w:lineRule="auto"/>
              <w:rPr>
                <w:rFonts w:ascii="Arial" w:hAnsi="Arial" w:cs="Arial"/>
                <w:iCs/>
                <w:sz w:val="20"/>
                <w:szCs w:val="20"/>
                <w:lang w:val="en-GB"/>
              </w:rPr>
            </w:pPr>
            <w:r w:rsidRPr="004E0F2B">
              <w:rPr>
                <w:rFonts w:ascii="Arial" w:hAnsi="Arial" w:cs="Arial"/>
                <w:iCs/>
                <w:sz w:val="20"/>
                <w:szCs w:val="20"/>
                <w:lang w:val="en-GB"/>
              </w:rPr>
              <w:t xml:space="preserve">Environmental target on criterion 1.4 "Distribution of habitat" indicator 1.4.1: </w:t>
            </w:r>
            <w:r w:rsidRPr="004E0F2B">
              <w:rPr>
                <w:rFonts w:ascii="Arial" w:hAnsi="Arial" w:cs="Arial"/>
                <w:iCs/>
                <w:sz w:val="20"/>
                <w:szCs w:val="20"/>
                <w:lang w:val="en-GB"/>
              </w:rPr>
              <w:lastRenderedPageBreak/>
              <w:t>Preserve the habitats of the Mediterranean Shearwater (</w:t>
            </w:r>
            <w:r w:rsidRPr="004E0F2B">
              <w:rPr>
                <w:rFonts w:ascii="Arial" w:hAnsi="Arial" w:cs="Arial"/>
                <w:i/>
                <w:iCs/>
                <w:sz w:val="20"/>
                <w:szCs w:val="20"/>
                <w:lang w:val="en-GB"/>
              </w:rPr>
              <w:t>Puffinus yelkouan</w:t>
            </w:r>
            <w:r w:rsidRPr="004E0F2B">
              <w:rPr>
                <w:rFonts w:ascii="Arial" w:hAnsi="Arial" w:cs="Arial"/>
                <w:iCs/>
                <w:sz w:val="20"/>
                <w:szCs w:val="20"/>
                <w:lang w:val="en-GB"/>
              </w:rPr>
              <w:t>), European shag (</w:t>
            </w:r>
            <w:r w:rsidRPr="004E0F2B">
              <w:rPr>
                <w:rFonts w:ascii="Arial" w:hAnsi="Arial" w:cs="Arial"/>
                <w:i/>
                <w:iCs/>
                <w:sz w:val="20"/>
                <w:szCs w:val="20"/>
                <w:lang w:val="en-GB"/>
              </w:rPr>
              <w:t>Phalacrocorax aristotelis</w:t>
            </w:r>
            <w:r w:rsidRPr="004E0F2B">
              <w:rPr>
                <w:rFonts w:ascii="Arial" w:hAnsi="Arial" w:cs="Arial"/>
                <w:iCs/>
                <w:sz w:val="20"/>
                <w:szCs w:val="20"/>
                <w:lang w:val="en-GB"/>
              </w:rPr>
              <w:t>) and other seabirds and waterbirds and / or increasing their extent in sustainable limits (to be determined) by reducing the negative impact of natural and human factors.</w:t>
            </w:r>
          </w:p>
          <w:p w14:paraId="6AA38884" w14:textId="1812213D" w:rsidR="00691F48" w:rsidRPr="004E0F2B" w:rsidRDefault="00691F48" w:rsidP="00956298">
            <w:pPr>
              <w:pStyle w:val="Plattetekst"/>
              <w:spacing w:line="240" w:lineRule="auto"/>
              <w:rPr>
                <w:rFonts w:ascii="Arial" w:hAnsi="Arial" w:cs="Arial"/>
                <w:iCs/>
                <w:sz w:val="20"/>
                <w:szCs w:val="20"/>
                <w:lang w:val="en-GB"/>
              </w:rPr>
            </w:pPr>
            <w:r>
              <w:rPr>
                <w:rFonts w:ascii="Arial" w:hAnsi="Arial" w:cs="Arial"/>
                <w:bCs/>
                <w:iCs/>
              </w:rPr>
              <w:t xml:space="preserve">RO 1.4.1 </w:t>
            </w:r>
            <w:r w:rsidRPr="008438C0">
              <w:rPr>
                <w:rFonts w:ascii="Arial" w:hAnsi="Arial" w:cs="Arial"/>
                <w:bCs/>
                <w:iCs/>
              </w:rPr>
              <w:t>The area of distribution of the Mediterranean shearwater (</w:t>
            </w:r>
            <w:r w:rsidRPr="008438C0">
              <w:rPr>
                <w:rFonts w:ascii="Arial" w:hAnsi="Arial" w:cs="Arial"/>
                <w:bCs/>
                <w:i/>
                <w:iCs/>
              </w:rPr>
              <w:t>Puffinus yelkouan</w:t>
            </w:r>
            <w:r w:rsidRPr="008438C0">
              <w:rPr>
                <w:rFonts w:ascii="Arial" w:hAnsi="Arial" w:cs="Arial"/>
                <w:bCs/>
                <w:iCs/>
              </w:rPr>
              <w:t>) remains in the observed range or increases.</w:t>
            </w:r>
          </w:p>
          <w:p w14:paraId="7D2FEC55" w14:textId="77777777" w:rsidR="00956298" w:rsidRDefault="00956298" w:rsidP="00956298">
            <w:pPr>
              <w:pStyle w:val="Plattetekst"/>
              <w:spacing w:line="240" w:lineRule="auto"/>
              <w:rPr>
                <w:rFonts w:ascii="Arial" w:hAnsi="Arial" w:cs="Arial"/>
                <w:iCs/>
                <w:sz w:val="20"/>
                <w:szCs w:val="20"/>
                <w:lang w:val="en-GB"/>
              </w:rPr>
            </w:pPr>
            <w:r w:rsidRPr="004E0F2B">
              <w:rPr>
                <w:rFonts w:ascii="Arial" w:hAnsi="Arial" w:cs="Arial"/>
                <w:iCs/>
                <w:sz w:val="20"/>
                <w:szCs w:val="20"/>
                <w:lang w:val="en-GB"/>
              </w:rPr>
              <w:t>Environmental target on criterion 1.5 "Size of habitat", indicator 1.5.1: The area of the habitats of the Mediterranean Shearwater (</w:t>
            </w:r>
            <w:r w:rsidRPr="004E0F2B">
              <w:rPr>
                <w:rFonts w:ascii="Arial" w:hAnsi="Arial" w:cs="Arial"/>
                <w:i/>
                <w:iCs/>
                <w:sz w:val="20"/>
                <w:szCs w:val="20"/>
                <w:lang w:val="en-GB"/>
              </w:rPr>
              <w:t>Puffinus yelkouan</w:t>
            </w:r>
            <w:r w:rsidRPr="004E0F2B">
              <w:rPr>
                <w:rFonts w:ascii="Arial" w:hAnsi="Arial" w:cs="Arial"/>
                <w:iCs/>
                <w:sz w:val="20"/>
                <w:szCs w:val="20"/>
                <w:lang w:val="en-GB"/>
              </w:rPr>
              <w:t>), and the European shag (</w:t>
            </w:r>
            <w:r w:rsidRPr="004E0F2B">
              <w:rPr>
                <w:rFonts w:ascii="Arial" w:hAnsi="Arial" w:cs="Arial"/>
                <w:i/>
                <w:iCs/>
                <w:sz w:val="20"/>
                <w:szCs w:val="20"/>
                <w:lang w:val="en-GB"/>
              </w:rPr>
              <w:t>Phalacrocorax aristotelis</w:t>
            </w:r>
            <w:r w:rsidRPr="004E0F2B">
              <w:rPr>
                <w:rFonts w:ascii="Arial" w:hAnsi="Arial" w:cs="Arial"/>
                <w:iCs/>
                <w:sz w:val="20"/>
                <w:szCs w:val="20"/>
                <w:lang w:val="en-GB"/>
              </w:rPr>
              <w:t>) is maintained or is increasing.</w:t>
            </w:r>
          </w:p>
          <w:p w14:paraId="17B64C58" w14:textId="37437E3F" w:rsidR="006541E8" w:rsidRPr="004E0F2B" w:rsidRDefault="006541E8" w:rsidP="00956298">
            <w:pPr>
              <w:pStyle w:val="Plattetekst"/>
              <w:spacing w:line="240" w:lineRule="auto"/>
              <w:rPr>
                <w:rFonts w:ascii="Arial" w:hAnsi="Arial" w:cs="Arial"/>
                <w:iCs/>
                <w:sz w:val="20"/>
                <w:szCs w:val="20"/>
                <w:lang w:val="en-GB"/>
              </w:rPr>
            </w:pPr>
            <w:r>
              <w:rPr>
                <w:rFonts w:ascii="Arial" w:hAnsi="Arial" w:cs="Arial"/>
                <w:iCs/>
                <w:sz w:val="20"/>
                <w:szCs w:val="20"/>
                <w:lang w:val="en-GB"/>
              </w:rPr>
              <w:t xml:space="preserve">RO </w:t>
            </w:r>
            <w:r w:rsidRPr="008438C0">
              <w:rPr>
                <w:rFonts w:ascii="Arial" w:hAnsi="Arial" w:cs="Arial"/>
                <w:bCs/>
                <w:iCs/>
              </w:rPr>
              <w:t>1.5.1 - The area of the habitats of the Mediterranean Shearwater (</w:t>
            </w:r>
            <w:r w:rsidRPr="008438C0">
              <w:rPr>
                <w:rFonts w:ascii="Arial" w:hAnsi="Arial" w:cs="Arial"/>
                <w:bCs/>
                <w:i/>
                <w:iCs/>
              </w:rPr>
              <w:t>Puffinus yelkouan</w:t>
            </w:r>
            <w:r w:rsidRPr="008438C0">
              <w:rPr>
                <w:rFonts w:ascii="Arial" w:hAnsi="Arial" w:cs="Arial"/>
                <w:bCs/>
                <w:iCs/>
              </w:rPr>
              <w:t>) is sufficient for the sustainable development of their populations.</w:t>
            </w:r>
          </w:p>
          <w:p w14:paraId="086EF35D" w14:textId="7CBBEF9C" w:rsidR="00956298" w:rsidRPr="004E0F2B" w:rsidRDefault="00956298" w:rsidP="00827E7B">
            <w:pPr>
              <w:spacing w:before="60" w:after="60" w:line="240" w:lineRule="auto"/>
              <w:rPr>
                <w:rFonts w:ascii="Arial" w:hAnsi="Arial" w:cs="Arial"/>
                <w:i/>
                <w:sz w:val="20"/>
                <w:szCs w:val="20"/>
                <w:lang w:val="bg-BG"/>
              </w:rPr>
            </w:pPr>
            <w:r w:rsidRPr="004E0F2B">
              <w:rPr>
                <w:rFonts w:ascii="Arial" w:hAnsi="Arial" w:cs="Arial"/>
                <w:iCs/>
                <w:sz w:val="20"/>
                <w:szCs w:val="20"/>
                <w:lang w:val="en-GB"/>
              </w:rPr>
              <w:t>Environmental targets on criterion 1.6 "The condition of the habitat" and criterion 4.1. "Productivity (production per unit biomass) of key species or trophic groups" will be defined for the second cycle of implementation of the MSFD after further data.</w:t>
            </w:r>
          </w:p>
        </w:tc>
      </w:tr>
      <w:tr w:rsidR="005D3832" w:rsidRPr="0023317E" w14:paraId="12CB0703" w14:textId="77777777" w:rsidTr="00AF66BF">
        <w:tc>
          <w:tcPr>
            <w:tcW w:w="2376" w:type="dxa"/>
            <w:shd w:val="clear" w:color="auto" w:fill="auto"/>
          </w:tcPr>
          <w:p w14:paraId="3F234ADF" w14:textId="428D5D9B" w:rsidR="005D3832" w:rsidRPr="004E0F2B" w:rsidRDefault="005D3832" w:rsidP="00E41209">
            <w:pPr>
              <w:spacing w:before="60" w:after="60" w:line="240" w:lineRule="auto"/>
              <w:rPr>
                <w:rFonts w:ascii="Arial" w:hAnsi="Arial" w:cs="Arial"/>
                <w:b/>
                <w:sz w:val="20"/>
                <w:szCs w:val="20"/>
                <w:lang w:val="en-GB"/>
              </w:rPr>
            </w:pPr>
            <w:r w:rsidRPr="004E0F2B">
              <w:rPr>
                <w:rFonts w:ascii="Arial" w:hAnsi="Arial" w:cs="Arial"/>
                <w:b/>
                <w:sz w:val="20"/>
                <w:szCs w:val="20"/>
                <w:lang w:val="en-GB"/>
              </w:rPr>
              <w:lastRenderedPageBreak/>
              <w:t>Descriptors</w:t>
            </w:r>
          </w:p>
        </w:tc>
        <w:tc>
          <w:tcPr>
            <w:tcW w:w="7371" w:type="dxa"/>
            <w:gridSpan w:val="2"/>
            <w:shd w:val="clear" w:color="auto" w:fill="auto"/>
          </w:tcPr>
          <w:p w14:paraId="50E42E1B" w14:textId="77777777" w:rsidR="000F1AFE" w:rsidRPr="004E0F2B" w:rsidRDefault="000F1AFE" w:rsidP="00E41209">
            <w:pPr>
              <w:spacing w:before="60" w:after="60" w:line="240" w:lineRule="auto"/>
              <w:rPr>
                <w:rFonts w:ascii="Arial" w:hAnsi="Arial" w:cs="Arial"/>
                <w:sz w:val="20"/>
                <w:szCs w:val="20"/>
                <w:lang w:val="en-GB"/>
              </w:rPr>
            </w:pPr>
            <w:r w:rsidRPr="004E0F2B">
              <w:rPr>
                <w:rFonts w:ascii="Arial" w:hAnsi="Arial" w:cs="Arial"/>
                <w:sz w:val="20"/>
                <w:szCs w:val="20"/>
                <w:lang w:val="en-GB"/>
              </w:rPr>
              <w:t>D1- Biodiversity</w:t>
            </w:r>
          </w:p>
          <w:p w14:paraId="2FEF84EB" w14:textId="5CC99427" w:rsidR="00827E7B" w:rsidRPr="004E0F2B" w:rsidRDefault="00827E7B" w:rsidP="00E41209">
            <w:pPr>
              <w:spacing w:before="60" w:after="60" w:line="240" w:lineRule="auto"/>
              <w:rPr>
                <w:rFonts w:ascii="Arial" w:hAnsi="Arial" w:cs="Arial"/>
                <w:sz w:val="20"/>
                <w:szCs w:val="20"/>
                <w:lang w:val="bg-BG"/>
              </w:rPr>
            </w:pPr>
            <w:r w:rsidRPr="004E0F2B">
              <w:rPr>
                <w:rFonts w:ascii="Arial" w:hAnsi="Arial" w:cs="Arial"/>
                <w:sz w:val="20"/>
                <w:szCs w:val="20"/>
                <w:lang w:val="en-GB"/>
              </w:rPr>
              <w:t>D4- Food web</w:t>
            </w:r>
          </w:p>
        </w:tc>
      </w:tr>
      <w:tr w:rsidR="008B05CB" w:rsidRPr="004E0F2B" w14:paraId="0A0E6EC3" w14:textId="77777777" w:rsidTr="00AF66BF">
        <w:tc>
          <w:tcPr>
            <w:tcW w:w="2376" w:type="dxa"/>
            <w:shd w:val="clear" w:color="auto" w:fill="auto"/>
          </w:tcPr>
          <w:p w14:paraId="11D8B730" w14:textId="77777777" w:rsidR="008B05CB" w:rsidRPr="004E0F2B" w:rsidRDefault="008B05CB" w:rsidP="00E41209">
            <w:pPr>
              <w:spacing w:before="60" w:after="60" w:line="240" w:lineRule="auto"/>
              <w:rPr>
                <w:rFonts w:ascii="Arial" w:hAnsi="Arial" w:cs="Arial"/>
                <w:b/>
                <w:sz w:val="20"/>
                <w:szCs w:val="20"/>
                <w:lang w:val="en-GB"/>
              </w:rPr>
            </w:pPr>
            <w:r w:rsidRPr="004E0F2B">
              <w:rPr>
                <w:rFonts w:ascii="Arial" w:hAnsi="Arial" w:cs="Arial"/>
                <w:b/>
                <w:sz w:val="20"/>
                <w:szCs w:val="20"/>
                <w:lang w:val="en-GB"/>
              </w:rPr>
              <w:t>Main pressures</w:t>
            </w:r>
          </w:p>
        </w:tc>
        <w:tc>
          <w:tcPr>
            <w:tcW w:w="7371" w:type="dxa"/>
            <w:gridSpan w:val="2"/>
            <w:shd w:val="clear" w:color="auto" w:fill="auto"/>
          </w:tcPr>
          <w:p w14:paraId="20397544" w14:textId="77777777" w:rsidR="00827E7B" w:rsidRPr="004E0F2B" w:rsidRDefault="00827E7B" w:rsidP="00827E7B">
            <w:pPr>
              <w:spacing w:before="60" w:after="60" w:line="240" w:lineRule="auto"/>
              <w:rPr>
                <w:rFonts w:ascii="Arial" w:hAnsi="Arial" w:cs="Arial"/>
                <w:b/>
                <w:sz w:val="20"/>
                <w:szCs w:val="20"/>
                <w:lang w:val="en-GB"/>
              </w:rPr>
            </w:pPr>
            <w:r w:rsidRPr="004E0F2B">
              <w:rPr>
                <w:rFonts w:ascii="Arial" w:hAnsi="Arial" w:cs="Arial"/>
                <w:b/>
                <w:sz w:val="20"/>
                <w:szCs w:val="20"/>
                <w:lang w:val="en-GB"/>
              </w:rPr>
              <w:t>Contamination by hazardous substances</w:t>
            </w:r>
          </w:p>
          <w:p w14:paraId="575467F3" w14:textId="77777777" w:rsidR="00827E7B" w:rsidRPr="004E0F2B" w:rsidRDefault="00827E7B" w:rsidP="00827E7B">
            <w:pPr>
              <w:spacing w:before="60" w:after="60" w:line="240" w:lineRule="auto"/>
              <w:rPr>
                <w:rFonts w:ascii="Arial" w:hAnsi="Arial" w:cs="Arial"/>
                <w:sz w:val="20"/>
                <w:szCs w:val="20"/>
                <w:lang w:val="en-GB"/>
              </w:rPr>
            </w:pPr>
            <w:r w:rsidRPr="004E0F2B">
              <w:rPr>
                <w:rFonts w:ascii="Arial" w:hAnsi="Arial" w:cs="Arial"/>
                <w:sz w:val="20"/>
                <w:szCs w:val="20"/>
                <w:lang w:val="en-GB"/>
              </w:rPr>
              <w:t>-</w:t>
            </w:r>
            <w:r w:rsidRPr="004E0F2B">
              <w:rPr>
                <w:rFonts w:ascii="Arial" w:hAnsi="Arial" w:cs="Arial"/>
                <w:sz w:val="20"/>
                <w:szCs w:val="20"/>
                <w:lang w:val="en-GB"/>
              </w:rPr>
              <w:tab/>
              <w:t>introduction of synthetic compounds (e.g. priority substances under Directive 2000/60/EC which are relevant for the marine environment such as pesticides, antifoulants, pharmaceuticals, resulting, for example, from losses from diffuse sources, pollution by ships, atmospheric deposition and biologically active substances),</w:t>
            </w:r>
          </w:p>
          <w:p w14:paraId="5C24C299" w14:textId="77777777" w:rsidR="00827E7B" w:rsidRPr="004E0F2B" w:rsidRDefault="00827E7B" w:rsidP="00827E7B">
            <w:pPr>
              <w:spacing w:before="60" w:after="60" w:line="240" w:lineRule="auto"/>
              <w:rPr>
                <w:rFonts w:ascii="Arial" w:hAnsi="Arial" w:cs="Arial"/>
                <w:sz w:val="20"/>
                <w:szCs w:val="20"/>
                <w:lang w:val="en-GB"/>
              </w:rPr>
            </w:pPr>
            <w:r w:rsidRPr="004E0F2B">
              <w:rPr>
                <w:rFonts w:ascii="Arial" w:hAnsi="Arial" w:cs="Arial"/>
                <w:sz w:val="20"/>
                <w:szCs w:val="20"/>
                <w:lang w:val="en-GB"/>
              </w:rPr>
              <w:t>-</w:t>
            </w:r>
            <w:r w:rsidRPr="004E0F2B">
              <w:rPr>
                <w:rFonts w:ascii="Arial" w:hAnsi="Arial" w:cs="Arial"/>
                <w:sz w:val="20"/>
                <w:szCs w:val="20"/>
                <w:lang w:val="en-GB"/>
              </w:rPr>
              <w:tab/>
              <w:t>introduction of non-synthetic substances and compounds (e.g. heavy metals, hydrocarbons, resulting, for example, from pollution by ships and oil, gas and mineral exploration and exploitation, atmospheric deposition, riverine inputs),</w:t>
            </w:r>
          </w:p>
          <w:p w14:paraId="094A41F3" w14:textId="77777777" w:rsidR="00827E7B" w:rsidRPr="004E0F2B" w:rsidRDefault="00827E7B" w:rsidP="00827E7B">
            <w:pPr>
              <w:spacing w:before="60" w:after="60" w:line="240" w:lineRule="auto"/>
              <w:rPr>
                <w:rFonts w:ascii="Arial" w:hAnsi="Arial" w:cs="Arial"/>
                <w:sz w:val="20"/>
                <w:szCs w:val="20"/>
                <w:lang w:val="en-GB"/>
              </w:rPr>
            </w:pPr>
            <w:r w:rsidRPr="004E0F2B">
              <w:rPr>
                <w:rFonts w:ascii="Arial" w:hAnsi="Arial" w:cs="Arial"/>
                <w:sz w:val="20"/>
                <w:szCs w:val="20"/>
                <w:lang w:val="en-GB"/>
              </w:rPr>
              <w:t>-</w:t>
            </w:r>
            <w:r w:rsidRPr="004E0F2B">
              <w:rPr>
                <w:rFonts w:ascii="Arial" w:hAnsi="Arial" w:cs="Arial"/>
                <w:sz w:val="20"/>
                <w:szCs w:val="20"/>
                <w:lang w:val="en-GB"/>
              </w:rPr>
              <w:tab/>
              <w:t>introduction of radionuclides</w:t>
            </w:r>
          </w:p>
          <w:p w14:paraId="00D0BD01" w14:textId="77777777" w:rsidR="00827E7B" w:rsidRPr="004E0F2B" w:rsidRDefault="00827E7B" w:rsidP="00827E7B">
            <w:pPr>
              <w:spacing w:before="60" w:after="60" w:line="240" w:lineRule="auto"/>
              <w:rPr>
                <w:rFonts w:ascii="Arial" w:hAnsi="Arial" w:cs="Arial"/>
                <w:sz w:val="20"/>
                <w:szCs w:val="20"/>
                <w:lang w:val="en-GB"/>
              </w:rPr>
            </w:pPr>
            <w:r w:rsidRPr="004E0F2B">
              <w:rPr>
                <w:rFonts w:ascii="Arial" w:hAnsi="Arial" w:cs="Arial"/>
                <w:sz w:val="20"/>
                <w:szCs w:val="20"/>
                <w:lang w:val="en-GB"/>
              </w:rPr>
              <w:t>Systematic and/or intentional release of substances</w:t>
            </w:r>
          </w:p>
          <w:p w14:paraId="3BFDB625" w14:textId="77777777" w:rsidR="00827E7B" w:rsidRPr="004E0F2B" w:rsidRDefault="00827E7B" w:rsidP="00827E7B">
            <w:pPr>
              <w:spacing w:before="60" w:after="60" w:line="240" w:lineRule="auto"/>
              <w:rPr>
                <w:rFonts w:ascii="Arial" w:hAnsi="Arial" w:cs="Arial"/>
                <w:sz w:val="20"/>
                <w:szCs w:val="20"/>
                <w:lang w:val="en-GB"/>
              </w:rPr>
            </w:pPr>
          </w:p>
          <w:p w14:paraId="62EF8BE7" w14:textId="77777777" w:rsidR="00827E7B" w:rsidRPr="004E0F2B" w:rsidRDefault="00827E7B" w:rsidP="00827E7B">
            <w:pPr>
              <w:spacing w:before="60" w:after="60" w:line="240" w:lineRule="auto"/>
              <w:rPr>
                <w:rFonts w:ascii="Arial" w:hAnsi="Arial" w:cs="Arial"/>
                <w:b/>
                <w:sz w:val="20"/>
                <w:szCs w:val="20"/>
                <w:lang w:val="en-GB"/>
              </w:rPr>
            </w:pPr>
            <w:r w:rsidRPr="004E0F2B">
              <w:rPr>
                <w:rFonts w:ascii="Arial" w:hAnsi="Arial" w:cs="Arial"/>
                <w:b/>
                <w:sz w:val="20"/>
                <w:szCs w:val="20"/>
                <w:lang w:val="en-GB"/>
              </w:rPr>
              <w:t xml:space="preserve">Biological disturbances </w:t>
            </w:r>
          </w:p>
          <w:p w14:paraId="1AD71422" w14:textId="77777777" w:rsidR="00827E7B" w:rsidRPr="004E0F2B" w:rsidRDefault="00827E7B" w:rsidP="00827E7B">
            <w:pPr>
              <w:spacing w:before="60" w:after="60" w:line="240" w:lineRule="auto"/>
              <w:rPr>
                <w:rFonts w:ascii="Arial" w:hAnsi="Arial" w:cs="Arial"/>
                <w:sz w:val="20"/>
                <w:szCs w:val="20"/>
                <w:lang w:val="en-GB"/>
              </w:rPr>
            </w:pPr>
            <w:r w:rsidRPr="004E0F2B">
              <w:rPr>
                <w:rFonts w:ascii="Arial" w:hAnsi="Arial" w:cs="Arial"/>
                <w:sz w:val="20"/>
                <w:szCs w:val="20"/>
                <w:lang w:val="en-GB"/>
              </w:rPr>
              <w:t>— selective extraction of species, including incidental non-target catches (e.g. by commercial and recreational fishing)</w:t>
            </w:r>
          </w:p>
          <w:p w14:paraId="482C1AEB" w14:textId="77777777" w:rsidR="00827E7B" w:rsidRPr="004E0F2B" w:rsidRDefault="00827E7B" w:rsidP="00827E7B">
            <w:pPr>
              <w:spacing w:before="60" w:after="60" w:line="240" w:lineRule="auto"/>
              <w:rPr>
                <w:rFonts w:ascii="Arial" w:hAnsi="Arial" w:cs="Arial"/>
                <w:sz w:val="20"/>
                <w:szCs w:val="20"/>
                <w:lang w:val="en-GB"/>
              </w:rPr>
            </w:pPr>
            <w:r w:rsidRPr="004E0F2B">
              <w:rPr>
                <w:rFonts w:ascii="Arial" w:hAnsi="Arial" w:cs="Arial"/>
                <w:sz w:val="20"/>
                <w:szCs w:val="20"/>
                <w:lang w:val="en-GB"/>
              </w:rPr>
              <w:t>Physical loss</w:t>
            </w:r>
          </w:p>
          <w:p w14:paraId="3C458DE9" w14:textId="5F11768C" w:rsidR="00827E7B" w:rsidRPr="004E0F2B" w:rsidRDefault="00827E7B" w:rsidP="00827E7B">
            <w:pPr>
              <w:spacing w:before="60" w:after="60" w:line="240" w:lineRule="auto"/>
              <w:rPr>
                <w:rFonts w:ascii="Arial" w:hAnsi="Arial" w:cs="Arial"/>
                <w:sz w:val="20"/>
                <w:szCs w:val="20"/>
                <w:lang w:val="en-GB"/>
              </w:rPr>
            </w:pPr>
            <w:r w:rsidRPr="004E0F2B">
              <w:rPr>
                <w:rFonts w:ascii="Arial" w:hAnsi="Arial" w:cs="Arial"/>
                <w:sz w:val="20"/>
                <w:szCs w:val="20"/>
                <w:lang w:val="en-GB"/>
              </w:rPr>
              <w:t>Physical damage</w:t>
            </w:r>
          </w:p>
          <w:p w14:paraId="6B489612" w14:textId="77777777" w:rsidR="00956298" w:rsidRPr="004E0F2B" w:rsidRDefault="00956298" w:rsidP="00956298">
            <w:pPr>
              <w:spacing w:before="60" w:after="60" w:line="240" w:lineRule="auto"/>
              <w:rPr>
                <w:rFonts w:ascii="Arial" w:hAnsi="Arial" w:cs="Arial"/>
                <w:i/>
                <w:sz w:val="20"/>
                <w:szCs w:val="20"/>
                <w:lang w:val="bg-BG"/>
              </w:rPr>
            </w:pPr>
          </w:p>
          <w:p w14:paraId="6B4325CF" w14:textId="77777777" w:rsidR="00956298" w:rsidRPr="004E0F2B" w:rsidRDefault="00956298" w:rsidP="00827E7B">
            <w:pPr>
              <w:spacing w:before="60" w:after="60" w:line="240" w:lineRule="auto"/>
              <w:rPr>
                <w:rFonts w:ascii="Arial" w:hAnsi="Arial" w:cs="Arial"/>
                <w:i/>
                <w:sz w:val="20"/>
                <w:szCs w:val="20"/>
                <w:lang w:val="bg-BG"/>
              </w:rPr>
            </w:pPr>
          </w:p>
        </w:tc>
      </w:tr>
      <w:tr w:rsidR="00AF66BF" w:rsidRPr="0023317E" w14:paraId="6DC8BA16" w14:textId="77777777" w:rsidTr="00827E7B">
        <w:trPr>
          <w:trHeight w:val="2671"/>
        </w:trPr>
        <w:tc>
          <w:tcPr>
            <w:tcW w:w="2376" w:type="dxa"/>
            <w:shd w:val="clear" w:color="auto" w:fill="auto"/>
          </w:tcPr>
          <w:p w14:paraId="66BBEC5B" w14:textId="77777777" w:rsidR="00AF66BF" w:rsidRPr="004E0F2B" w:rsidRDefault="00AF66BF" w:rsidP="00E41209">
            <w:pPr>
              <w:spacing w:before="60" w:after="60" w:line="240" w:lineRule="auto"/>
              <w:rPr>
                <w:rFonts w:ascii="Arial" w:hAnsi="Arial" w:cs="Arial"/>
                <w:b/>
                <w:sz w:val="20"/>
                <w:szCs w:val="20"/>
                <w:lang w:val="en-GB"/>
              </w:rPr>
            </w:pPr>
            <w:r w:rsidRPr="004E0F2B">
              <w:rPr>
                <w:rFonts w:ascii="Arial" w:hAnsi="Arial" w:cs="Arial"/>
                <w:b/>
                <w:sz w:val="20"/>
                <w:szCs w:val="20"/>
                <w:lang w:val="en-GB"/>
              </w:rPr>
              <w:t>Main drivers</w:t>
            </w:r>
          </w:p>
        </w:tc>
        <w:tc>
          <w:tcPr>
            <w:tcW w:w="7371" w:type="dxa"/>
            <w:gridSpan w:val="2"/>
            <w:shd w:val="clear" w:color="auto" w:fill="auto"/>
          </w:tcPr>
          <w:p w14:paraId="52673DC4" w14:textId="77777777" w:rsidR="00AF66BF" w:rsidRPr="004E0F2B" w:rsidRDefault="00AF66BF" w:rsidP="00956298">
            <w:pPr>
              <w:spacing w:after="60" w:line="240" w:lineRule="auto"/>
              <w:rPr>
                <w:rFonts w:ascii="Arial" w:hAnsi="Arial" w:cs="Arial"/>
                <w:sz w:val="20"/>
                <w:szCs w:val="20"/>
                <w:lang w:val="bg-BG"/>
              </w:rPr>
            </w:pPr>
            <w:r w:rsidRPr="004E0F2B">
              <w:rPr>
                <w:rFonts w:ascii="Arial" w:hAnsi="Arial" w:cs="Arial"/>
                <w:sz w:val="20"/>
                <w:szCs w:val="20"/>
                <w:lang w:val="en-GB"/>
              </w:rPr>
              <w:t>The sectors/activities targeted by the measure</w:t>
            </w:r>
          </w:p>
          <w:p w14:paraId="7A0F9736" w14:textId="77777777" w:rsidR="004172B7" w:rsidRPr="004E0F2B" w:rsidRDefault="00956298" w:rsidP="00956298">
            <w:pPr>
              <w:pStyle w:val="Plattetekst"/>
              <w:spacing w:after="0" w:line="240" w:lineRule="auto"/>
              <w:rPr>
                <w:rFonts w:ascii="Arial" w:hAnsi="Arial" w:cs="Arial"/>
                <w:sz w:val="20"/>
                <w:szCs w:val="20"/>
                <w:lang w:val="en-GB"/>
              </w:rPr>
            </w:pPr>
            <w:r w:rsidRPr="004E0F2B">
              <w:rPr>
                <w:rFonts w:ascii="Arial" w:hAnsi="Arial" w:cs="Arial"/>
                <w:sz w:val="20"/>
                <w:szCs w:val="20"/>
                <w:lang w:val="en-GB"/>
              </w:rPr>
              <w:t xml:space="preserve">- </w:t>
            </w:r>
            <w:r w:rsidR="00827E7B" w:rsidRPr="004E0F2B">
              <w:rPr>
                <w:rFonts w:ascii="Arial" w:hAnsi="Arial" w:cs="Arial"/>
                <w:sz w:val="20"/>
                <w:szCs w:val="20"/>
                <w:lang w:val="en-GB"/>
              </w:rPr>
              <w:t>Energy production/marine hydrocarbon( oil and gas) extraction</w:t>
            </w:r>
          </w:p>
          <w:p w14:paraId="03C7F0E3" w14:textId="12745102" w:rsidR="004172B7" w:rsidRPr="004E0F2B" w:rsidRDefault="004172B7" w:rsidP="00956298">
            <w:pPr>
              <w:pStyle w:val="Plattetekst"/>
              <w:spacing w:after="0" w:line="240" w:lineRule="auto"/>
              <w:rPr>
                <w:rFonts w:ascii="Arial" w:hAnsi="Arial" w:cs="Arial"/>
                <w:sz w:val="20"/>
                <w:szCs w:val="20"/>
                <w:lang w:val="en-GB"/>
              </w:rPr>
            </w:pPr>
            <w:r w:rsidRPr="004E0F2B">
              <w:rPr>
                <w:rFonts w:ascii="Arial" w:hAnsi="Arial" w:cs="Arial"/>
                <w:sz w:val="20"/>
                <w:szCs w:val="20"/>
                <w:lang w:val="en-GB"/>
              </w:rPr>
              <w:t>- Waste disposal</w:t>
            </w:r>
          </w:p>
          <w:p w14:paraId="5DB978D2" w14:textId="0CD7E34F" w:rsidR="00956298" w:rsidRPr="004E0F2B" w:rsidRDefault="00827E7B" w:rsidP="00956298">
            <w:pPr>
              <w:pStyle w:val="Plattetekst"/>
              <w:spacing w:after="0" w:line="240" w:lineRule="auto"/>
              <w:rPr>
                <w:rFonts w:ascii="Arial" w:hAnsi="Arial" w:cs="Arial"/>
                <w:sz w:val="20"/>
                <w:szCs w:val="20"/>
                <w:lang w:val="en-GB"/>
              </w:rPr>
            </w:pPr>
            <w:r w:rsidRPr="004E0F2B">
              <w:rPr>
                <w:rFonts w:ascii="Arial" w:hAnsi="Arial" w:cs="Arial"/>
                <w:sz w:val="20"/>
                <w:szCs w:val="20"/>
                <w:lang w:val="en-GB"/>
              </w:rPr>
              <w:t xml:space="preserve">- </w:t>
            </w:r>
            <w:r w:rsidR="00956298" w:rsidRPr="004E0F2B">
              <w:rPr>
                <w:rFonts w:ascii="Arial" w:hAnsi="Arial" w:cs="Arial"/>
                <w:sz w:val="20"/>
                <w:szCs w:val="20"/>
                <w:lang w:val="en-GB"/>
              </w:rPr>
              <w:t>Recreational activities;</w:t>
            </w:r>
          </w:p>
          <w:p w14:paraId="2F5CEA5B" w14:textId="1DB9DEEA" w:rsidR="00956298" w:rsidRPr="004E0F2B" w:rsidRDefault="00956298" w:rsidP="00956298">
            <w:pPr>
              <w:pStyle w:val="Plattetekst"/>
              <w:spacing w:after="0" w:line="240" w:lineRule="auto"/>
              <w:rPr>
                <w:rFonts w:ascii="Arial" w:hAnsi="Arial" w:cs="Arial"/>
                <w:sz w:val="20"/>
                <w:szCs w:val="20"/>
                <w:lang w:val="en-GB"/>
              </w:rPr>
            </w:pPr>
            <w:r w:rsidRPr="004E0F2B">
              <w:rPr>
                <w:rFonts w:ascii="Arial" w:hAnsi="Arial" w:cs="Arial"/>
                <w:sz w:val="20"/>
                <w:szCs w:val="20"/>
                <w:lang w:val="en-GB"/>
              </w:rPr>
              <w:t>- Industry, urbanization (coastal and riverine from land – municipal waste water discharge</w:t>
            </w:r>
            <w:r w:rsidR="004172B7" w:rsidRPr="004E0F2B">
              <w:rPr>
                <w:rFonts w:ascii="Arial" w:hAnsi="Arial" w:cs="Arial"/>
                <w:sz w:val="20"/>
                <w:szCs w:val="20"/>
                <w:lang w:val="en-GB"/>
              </w:rPr>
              <w:t>, habitats loss/degradation</w:t>
            </w:r>
            <w:r w:rsidRPr="004E0F2B">
              <w:rPr>
                <w:rFonts w:ascii="Arial" w:hAnsi="Arial" w:cs="Arial"/>
                <w:sz w:val="20"/>
                <w:szCs w:val="20"/>
                <w:lang w:val="en-GB"/>
              </w:rPr>
              <w:t>);</w:t>
            </w:r>
          </w:p>
          <w:p w14:paraId="1A976546" w14:textId="77777777" w:rsidR="00956298" w:rsidRPr="004E0F2B" w:rsidRDefault="00956298" w:rsidP="00956298">
            <w:pPr>
              <w:pStyle w:val="Plattetekst"/>
              <w:spacing w:after="0" w:line="240" w:lineRule="auto"/>
              <w:rPr>
                <w:rFonts w:ascii="Arial" w:hAnsi="Arial" w:cs="Arial"/>
                <w:sz w:val="20"/>
                <w:szCs w:val="20"/>
                <w:lang w:val="en-GB"/>
              </w:rPr>
            </w:pPr>
            <w:r w:rsidRPr="004E0F2B">
              <w:rPr>
                <w:rFonts w:ascii="Arial" w:hAnsi="Arial" w:cs="Arial"/>
                <w:sz w:val="20"/>
                <w:szCs w:val="20"/>
                <w:lang w:val="en-GB"/>
              </w:rPr>
              <w:t>- Agriculture;</w:t>
            </w:r>
          </w:p>
          <w:p w14:paraId="3D14FB75" w14:textId="77777777" w:rsidR="00956298" w:rsidRPr="004E0F2B" w:rsidRDefault="00956298" w:rsidP="00956298">
            <w:pPr>
              <w:pStyle w:val="Plattetekst"/>
              <w:spacing w:after="0" w:line="240" w:lineRule="auto"/>
              <w:rPr>
                <w:rFonts w:ascii="Arial" w:hAnsi="Arial" w:cs="Arial"/>
                <w:sz w:val="20"/>
                <w:szCs w:val="20"/>
                <w:lang w:val="en-GB"/>
              </w:rPr>
            </w:pPr>
            <w:r w:rsidRPr="004E0F2B">
              <w:rPr>
                <w:rFonts w:ascii="Arial" w:hAnsi="Arial" w:cs="Arial"/>
                <w:sz w:val="20"/>
                <w:szCs w:val="20"/>
                <w:lang w:val="en-GB"/>
              </w:rPr>
              <w:t>- Activities associated with the extraction of living resources (fisheries, including fishing);</w:t>
            </w:r>
          </w:p>
          <w:p w14:paraId="68FF86DA" w14:textId="44C2E495" w:rsidR="00956298" w:rsidRPr="004E0F2B" w:rsidRDefault="00956298" w:rsidP="00956298">
            <w:pPr>
              <w:pStyle w:val="Plattetekst"/>
              <w:spacing w:after="0" w:line="240" w:lineRule="auto"/>
              <w:rPr>
                <w:rFonts w:ascii="Arial" w:hAnsi="Arial" w:cs="Arial"/>
                <w:sz w:val="20"/>
                <w:szCs w:val="20"/>
                <w:lang w:val="en-GB"/>
              </w:rPr>
            </w:pPr>
            <w:r w:rsidRPr="004E0F2B">
              <w:rPr>
                <w:rFonts w:ascii="Arial" w:hAnsi="Arial" w:cs="Arial"/>
                <w:sz w:val="20"/>
                <w:szCs w:val="20"/>
                <w:lang w:val="en-GB"/>
              </w:rPr>
              <w:t>- Activities related to the production of seafood (aquaculture);</w:t>
            </w:r>
          </w:p>
          <w:p w14:paraId="2DE540BF" w14:textId="15757F10" w:rsidR="00956298" w:rsidRPr="004E0F2B" w:rsidRDefault="004172B7" w:rsidP="00956298">
            <w:pPr>
              <w:pStyle w:val="Plattetekst"/>
              <w:spacing w:after="0" w:line="240" w:lineRule="auto"/>
              <w:rPr>
                <w:rFonts w:ascii="Arial" w:hAnsi="Arial" w:cs="Arial"/>
                <w:sz w:val="20"/>
                <w:szCs w:val="20"/>
                <w:lang w:val="bg-BG"/>
              </w:rPr>
            </w:pPr>
            <w:r w:rsidRPr="004E0F2B">
              <w:rPr>
                <w:rFonts w:ascii="Arial" w:hAnsi="Arial" w:cs="Arial"/>
                <w:sz w:val="20"/>
                <w:szCs w:val="20"/>
                <w:lang w:val="en-GB"/>
              </w:rPr>
              <w:t>- Sea-based mobile activities: t</w:t>
            </w:r>
            <w:r w:rsidR="00956298" w:rsidRPr="004E0F2B">
              <w:rPr>
                <w:rFonts w:ascii="Arial" w:hAnsi="Arial" w:cs="Arial"/>
                <w:sz w:val="20"/>
                <w:szCs w:val="20"/>
                <w:lang w:val="en-GB"/>
              </w:rPr>
              <w:t>ransport/shipping, including with - small boats)</w:t>
            </w:r>
            <w:r w:rsidRPr="004E0F2B">
              <w:rPr>
                <w:rFonts w:ascii="Arial" w:hAnsi="Arial" w:cs="Arial"/>
                <w:sz w:val="20"/>
                <w:szCs w:val="20"/>
                <w:lang w:val="en-GB"/>
              </w:rPr>
              <w:t>, port activities.</w:t>
            </w:r>
          </w:p>
          <w:p w14:paraId="7631C112" w14:textId="79125529" w:rsidR="00956298" w:rsidRPr="004E0F2B" w:rsidRDefault="00956298" w:rsidP="00827E7B">
            <w:pPr>
              <w:spacing w:after="0" w:line="240" w:lineRule="auto"/>
              <w:jc w:val="both"/>
              <w:rPr>
                <w:rFonts w:ascii="Arial" w:eastAsia="Calibri" w:hAnsi="Arial" w:cs="Arial"/>
                <w:color w:val="000000"/>
                <w:sz w:val="20"/>
                <w:szCs w:val="20"/>
                <w:lang w:val="bg-BG"/>
              </w:rPr>
            </w:pPr>
          </w:p>
        </w:tc>
      </w:tr>
      <w:tr w:rsidR="005D3832" w:rsidRPr="004E0F2B" w14:paraId="3F145262" w14:textId="77777777" w:rsidTr="00D86889">
        <w:trPr>
          <w:trHeight w:val="550"/>
        </w:trPr>
        <w:tc>
          <w:tcPr>
            <w:tcW w:w="2376" w:type="dxa"/>
            <w:shd w:val="clear" w:color="auto" w:fill="auto"/>
          </w:tcPr>
          <w:p w14:paraId="4897C338" w14:textId="77777777" w:rsidR="005D3832" w:rsidRPr="004E0F2B" w:rsidRDefault="005D3832" w:rsidP="00E41209">
            <w:pPr>
              <w:spacing w:before="60" w:after="60" w:line="240" w:lineRule="auto"/>
              <w:rPr>
                <w:rFonts w:ascii="Arial" w:hAnsi="Arial" w:cs="Arial"/>
                <w:b/>
                <w:sz w:val="20"/>
                <w:szCs w:val="20"/>
                <w:lang w:val="en-GB"/>
              </w:rPr>
            </w:pPr>
            <w:r w:rsidRPr="004E0F2B">
              <w:rPr>
                <w:rFonts w:ascii="Arial" w:hAnsi="Arial" w:cs="Arial"/>
                <w:b/>
                <w:sz w:val="20"/>
                <w:szCs w:val="20"/>
                <w:lang w:val="en-GB"/>
              </w:rPr>
              <w:lastRenderedPageBreak/>
              <w:t>Characteristics</w:t>
            </w:r>
          </w:p>
        </w:tc>
        <w:tc>
          <w:tcPr>
            <w:tcW w:w="7371" w:type="dxa"/>
            <w:gridSpan w:val="2"/>
            <w:shd w:val="clear" w:color="auto" w:fill="auto"/>
          </w:tcPr>
          <w:p w14:paraId="2CE74379" w14:textId="388B6084" w:rsidR="00AE6ACD" w:rsidRPr="004E0F2B" w:rsidRDefault="00AE6ACD" w:rsidP="00D86889">
            <w:pPr>
              <w:pStyle w:val="Lijstalinea"/>
              <w:numPr>
                <w:ilvl w:val="0"/>
                <w:numId w:val="9"/>
              </w:numPr>
              <w:spacing w:before="60" w:after="60" w:line="240" w:lineRule="auto"/>
              <w:rPr>
                <w:rFonts w:ascii="Arial" w:hAnsi="Arial" w:cs="Arial"/>
                <w:i/>
                <w:sz w:val="20"/>
                <w:szCs w:val="20"/>
                <w:lang w:val="en-GB"/>
              </w:rPr>
            </w:pPr>
            <w:r w:rsidRPr="004E0F2B">
              <w:rPr>
                <w:rFonts w:ascii="Arial" w:hAnsi="Arial" w:cs="Arial"/>
                <w:sz w:val="20"/>
                <w:szCs w:val="20"/>
                <w:lang w:val="en-GB"/>
              </w:rPr>
              <w:t>Marine and coastal birds</w:t>
            </w:r>
          </w:p>
        </w:tc>
      </w:tr>
      <w:tr w:rsidR="005D3832" w:rsidRPr="004E0F2B" w14:paraId="6E43F067" w14:textId="77777777" w:rsidTr="00AF66BF">
        <w:tc>
          <w:tcPr>
            <w:tcW w:w="2376" w:type="dxa"/>
            <w:shd w:val="clear" w:color="auto" w:fill="auto"/>
          </w:tcPr>
          <w:p w14:paraId="09A95E7F" w14:textId="77777777" w:rsidR="005D3832" w:rsidRPr="004E0F2B" w:rsidRDefault="00AF66BF" w:rsidP="00AF66BF">
            <w:pPr>
              <w:spacing w:before="60" w:after="60" w:line="240" w:lineRule="auto"/>
              <w:rPr>
                <w:rFonts w:ascii="Arial" w:hAnsi="Arial" w:cs="Arial"/>
                <w:b/>
                <w:sz w:val="20"/>
                <w:szCs w:val="20"/>
                <w:lang w:val="en-GB"/>
              </w:rPr>
            </w:pPr>
            <w:r w:rsidRPr="004E0F2B">
              <w:rPr>
                <w:rFonts w:ascii="Arial" w:hAnsi="Arial" w:cs="Arial"/>
                <w:b/>
                <w:sz w:val="20"/>
                <w:szCs w:val="20"/>
                <w:lang w:val="en-GB"/>
              </w:rPr>
              <w:t>Link to other directive/legislation/policy</w:t>
            </w:r>
          </w:p>
        </w:tc>
        <w:tc>
          <w:tcPr>
            <w:tcW w:w="7371" w:type="dxa"/>
            <w:gridSpan w:val="2"/>
            <w:shd w:val="clear" w:color="auto" w:fill="auto"/>
          </w:tcPr>
          <w:p w14:paraId="024F92DC" w14:textId="77777777" w:rsidR="00D86889" w:rsidRPr="004E0F2B" w:rsidRDefault="00D86889" w:rsidP="00D86889">
            <w:pPr>
              <w:spacing w:before="60" w:after="60" w:line="240" w:lineRule="auto"/>
              <w:rPr>
                <w:rFonts w:ascii="Arial" w:hAnsi="Arial" w:cs="Arial"/>
                <w:sz w:val="20"/>
                <w:szCs w:val="20"/>
                <w:lang w:val="en-GB"/>
              </w:rPr>
            </w:pPr>
            <w:r w:rsidRPr="004E0F2B">
              <w:rPr>
                <w:rFonts w:ascii="Arial" w:hAnsi="Arial" w:cs="Arial"/>
                <w:sz w:val="20"/>
                <w:szCs w:val="20"/>
                <w:lang w:val="en-GB"/>
              </w:rPr>
              <w:t>Birds Directive</w:t>
            </w:r>
          </w:p>
          <w:p w14:paraId="419AE4AF" w14:textId="41C1BEFD" w:rsidR="005D3832" w:rsidRPr="004E0F2B" w:rsidRDefault="00D86889" w:rsidP="00D86889">
            <w:pPr>
              <w:pStyle w:val="Lijstalinea"/>
              <w:spacing w:before="60" w:after="60" w:line="240" w:lineRule="auto"/>
              <w:ind w:left="0"/>
              <w:rPr>
                <w:rFonts w:ascii="Arial" w:hAnsi="Arial" w:cs="Arial"/>
                <w:sz w:val="20"/>
                <w:szCs w:val="20"/>
                <w:lang w:val="en-GB"/>
              </w:rPr>
            </w:pPr>
            <w:r w:rsidRPr="004E0F2B">
              <w:rPr>
                <w:rFonts w:ascii="Arial" w:hAnsi="Arial" w:cs="Arial"/>
                <w:sz w:val="20"/>
                <w:szCs w:val="20"/>
                <w:lang w:val="en-GB"/>
              </w:rPr>
              <w:t>Habitats Directive</w:t>
            </w:r>
          </w:p>
        </w:tc>
      </w:tr>
      <w:tr w:rsidR="005D3832" w:rsidRPr="004E0F2B" w14:paraId="4A74E8BE" w14:textId="77777777" w:rsidTr="00AF66BF">
        <w:tc>
          <w:tcPr>
            <w:tcW w:w="2376" w:type="dxa"/>
            <w:tcBorders>
              <w:top w:val="single" w:sz="4" w:space="0" w:color="auto"/>
              <w:left w:val="single" w:sz="4" w:space="0" w:color="auto"/>
              <w:bottom w:val="single" w:sz="4" w:space="0" w:color="auto"/>
              <w:right w:val="single" w:sz="4" w:space="0" w:color="auto"/>
            </w:tcBorders>
            <w:shd w:val="clear" w:color="auto" w:fill="auto"/>
          </w:tcPr>
          <w:p w14:paraId="3F6A8FA9" w14:textId="77777777" w:rsidR="005D3832" w:rsidRPr="004E0F2B" w:rsidRDefault="005D3832" w:rsidP="00E41209">
            <w:pPr>
              <w:spacing w:before="60" w:after="60" w:line="240" w:lineRule="auto"/>
              <w:rPr>
                <w:rFonts w:ascii="Arial" w:hAnsi="Arial" w:cs="Arial"/>
                <w:b/>
                <w:sz w:val="20"/>
                <w:szCs w:val="20"/>
                <w:lang w:val="en-GB"/>
              </w:rPr>
            </w:pPr>
            <w:r w:rsidRPr="004E0F2B">
              <w:rPr>
                <w:rFonts w:ascii="Arial" w:hAnsi="Arial" w:cs="Arial"/>
                <w:b/>
                <w:sz w:val="20"/>
                <w:szCs w:val="20"/>
                <w:lang w:val="en-GB"/>
              </w:rPr>
              <w:t>Necessity for transnational regulation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76162420" w14:textId="7358167B" w:rsidR="005D3832" w:rsidRPr="004E0F2B" w:rsidRDefault="00D86889" w:rsidP="00E41209">
            <w:pPr>
              <w:pStyle w:val="Lijstalinea"/>
              <w:spacing w:after="0" w:line="240" w:lineRule="auto"/>
              <w:ind w:left="0"/>
              <w:rPr>
                <w:rFonts w:ascii="Arial" w:hAnsi="Arial" w:cs="Arial"/>
                <w:sz w:val="20"/>
                <w:szCs w:val="20"/>
                <w:lang w:val="en-GB"/>
              </w:rPr>
            </w:pPr>
            <w:r w:rsidRPr="004E0F2B">
              <w:rPr>
                <w:rFonts w:ascii="Arial" w:hAnsi="Arial" w:cs="Arial"/>
                <w:sz w:val="20"/>
                <w:szCs w:val="20"/>
                <w:lang w:val="en-GB"/>
              </w:rPr>
              <w:t>No</w:t>
            </w:r>
          </w:p>
        </w:tc>
      </w:tr>
      <w:tr w:rsidR="005D3832" w:rsidRPr="004E0F2B" w14:paraId="374ADAD3" w14:textId="77777777" w:rsidTr="00583D8D">
        <w:tc>
          <w:tcPr>
            <w:tcW w:w="2376" w:type="dxa"/>
            <w:tcBorders>
              <w:top w:val="single" w:sz="4" w:space="0" w:color="auto"/>
              <w:left w:val="single" w:sz="4" w:space="0" w:color="auto"/>
              <w:bottom w:val="single" w:sz="4" w:space="0" w:color="auto"/>
              <w:right w:val="single" w:sz="4" w:space="0" w:color="auto"/>
            </w:tcBorders>
            <w:shd w:val="clear" w:color="auto" w:fill="auto"/>
          </w:tcPr>
          <w:p w14:paraId="0211AA74" w14:textId="3C8927AE" w:rsidR="005D3832" w:rsidRPr="004E0F2B" w:rsidRDefault="005D3832" w:rsidP="00A353AB">
            <w:pPr>
              <w:spacing w:before="60" w:after="60" w:line="240" w:lineRule="auto"/>
              <w:rPr>
                <w:rFonts w:ascii="Arial" w:hAnsi="Arial" w:cs="Arial"/>
                <w:b/>
                <w:sz w:val="20"/>
                <w:szCs w:val="20"/>
                <w:lang w:val="en-GB"/>
              </w:rPr>
            </w:pPr>
            <w:r w:rsidRPr="004E0F2B">
              <w:rPr>
                <w:rFonts w:ascii="Arial" w:hAnsi="Arial" w:cs="Arial"/>
                <w:b/>
                <w:sz w:val="20"/>
                <w:szCs w:val="20"/>
                <w:lang w:val="en-GB"/>
              </w:rPr>
              <w:t>Instrument for implementation</w:t>
            </w:r>
            <w:r w:rsidR="00583D8D" w:rsidRPr="004E0F2B">
              <w:rPr>
                <w:rFonts w:ascii="Arial" w:hAnsi="Arial" w:cs="Arial"/>
                <w:b/>
                <w:sz w:val="20"/>
                <w:szCs w:val="20"/>
                <w:lang w:val="en-GB"/>
              </w:rPr>
              <w:t>/</w:t>
            </w:r>
            <w:r w:rsidR="00583D8D" w:rsidRPr="004E0F2B">
              <w:rPr>
                <w:rFonts w:ascii="Arial" w:hAnsi="Arial" w:cs="Arial"/>
                <w:sz w:val="20"/>
                <w:szCs w:val="20"/>
                <w:lang w:val="en-GB"/>
              </w:rPr>
              <w:t xml:space="preserve"> </w:t>
            </w:r>
            <w:r w:rsidR="00583D8D" w:rsidRPr="004E0F2B">
              <w:rPr>
                <w:rFonts w:ascii="Arial" w:hAnsi="Arial" w:cs="Arial"/>
                <w:b/>
                <w:sz w:val="20"/>
                <w:szCs w:val="20"/>
                <w:lang w:val="en-GB"/>
              </w:rPr>
              <w:t xml:space="preserve">Mode of </w:t>
            </w:r>
            <w:r w:rsidR="00A353AB">
              <w:rPr>
                <w:rFonts w:ascii="Arial" w:hAnsi="Arial" w:cs="Arial"/>
                <w:b/>
                <w:sz w:val="20"/>
                <w:szCs w:val="20"/>
                <w:lang w:val="en-GB"/>
              </w:rPr>
              <w:t>implementation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6A1556A7" w14:textId="77777777" w:rsidR="005D3832" w:rsidRPr="00A353AB" w:rsidRDefault="005D3832" w:rsidP="000F1AFE">
            <w:pPr>
              <w:pStyle w:val="Lijstalinea"/>
              <w:numPr>
                <w:ilvl w:val="0"/>
                <w:numId w:val="4"/>
              </w:numPr>
              <w:spacing w:after="120"/>
              <w:rPr>
                <w:rFonts w:ascii="Arial" w:hAnsi="Arial" w:cs="Arial"/>
                <w:sz w:val="20"/>
                <w:szCs w:val="20"/>
                <w:lang w:val="en-GB"/>
              </w:rPr>
            </w:pPr>
            <w:r w:rsidRPr="00A353AB">
              <w:rPr>
                <w:rFonts w:ascii="Arial" w:hAnsi="Arial" w:cs="Arial"/>
                <w:sz w:val="20"/>
                <w:szCs w:val="20"/>
                <w:lang w:val="en-GB"/>
              </w:rPr>
              <w:t>Legal</w:t>
            </w:r>
          </w:p>
          <w:p w14:paraId="4FAA2B18" w14:textId="77777777" w:rsidR="005D3832" w:rsidRPr="00A353AB" w:rsidRDefault="005D3832" w:rsidP="000F1AFE">
            <w:pPr>
              <w:pStyle w:val="Lijstalinea"/>
              <w:numPr>
                <w:ilvl w:val="0"/>
                <w:numId w:val="4"/>
              </w:numPr>
              <w:spacing w:after="120"/>
              <w:rPr>
                <w:rFonts w:ascii="Arial" w:hAnsi="Arial" w:cs="Arial"/>
                <w:sz w:val="20"/>
                <w:szCs w:val="20"/>
                <w:lang w:val="en-GB"/>
              </w:rPr>
            </w:pPr>
            <w:r w:rsidRPr="00A353AB">
              <w:rPr>
                <w:rFonts w:ascii="Arial" w:hAnsi="Arial" w:cs="Arial"/>
                <w:sz w:val="20"/>
                <w:szCs w:val="20"/>
                <w:lang w:val="en-GB"/>
              </w:rPr>
              <w:t>Technical</w:t>
            </w:r>
          </w:p>
          <w:p w14:paraId="33900634" w14:textId="74C411E7" w:rsidR="005D3832" w:rsidRPr="004E0F2B" w:rsidRDefault="00A353AB" w:rsidP="00D86889">
            <w:pPr>
              <w:pStyle w:val="Lijstalinea"/>
              <w:numPr>
                <w:ilvl w:val="0"/>
                <w:numId w:val="4"/>
              </w:numPr>
              <w:spacing w:after="120"/>
              <w:rPr>
                <w:rFonts w:ascii="Arial" w:hAnsi="Arial" w:cs="Arial"/>
                <w:i/>
                <w:sz w:val="20"/>
                <w:szCs w:val="20"/>
                <w:lang w:val="en-GB"/>
              </w:rPr>
            </w:pPr>
            <w:r w:rsidRPr="00A353AB">
              <w:rPr>
                <w:rFonts w:ascii="Arial" w:hAnsi="Arial" w:cs="Arial"/>
                <w:sz w:val="20"/>
                <w:szCs w:val="20"/>
                <w:lang w:val="en-GB"/>
              </w:rPr>
              <w:t>Policy</w:t>
            </w:r>
          </w:p>
        </w:tc>
      </w:tr>
      <w:tr w:rsidR="005D3832" w:rsidRPr="004E0F2B" w14:paraId="41A09A06" w14:textId="77777777" w:rsidTr="00C91942">
        <w:trPr>
          <w:trHeight w:val="879"/>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4DB993A3" w14:textId="29B21D0C" w:rsidR="005D3832" w:rsidRPr="004E0F2B" w:rsidRDefault="009D45F8" w:rsidP="00E41209">
            <w:pPr>
              <w:spacing w:before="60" w:after="60" w:line="240" w:lineRule="auto"/>
              <w:rPr>
                <w:rFonts w:ascii="Arial" w:hAnsi="Arial" w:cs="Arial"/>
                <w:b/>
                <w:sz w:val="20"/>
                <w:szCs w:val="20"/>
                <w:lang w:val="en-GB"/>
              </w:rPr>
            </w:pPr>
            <w:r w:rsidRPr="004E0F2B">
              <w:rPr>
                <w:rFonts w:ascii="Arial" w:hAnsi="Arial" w:cs="Arial"/>
                <w:b/>
                <w:sz w:val="20"/>
                <w:szCs w:val="20"/>
                <w:lang w:val="en-GB"/>
              </w:rPr>
              <w:t>Spatial reference</w:t>
            </w:r>
            <w:r w:rsidR="00A353AB">
              <w:rPr>
                <w:rFonts w:ascii="Arial" w:hAnsi="Arial" w:cs="Arial"/>
                <w:b/>
                <w:sz w:val="20"/>
                <w:szCs w:val="20"/>
                <w:lang w:val="en-GB"/>
              </w:rPr>
              <w:t>/implementation zones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37984727" w14:textId="19C25094" w:rsidR="00C91942" w:rsidRPr="004E0F2B" w:rsidRDefault="00A353AB" w:rsidP="00583D8D">
            <w:pPr>
              <w:pStyle w:val="Lijstalinea"/>
              <w:tabs>
                <w:tab w:val="left" w:pos="175"/>
              </w:tabs>
              <w:spacing w:after="0" w:line="240" w:lineRule="auto"/>
              <w:ind w:left="0"/>
              <w:rPr>
                <w:rFonts w:ascii="Arial" w:hAnsi="Arial" w:cs="Arial"/>
                <w:sz w:val="20"/>
                <w:szCs w:val="20"/>
                <w:lang w:val="bg-BG"/>
              </w:rPr>
            </w:pPr>
            <w:r>
              <w:rPr>
                <w:rFonts w:ascii="Arial" w:hAnsi="Arial" w:cs="Arial"/>
                <w:sz w:val="20"/>
                <w:szCs w:val="20"/>
                <w:lang w:val="en-US"/>
              </w:rPr>
              <w:t>Territorial waters/EEZ</w:t>
            </w:r>
          </w:p>
          <w:p w14:paraId="67EE7237" w14:textId="4726F7F1" w:rsidR="00C91942" w:rsidRPr="004E0F2B" w:rsidRDefault="00C91942" w:rsidP="00583D8D">
            <w:pPr>
              <w:pStyle w:val="Lijstalinea"/>
              <w:tabs>
                <w:tab w:val="left" w:pos="175"/>
              </w:tabs>
              <w:spacing w:after="0" w:line="240" w:lineRule="auto"/>
              <w:ind w:left="0"/>
              <w:rPr>
                <w:rFonts w:ascii="Arial" w:hAnsi="Arial" w:cs="Arial"/>
                <w:i/>
                <w:sz w:val="20"/>
                <w:szCs w:val="20"/>
                <w:lang w:val="bg-BG"/>
              </w:rPr>
            </w:pPr>
          </w:p>
        </w:tc>
      </w:tr>
      <w:tr w:rsidR="005D3832" w:rsidRPr="0023317E" w14:paraId="051B0633" w14:textId="77777777" w:rsidTr="009D45F8">
        <w:tc>
          <w:tcPr>
            <w:tcW w:w="2376" w:type="dxa"/>
            <w:shd w:val="clear" w:color="auto" w:fill="auto"/>
          </w:tcPr>
          <w:p w14:paraId="49419D30" w14:textId="77777777" w:rsidR="005D3832" w:rsidRPr="004E0F2B" w:rsidRDefault="009D45F8" w:rsidP="009D45F8">
            <w:pPr>
              <w:spacing w:before="60" w:after="60" w:line="240" w:lineRule="auto"/>
              <w:rPr>
                <w:rFonts w:ascii="Arial" w:hAnsi="Arial" w:cs="Arial"/>
                <w:b/>
                <w:sz w:val="20"/>
                <w:szCs w:val="20"/>
                <w:lang w:val="en-GB"/>
              </w:rPr>
            </w:pPr>
            <w:r w:rsidRPr="004E0F2B">
              <w:rPr>
                <w:rFonts w:ascii="Arial" w:hAnsi="Arial" w:cs="Arial"/>
                <w:b/>
                <w:sz w:val="20"/>
                <w:szCs w:val="20"/>
                <w:lang w:val="en-GB"/>
              </w:rPr>
              <w:t xml:space="preserve">Contribution of the measure to achieving the target </w:t>
            </w:r>
          </w:p>
        </w:tc>
        <w:tc>
          <w:tcPr>
            <w:tcW w:w="7371" w:type="dxa"/>
            <w:gridSpan w:val="2"/>
            <w:shd w:val="clear" w:color="auto" w:fill="auto"/>
          </w:tcPr>
          <w:p w14:paraId="75381F70" w14:textId="634F1574" w:rsidR="005D3832" w:rsidRPr="004E0F2B" w:rsidRDefault="006541E8" w:rsidP="009D45F8">
            <w:pPr>
              <w:pStyle w:val="Lijstalinea"/>
              <w:tabs>
                <w:tab w:val="left" w:pos="175"/>
              </w:tabs>
              <w:spacing w:after="0" w:line="240" w:lineRule="auto"/>
              <w:ind w:left="0"/>
              <w:rPr>
                <w:rFonts w:ascii="Arial" w:hAnsi="Arial" w:cs="Arial"/>
                <w:sz w:val="20"/>
                <w:szCs w:val="20"/>
                <w:lang w:val="en-GB"/>
              </w:rPr>
            </w:pPr>
            <w:r>
              <w:rPr>
                <w:rFonts w:ascii="Arial" w:hAnsi="Arial" w:cs="Arial"/>
                <w:sz w:val="20"/>
                <w:szCs w:val="20"/>
                <w:lang w:val="en-GB"/>
              </w:rPr>
              <w:t>T</w:t>
            </w:r>
            <w:r w:rsidR="00D86889" w:rsidRPr="004E0F2B">
              <w:rPr>
                <w:rFonts w:ascii="Arial" w:hAnsi="Arial" w:cs="Arial"/>
                <w:sz w:val="20"/>
                <w:szCs w:val="20"/>
                <w:lang w:val="en-GB"/>
              </w:rPr>
              <w:t xml:space="preserve">he measure will have a  </w:t>
            </w:r>
            <w:r>
              <w:rPr>
                <w:rFonts w:ascii="Arial" w:hAnsi="Arial" w:cs="Arial"/>
                <w:sz w:val="20"/>
                <w:szCs w:val="20"/>
                <w:lang w:val="en-GB"/>
              </w:rPr>
              <w:t xml:space="preserve">high </w:t>
            </w:r>
            <w:r w:rsidR="00D86889" w:rsidRPr="004E0F2B">
              <w:rPr>
                <w:rFonts w:ascii="Arial" w:hAnsi="Arial" w:cs="Arial"/>
                <w:sz w:val="20"/>
                <w:szCs w:val="20"/>
                <w:lang w:val="en-GB"/>
              </w:rPr>
              <w:t>contribution for achieving the established state targets (by improving the knowledge, addressing to the most drivers/pressures whose impact on the progress towards GES/targets is significant)</w:t>
            </w:r>
          </w:p>
        </w:tc>
      </w:tr>
      <w:tr w:rsidR="005D3832" w:rsidRPr="0023317E" w14:paraId="018931B0" w14:textId="77777777" w:rsidTr="00583D8D">
        <w:tc>
          <w:tcPr>
            <w:tcW w:w="2376" w:type="dxa"/>
            <w:tcBorders>
              <w:top w:val="single" w:sz="4" w:space="0" w:color="auto"/>
              <w:left w:val="single" w:sz="4" w:space="0" w:color="auto"/>
              <w:bottom w:val="single" w:sz="4" w:space="0" w:color="auto"/>
              <w:right w:val="single" w:sz="4" w:space="0" w:color="auto"/>
            </w:tcBorders>
            <w:shd w:val="clear" w:color="auto" w:fill="auto"/>
          </w:tcPr>
          <w:p w14:paraId="78C98567" w14:textId="77777777" w:rsidR="005D3832" w:rsidRPr="004E0F2B" w:rsidRDefault="005D3832" w:rsidP="00E41209">
            <w:pPr>
              <w:spacing w:before="60" w:after="60" w:line="240" w:lineRule="auto"/>
              <w:rPr>
                <w:rFonts w:ascii="Arial" w:hAnsi="Arial" w:cs="Arial"/>
                <w:b/>
                <w:sz w:val="20"/>
                <w:szCs w:val="20"/>
                <w:lang w:val="en-GB"/>
              </w:rPr>
            </w:pPr>
            <w:r w:rsidRPr="004E0F2B">
              <w:rPr>
                <w:rFonts w:ascii="Arial" w:hAnsi="Arial" w:cs="Arial"/>
                <w:b/>
                <w:sz w:val="20"/>
                <w:szCs w:val="20"/>
                <w:lang w:val="en-GB"/>
              </w:rPr>
              <w:t>Transboundary impact</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660FA711" w14:textId="55E8CD0B" w:rsidR="005D3832" w:rsidRPr="004E0F2B" w:rsidRDefault="00D86889" w:rsidP="00E41209">
            <w:pPr>
              <w:rPr>
                <w:rFonts w:ascii="Arial" w:hAnsi="Arial" w:cs="Arial"/>
                <w:sz w:val="20"/>
                <w:szCs w:val="20"/>
                <w:lang w:val="en-GB"/>
              </w:rPr>
            </w:pPr>
            <w:r w:rsidRPr="004E0F2B">
              <w:rPr>
                <w:rFonts w:ascii="Arial" w:hAnsi="Arial" w:cs="Arial"/>
                <w:sz w:val="20"/>
                <w:szCs w:val="20"/>
                <w:lang w:val="en-GB"/>
              </w:rPr>
              <w:t>The implementation of the measure is not expected to have negative effects on the marine environment of neighbouring countries.</w:t>
            </w:r>
          </w:p>
        </w:tc>
      </w:tr>
      <w:tr w:rsidR="00096F73" w:rsidRPr="0023317E" w14:paraId="476A5496" w14:textId="77777777" w:rsidTr="00583D8D">
        <w:trPr>
          <w:trHeight w:val="440"/>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0743DFBE" w14:textId="77777777" w:rsidR="00096F73" w:rsidRPr="004E0F2B" w:rsidRDefault="00096F73" w:rsidP="00E41209">
            <w:pPr>
              <w:spacing w:before="60" w:after="60" w:line="240" w:lineRule="auto"/>
              <w:rPr>
                <w:rFonts w:ascii="Arial" w:hAnsi="Arial" w:cs="Arial"/>
                <w:sz w:val="20"/>
                <w:szCs w:val="20"/>
                <w:lang w:val="en-GB"/>
              </w:rPr>
            </w:pPr>
            <w:r w:rsidRPr="004E0F2B">
              <w:rPr>
                <w:rFonts w:ascii="Arial" w:hAnsi="Arial" w:cs="Arial"/>
                <w:sz w:val="20"/>
                <w:szCs w:val="20"/>
                <w:lang w:val="en-GB"/>
              </w:rPr>
              <w:t>Costs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0DC7C254" w14:textId="71400BE6" w:rsidR="003373B8" w:rsidRPr="004E0F2B" w:rsidRDefault="003373B8" w:rsidP="00971BA2">
            <w:pPr>
              <w:spacing w:after="0" w:line="240" w:lineRule="auto"/>
              <w:rPr>
                <w:rFonts w:ascii="Arial" w:hAnsi="Arial" w:cs="Arial"/>
                <w:sz w:val="20"/>
                <w:szCs w:val="20"/>
                <w:lang w:val="en-GB"/>
              </w:rPr>
            </w:pPr>
            <w:r w:rsidRPr="004E0F2B">
              <w:rPr>
                <w:rFonts w:ascii="Arial" w:hAnsi="Arial" w:cs="Arial"/>
                <w:sz w:val="20"/>
                <w:szCs w:val="20"/>
                <w:lang w:val="en-GB"/>
              </w:rPr>
              <w:t>First rough assessment (phase I): medium € 50.</w:t>
            </w:r>
            <w:r w:rsidRPr="004E0F2B">
              <w:rPr>
                <w:rFonts w:ascii="Arial" w:hAnsi="Arial" w:cs="Arial"/>
                <w:color w:val="000000"/>
                <w:sz w:val="20"/>
                <w:szCs w:val="20"/>
                <w:lang w:val="en-GB" w:eastAsia="fr-BE"/>
              </w:rPr>
              <w:t>000 – 1.000.000</w:t>
            </w:r>
          </w:p>
          <w:p w14:paraId="4376D91F" w14:textId="77777777" w:rsidR="003373B8" w:rsidRPr="004E0F2B" w:rsidRDefault="003373B8" w:rsidP="00971BA2">
            <w:pPr>
              <w:spacing w:after="0" w:line="240" w:lineRule="auto"/>
              <w:rPr>
                <w:rFonts w:ascii="Arial" w:hAnsi="Arial" w:cs="Arial"/>
                <w:sz w:val="20"/>
                <w:szCs w:val="20"/>
                <w:lang w:val="en-GB"/>
              </w:rPr>
            </w:pPr>
          </w:p>
          <w:p w14:paraId="04C42A30" w14:textId="77777777" w:rsidR="00971BA2" w:rsidRPr="004E0F2B" w:rsidRDefault="00971BA2" w:rsidP="00971BA2">
            <w:pPr>
              <w:spacing w:after="0" w:line="240" w:lineRule="auto"/>
              <w:rPr>
                <w:rFonts w:ascii="Arial" w:hAnsi="Arial" w:cs="Arial"/>
                <w:sz w:val="20"/>
                <w:szCs w:val="20"/>
                <w:lang w:val="bg-BG"/>
              </w:rPr>
            </w:pPr>
            <w:r w:rsidRPr="004E0F2B">
              <w:rPr>
                <w:rFonts w:ascii="Arial" w:hAnsi="Arial" w:cs="Arial"/>
                <w:sz w:val="20"/>
                <w:szCs w:val="20"/>
                <w:lang w:val="en-GB"/>
              </w:rPr>
              <w:t xml:space="preserve">Phase 1: </w:t>
            </w:r>
          </w:p>
          <w:p w14:paraId="749331DA" w14:textId="452FDB70" w:rsidR="00971BA2" w:rsidRPr="004E0F2B" w:rsidRDefault="00971BA2" w:rsidP="0061166F">
            <w:pPr>
              <w:pStyle w:val="Lijstalinea"/>
              <w:numPr>
                <w:ilvl w:val="0"/>
                <w:numId w:val="14"/>
              </w:numPr>
              <w:spacing w:after="0" w:line="240" w:lineRule="auto"/>
              <w:rPr>
                <w:rFonts w:ascii="Arial" w:hAnsi="Arial" w:cs="Arial"/>
                <w:sz w:val="20"/>
                <w:szCs w:val="20"/>
                <w:lang w:val="en-GB"/>
              </w:rPr>
            </w:pPr>
            <w:r w:rsidRPr="004E0F2B">
              <w:rPr>
                <w:rFonts w:ascii="Arial" w:hAnsi="Arial" w:cs="Arial"/>
                <w:sz w:val="20"/>
                <w:szCs w:val="20"/>
                <w:lang w:val="en-GB"/>
              </w:rPr>
              <w:t xml:space="preserve">Research </w:t>
            </w:r>
            <w:r w:rsidR="0061166F" w:rsidRPr="004E0F2B">
              <w:rPr>
                <w:rFonts w:ascii="Arial" w:hAnsi="Arial" w:cs="Arial"/>
                <w:sz w:val="20"/>
                <w:szCs w:val="20"/>
                <w:lang w:val="en-GB"/>
              </w:rPr>
              <w:t>project (2-year research programme): 100.000 €</w:t>
            </w:r>
          </w:p>
          <w:p w14:paraId="4DEC5DCC" w14:textId="641AA3E0" w:rsidR="00971BA2" w:rsidRPr="004E0F2B" w:rsidRDefault="00971BA2" w:rsidP="0061166F">
            <w:pPr>
              <w:pStyle w:val="Lijstalinea"/>
              <w:numPr>
                <w:ilvl w:val="0"/>
                <w:numId w:val="14"/>
              </w:numPr>
              <w:spacing w:after="0" w:line="240" w:lineRule="auto"/>
              <w:rPr>
                <w:rFonts w:ascii="Arial" w:hAnsi="Arial" w:cs="Arial"/>
                <w:sz w:val="20"/>
                <w:szCs w:val="20"/>
                <w:lang w:val="bg-BG"/>
              </w:rPr>
            </w:pPr>
            <w:r w:rsidRPr="004E0F2B">
              <w:rPr>
                <w:rFonts w:ascii="Arial" w:hAnsi="Arial" w:cs="Arial"/>
                <w:sz w:val="20"/>
                <w:szCs w:val="20"/>
                <w:lang w:val="bg-BG"/>
              </w:rPr>
              <w:t xml:space="preserve">Delineation of rest and feeding areas </w:t>
            </w:r>
            <w:r w:rsidRPr="004E0F2B">
              <w:rPr>
                <w:rFonts w:ascii="Arial" w:hAnsi="Arial" w:cs="Arial"/>
                <w:sz w:val="20"/>
                <w:szCs w:val="20"/>
                <w:lang w:val="en-US"/>
              </w:rPr>
              <w:t xml:space="preserve">with aim of establishment of measures </w:t>
            </w:r>
            <w:r w:rsidRPr="004E0F2B">
              <w:rPr>
                <w:rFonts w:ascii="Arial" w:hAnsi="Arial" w:cs="Arial"/>
                <w:sz w:val="20"/>
                <w:szCs w:val="20"/>
                <w:lang w:val="bg-BG"/>
              </w:rPr>
              <w:t xml:space="preserve">for </w:t>
            </w:r>
            <w:r w:rsidRPr="004E0F2B">
              <w:rPr>
                <w:rFonts w:ascii="Arial" w:hAnsi="Arial" w:cs="Arial"/>
                <w:sz w:val="20"/>
                <w:szCs w:val="20"/>
                <w:lang w:val="en-US"/>
              </w:rPr>
              <w:t>f</w:t>
            </w:r>
            <w:r w:rsidR="0061166F" w:rsidRPr="004E0F2B">
              <w:rPr>
                <w:rFonts w:ascii="Arial" w:hAnsi="Arial" w:cs="Arial"/>
                <w:sz w:val="20"/>
                <w:szCs w:val="20"/>
                <w:lang w:val="bg-BG"/>
              </w:rPr>
              <w:t>urther protection: 17.000 €</w:t>
            </w:r>
          </w:p>
          <w:p w14:paraId="0B1A0DC3" w14:textId="77777777" w:rsidR="00971BA2" w:rsidRPr="004E0F2B" w:rsidRDefault="00971BA2" w:rsidP="00971BA2">
            <w:pPr>
              <w:spacing w:after="0" w:line="240" w:lineRule="auto"/>
              <w:rPr>
                <w:rFonts w:ascii="Arial" w:hAnsi="Arial" w:cs="Arial"/>
                <w:sz w:val="20"/>
                <w:szCs w:val="20"/>
                <w:lang w:val="bg-BG"/>
              </w:rPr>
            </w:pPr>
          </w:p>
          <w:p w14:paraId="62F4C476" w14:textId="201CDE4F" w:rsidR="0061166F" w:rsidRPr="004E0F2B" w:rsidRDefault="0061166F" w:rsidP="0061166F">
            <w:pPr>
              <w:spacing w:after="0" w:line="240" w:lineRule="auto"/>
              <w:rPr>
                <w:rFonts w:ascii="Arial" w:hAnsi="Arial" w:cs="Arial"/>
                <w:sz w:val="20"/>
                <w:szCs w:val="20"/>
                <w:lang w:val="bg-BG"/>
              </w:rPr>
            </w:pPr>
            <w:r w:rsidRPr="004E0F2B">
              <w:rPr>
                <w:rFonts w:ascii="Arial" w:hAnsi="Arial" w:cs="Arial"/>
                <w:sz w:val="20"/>
                <w:szCs w:val="20"/>
                <w:lang w:val="bg-BG"/>
              </w:rPr>
              <w:t>Total one off costs within MSFD cycle (6 years):</w:t>
            </w:r>
            <w:r w:rsidRPr="004E0F2B">
              <w:rPr>
                <w:rFonts w:ascii="Arial" w:hAnsi="Arial" w:cs="Arial"/>
                <w:sz w:val="20"/>
                <w:szCs w:val="20"/>
                <w:lang w:val="bg-BG"/>
              </w:rPr>
              <w:tab/>
            </w:r>
            <w:r w:rsidRPr="004E0F2B">
              <w:rPr>
                <w:rFonts w:ascii="Arial" w:hAnsi="Arial" w:cs="Arial"/>
                <w:sz w:val="20"/>
                <w:szCs w:val="20"/>
                <w:lang w:val="en-US"/>
              </w:rPr>
              <w:t xml:space="preserve">preparation (research) minimum </w:t>
            </w:r>
            <w:r w:rsidRPr="004E0F2B">
              <w:rPr>
                <w:rFonts w:ascii="Arial" w:hAnsi="Arial" w:cs="Arial"/>
                <w:sz w:val="20"/>
                <w:szCs w:val="20"/>
                <w:lang w:val="bg-BG"/>
              </w:rPr>
              <w:t>11</w:t>
            </w:r>
            <w:r w:rsidRPr="004E0F2B">
              <w:rPr>
                <w:rFonts w:ascii="Arial" w:hAnsi="Arial" w:cs="Arial"/>
                <w:sz w:val="20"/>
                <w:szCs w:val="20"/>
                <w:lang w:val="en-US"/>
              </w:rPr>
              <w:t>7</w:t>
            </w:r>
            <w:r w:rsidRPr="004E0F2B">
              <w:rPr>
                <w:rFonts w:ascii="Arial" w:hAnsi="Arial" w:cs="Arial"/>
                <w:sz w:val="20"/>
                <w:szCs w:val="20"/>
                <w:lang w:val="bg-BG"/>
              </w:rPr>
              <w:t>.</w:t>
            </w:r>
            <w:r w:rsidRPr="004E0F2B">
              <w:rPr>
                <w:rFonts w:ascii="Arial" w:hAnsi="Arial" w:cs="Arial"/>
                <w:sz w:val="20"/>
                <w:szCs w:val="20"/>
                <w:lang w:val="en-US"/>
              </w:rPr>
              <w:t>0</w:t>
            </w:r>
            <w:r w:rsidRPr="004E0F2B">
              <w:rPr>
                <w:rFonts w:ascii="Arial" w:hAnsi="Arial" w:cs="Arial"/>
                <w:sz w:val="20"/>
                <w:szCs w:val="20"/>
                <w:lang w:val="bg-BG"/>
              </w:rPr>
              <w:t>00€</w:t>
            </w:r>
            <w:r w:rsidRPr="004E0F2B">
              <w:rPr>
                <w:rFonts w:ascii="Arial" w:hAnsi="Arial" w:cs="Arial"/>
                <w:sz w:val="20"/>
                <w:szCs w:val="20"/>
                <w:lang w:val="en-US"/>
              </w:rPr>
              <w:t xml:space="preserve"> </w:t>
            </w:r>
          </w:p>
          <w:p w14:paraId="6321D5BB" w14:textId="77777777" w:rsidR="0061166F" w:rsidRPr="004E0F2B" w:rsidRDefault="0061166F" w:rsidP="0061166F">
            <w:pPr>
              <w:spacing w:after="0" w:line="240" w:lineRule="auto"/>
              <w:rPr>
                <w:rFonts w:ascii="Arial" w:hAnsi="Arial" w:cs="Arial"/>
                <w:sz w:val="20"/>
                <w:szCs w:val="20"/>
                <w:lang w:val="bg-BG"/>
              </w:rPr>
            </w:pPr>
          </w:p>
          <w:p w14:paraId="0F025404" w14:textId="77777777" w:rsidR="00FA1EEA" w:rsidRPr="004E0F2B" w:rsidRDefault="00FA1EEA" w:rsidP="00FA1EEA">
            <w:pPr>
              <w:spacing w:after="0" w:line="240" w:lineRule="auto"/>
              <w:rPr>
                <w:rFonts w:ascii="Arial" w:hAnsi="Arial" w:cs="Arial"/>
                <w:sz w:val="20"/>
                <w:szCs w:val="20"/>
                <w:lang w:val="en-US"/>
              </w:rPr>
            </w:pPr>
            <w:r w:rsidRPr="004E0F2B">
              <w:rPr>
                <w:rFonts w:ascii="Arial" w:hAnsi="Arial" w:cs="Arial"/>
                <w:sz w:val="20"/>
                <w:szCs w:val="20"/>
                <w:lang w:val="en-US"/>
              </w:rPr>
              <w:t xml:space="preserve">Scoring: </w:t>
            </w:r>
          </w:p>
          <w:tbl>
            <w:tblPr>
              <w:tblW w:w="3238" w:type="dxa"/>
              <w:tblInd w:w="2124" w:type="dxa"/>
              <w:tblLayout w:type="fixed"/>
              <w:tblLook w:val="04A0" w:firstRow="1" w:lastRow="0" w:firstColumn="1" w:lastColumn="0" w:noHBand="0" w:noVBand="1"/>
            </w:tblPr>
            <w:tblGrid>
              <w:gridCol w:w="976"/>
              <w:gridCol w:w="2262"/>
            </w:tblGrid>
            <w:tr w:rsidR="00FA1EEA" w:rsidRPr="0023317E" w14:paraId="788929A9" w14:textId="77777777" w:rsidTr="007D1241">
              <w:trPr>
                <w:trHeight w:val="300"/>
              </w:trPr>
              <w:tc>
                <w:tcPr>
                  <w:tcW w:w="976" w:type="dxa"/>
                  <w:tcBorders>
                    <w:top w:val="single" w:sz="4" w:space="0" w:color="auto"/>
                    <w:bottom w:val="single" w:sz="4" w:space="0" w:color="auto"/>
                  </w:tcBorders>
                  <w:shd w:val="clear" w:color="auto" w:fill="0079A3"/>
                  <w:noWrap/>
                  <w:hideMark/>
                </w:tcPr>
                <w:p w14:paraId="675DD25A" w14:textId="77777777" w:rsidR="00FA1EEA" w:rsidRPr="004E0F2B" w:rsidRDefault="00FA1EEA" w:rsidP="00FA1EEA">
                  <w:pPr>
                    <w:spacing w:after="0" w:line="240" w:lineRule="auto"/>
                    <w:jc w:val="center"/>
                    <w:rPr>
                      <w:rFonts w:ascii="Arial" w:hAnsi="Arial" w:cs="Arial"/>
                      <w:b/>
                      <w:color w:val="FFFFFF" w:themeColor="background1"/>
                      <w:sz w:val="20"/>
                      <w:szCs w:val="20"/>
                      <w:lang w:val="en-GB" w:eastAsia="fr-BE"/>
                    </w:rPr>
                  </w:pPr>
                  <w:r w:rsidRPr="004E0F2B">
                    <w:rPr>
                      <w:rFonts w:ascii="Arial" w:hAnsi="Arial" w:cs="Arial"/>
                      <w:b/>
                      <w:color w:val="FFFFFF" w:themeColor="background1"/>
                      <w:sz w:val="20"/>
                      <w:szCs w:val="20"/>
                      <w:lang w:val="en-GB" w:eastAsia="fr-BE"/>
                    </w:rPr>
                    <w:t>Score</w:t>
                  </w:r>
                </w:p>
              </w:tc>
              <w:tc>
                <w:tcPr>
                  <w:tcW w:w="2262" w:type="dxa"/>
                  <w:tcBorders>
                    <w:top w:val="single" w:sz="4" w:space="0" w:color="auto"/>
                    <w:bottom w:val="single" w:sz="4" w:space="0" w:color="auto"/>
                  </w:tcBorders>
                  <w:shd w:val="clear" w:color="auto" w:fill="0079A3"/>
                </w:tcPr>
                <w:p w14:paraId="155BA9AE" w14:textId="77777777" w:rsidR="00FA1EEA" w:rsidRPr="004E0F2B" w:rsidRDefault="00FA1EEA" w:rsidP="00FA1EEA">
                  <w:pPr>
                    <w:spacing w:after="0" w:line="240" w:lineRule="auto"/>
                    <w:jc w:val="center"/>
                    <w:rPr>
                      <w:rFonts w:ascii="Arial" w:hAnsi="Arial" w:cs="Arial"/>
                      <w:b/>
                      <w:color w:val="FFFFFF" w:themeColor="background1"/>
                      <w:sz w:val="20"/>
                      <w:szCs w:val="20"/>
                      <w:lang w:val="en-GB" w:eastAsia="fr-BE"/>
                    </w:rPr>
                  </w:pPr>
                  <w:r w:rsidRPr="004E0F2B">
                    <w:rPr>
                      <w:rFonts w:ascii="Arial" w:hAnsi="Arial" w:cs="Arial"/>
                      <w:b/>
                      <w:color w:val="FFFFFF" w:themeColor="background1"/>
                      <w:sz w:val="20"/>
                      <w:szCs w:val="20"/>
                      <w:lang w:val="en-GB" w:eastAsia="fr-BE"/>
                    </w:rPr>
                    <w:t>total cost</w:t>
                  </w:r>
                </w:p>
              </w:tc>
            </w:tr>
            <w:tr w:rsidR="00FA1EEA" w:rsidRPr="0023317E" w14:paraId="4403006F" w14:textId="77777777" w:rsidTr="007D1241">
              <w:trPr>
                <w:trHeight w:val="300"/>
              </w:trPr>
              <w:tc>
                <w:tcPr>
                  <w:tcW w:w="976" w:type="dxa"/>
                  <w:tcBorders>
                    <w:bottom w:val="single" w:sz="4" w:space="0" w:color="auto"/>
                  </w:tcBorders>
                  <w:shd w:val="clear" w:color="auto" w:fill="FF0000"/>
                  <w:noWrap/>
                  <w:hideMark/>
                </w:tcPr>
                <w:p w14:paraId="4110341A" w14:textId="77777777" w:rsidR="00FA1EEA" w:rsidRPr="004E0F2B" w:rsidRDefault="00FA1EEA" w:rsidP="00FA1EEA">
                  <w:pPr>
                    <w:spacing w:after="0" w:line="240" w:lineRule="auto"/>
                    <w:jc w:val="center"/>
                    <w:rPr>
                      <w:rFonts w:ascii="Arial" w:hAnsi="Arial" w:cs="Arial"/>
                      <w:color w:val="000000"/>
                      <w:sz w:val="20"/>
                      <w:szCs w:val="20"/>
                      <w:lang w:val="en-GB" w:eastAsia="fr-BE"/>
                    </w:rPr>
                  </w:pPr>
                  <w:r w:rsidRPr="004E0F2B">
                    <w:rPr>
                      <w:rFonts w:ascii="Arial" w:hAnsi="Arial" w:cs="Arial"/>
                      <w:color w:val="000000"/>
                      <w:sz w:val="20"/>
                      <w:szCs w:val="20"/>
                      <w:lang w:val="en-GB" w:eastAsia="fr-BE"/>
                    </w:rPr>
                    <w:t>1</w:t>
                  </w:r>
                </w:p>
              </w:tc>
              <w:tc>
                <w:tcPr>
                  <w:tcW w:w="2262" w:type="dxa"/>
                  <w:tcBorders>
                    <w:bottom w:val="single" w:sz="4" w:space="0" w:color="auto"/>
                  </w:tcBorders>
                  <w:shd w:val="clear" w:color="auto" w:fill="FF0000"/>
                </w:tcPr>
                <w:p w14:paraId="25AB9F17" w14:textId="77777777" w:rsidR="00FA1EEA" w:rsidRPr="004E0F2B" w:rsidRDefault="00FA1EEA" w:rsidP="00FA1EEA">
                  <w:pPr>
                    <w:spacing w:after="0" w:line="240" w:lineRule="auto"/>
                    <w:jc w:val="right"/>
                    <w:rPr>
                      <w:rFonts w:ascii="Arial" w:hAnsi="Arial" w:cs="Arial"/>
                      <w:color w:val="000000"/>
                      <w:sz w:val="20"/>
                      <w:szCs w:val="20"/>
                      <w:lang w:val="en-GB" w:eastAsia="fr-BE"/>
                    </w:rPr>
                  </w:pPr>
                  <w:r w:rsidRPr="004E0F2B">
                    <w:rPr>
                      <w:rFonts w:ascii="Arial" w:hAnsi="Arial" w:cs="Arial"/>
                      <w:color w:val="000000"/>
                      <w:sz w:val="20"/>
                      <w:szCs w:val="20"/>
                      <w:lang w:val="en-GB" w:eastAsia="fr-BE"/>
                    </w:rPr>
                    <w:t xml:space="preserve">&gt; </w:t>
                  </w:r>
                  <w:r w:rsidRPr="004E0F2B">
                    <w:rPr>
                      <w:rFonts w:ascii="Arial" w:hAnsi="Arial" w:cs="Arial"/>
                      <w:sz w:val="20"/>
                      <w:szCs w:val="20"/>
                      <w:lang w:val="en-GB"/>
                    </w:rPr>
                    <w:t xml:space="preserve">€ </w:t>
                  </w:r>
                  <w:r w:rsidRPr="004E0F2B">
                    <w:rPr>
                      <w:rFonts w:ascii="Arial" w:hAnsi="Arial" w:cs="Arial"/>
                      <w:color w:val="000000"/>
                      <w:sz w:val="20"/>
                      <w:szCs w:val="20"/>
                      <w:lang w:val="en-GB" w:eastAsia="fr-BE"/>
                    </w:rPr>
                    <w:t>1 million</w:t>
                  </w:r>
                </w:p>
              </w:tc>
            </w:tr>
            <w:tr w:rsidR="00FA1EEA" w:rsidRPr="0023317E" w14:paraId="6297DFA1" w14:textId="77777777" w:rsidTr="007D1241">
              <w:trPr>
                <w:trHeight w:val="300"/>
              </w:trPr>
              <w:tc>
                <w:tcPr>
                  <w:tcW w:w="976" w:type="dxa"/>
                  <w:tcBorders>
                    <w:bottom w:val="single" w:sz="4" w:space="0" w:color="auto"/>
                  </w:tcBorders>
                  <w:shd w:val="clear" w:color="auto" w:fill="FF9933"/>
                  <w:noWrap/>
                  <w:hideMark/>
                </w:tcPr>
                <w:p w14:paraId="42347C50" w14:textId="77777777" w:rsidR="00FA1EEA" w:rsidRPr="004E0F2B" w:rsidRDefault="00FA1EEA" w:rsidP="00FA1EEA">
                  <w:pPr>
                    <w:spacing w:after="0" w:line="240" w:lineRule="auto"/>
                    <w:jc w:val="center"/>
                    <w:rPr>
                      <w:rFonts w:ascii="Arial" w:hAnsi="Arial" w:cs="Arial"/>
                      <w:color w:val="000000"/>
                      <w:sz w:val="20"/>
                      <w:szCs w:val="20"/>
                      <w:lang w:val="en-GB" w:eastAsia="fr-BE"/>
                    </w:rPr>
                  </w:pPr>
                  <w:r w:rsidRPr="004E0F2B">
                    <w:rPr>
                      <w:rFonts w:ascii="Arial" w:hAnsi="Arial" w:cs="Arial"/>
                      <w:color w:val="000000"/>
                      <w:sz w:val="20"/>
                      <w:szCs w:val="20"/>
                      <w:lang w:val="en-GB" w:eastAsia="fr-BE"/>
                    </w:rPr>
                    <w:t>2</w:t>
                  </w:r>
                </w:p>
              </w:tc>
              <w:tc>
                <w:tcPr>
                  <w:tcW w:w="2262" w:type="dxa"/>
                  <w:tcBorders>
                    <w:bottom w:val="single" w:sz="4" w:space="0" w:color="auto"/>
                  </w:tcBorders>
                  <w:shd w:val="clear" w:color="auto" w:fill="FF9933"/>
                </w:tcPr>
                <w:p w14:paraId="7291E8AB" w14:textId="77777777" w:rsidR="00FA1EEA" w:rsidRPr="004E0F2B" w:rsidRDefault="00FA1EEA" w:rsidP="00FA1EEA">
                  <w:pPr>
                    <w:spacing w:after="0" w:line="240" w:lineRule="auto"/>
                    <w:jc w:val="right"/>
                    <w:rPr>
                      <w:rFonts w:ascii="Arial" w:hAnsi="Arial" w:cs="Arial"/>
                      <w:color w:val="000000"/>
                      <w:sz w:val="20"/>
                      <w:szCs w:val="20"/>
                      <w:lang w:val="en-GB" w:eastAsia="fr-BE"/>
                    </w:rPr>
                  </w:pPr>
                  <w:r w:rsidRPr="004E0F2B">
                    <w:rPr>
                      <w:rFonts w:ascii="Arial" w:hAnsi="Arial" w:cs="Arial"/>
                      <w:sz w:val="20"/>
                      <w:szCs w:val="20"/>
                      <w:lang w:val="en-GB"/>
                    </w:rPr>
                    <w:t>€ 500.</w:t>
                  </w:r>
                  <w:r w:rsidRPr="004E0F2B">
                    <w:rPr>
                      <w:rFonts w:ascii="Arial" w:hAnsi="Arial" w:cs="Arial"/>
                      <w:color w:val="000000"/>
                      <w:sz w:val="20"/>
                      <w:szCs w:val="20"/>
                      <w:lang w:val="en-GB" w:eastAsia="fr-BE"/>
                    </w:rPr>
                    <w:t>000 – 1 million</w:t>
                  </w:r>
                </w:p>
              </w:tc>
            </w:tr>
            <w:tr w:rsidR="00FA1EEA" w:rsidRPr="0023317E" w14:paraId="40C0AFBE" w14:textId="77777777" w:rsidTr="007D1241">
              <w:trPr>
                <w:trHeight w:val="300"/>
              </w:trPr>
              <w:tc>
                <w:tcPr>
                  <w:tcW w:w="976" w:type="dxa"/>
                  <w:tcBorders>
                    <w:bottom w:val="single" w:sz="4" w:space="0" w:color="auto"/>
                  </w:tcBorders>
                  <w:shd w:val="clear" w:color="auto" w:fill="FFFF00"/>
                  <w:noWrap/>
                  <w:hideMark/>
                </w:tcPr>
                <w:p w14:paraId="776B18E6" w14:textId="77777777" w:rsidR="00FA1EEA" w:rsidRPr="004E0F2B" w:rsidRDefault="00FA1EEA" w:rsidP="00FA1EEA">
                  <w:pPr>
                    <w:spacing w:after="0" w:line="240" w:lineRule="auto"/>
                    <w:jc w:val="center"/>
                    <w:rPr>
                      <w:rFonts w:ascii="Arial" w:hAnsi="Arial" w:cs="Arial"/>
                      <w:color w:val="000000"/>
                      <w:sz w:val="20"/>
                      <w:szCs w:val="20"/>
                      <w:u w:val="single"/>
                      <w:lang w:val="en-GB" w:eastAsia="fr-BE"/>
                    </w:rPr>
                  </w:pPr>
                  <w:r w:rsidRPr="004E0F2B">
                    <w:rPr>
                      <w:rFonts w:ascii="Arial" w:hAnsi="Arial" w:cs="Arial"/>
                      <w:color w:val="000000"/>
                      <w:sz w:val="20"/>
                      <w:szCs w:val="20"/>
                      <w:u w:val="single"/>
                      <w:lang w:val="en-GB" w:eastAsia="fr-BE"/>
                    </w:rPr>
                    <w:t>3</w:t>
                  </w:r>
                </w:p>
              </w:tc>
              <w:tc>
                <w:tcPr>
                  <w:tcW w:w="2262" w:type="dxa"/>
                  <w:tcBorders>
                    <w:bottom w:val="single" w:sz="4" w:space="0" w:color="auto"/>
                  </w:tcBorders>
                  <w:shd w:val="clear" w:color="auto" w:fill="FFFF00"/>
                </w:tcPr>
                <w:p w14:paraId="62A72198" w14:textId="77777777" w:rsidR="00FA1EEA" w:rsidRPr="004E0F2B" w:rsidRDefault="00FA1EEA" w:rsidP="00FA1EEA">
                  <w:pPr>
                    <w:spacing w:after="0" w:line="240" w:lineRule="auto"/>
                    <w:jc w:val="right"/>
                    <w:rPr>
                      <w:rFonts w:ascii="Arial" w:hAnsi="Arial" w:cs="Arial"/>
                      <w:color w:val="000000"/>
                      <w:sz w:val="20"/>
                      <w:szCs w:val="20"/>
                      <w:lang w:val="en-GB" w:eastAsia="fr-BE"/>
                    </w:rPr>
                  </w:pPr>
                  <w:r w:rsidRPr="004E0F2B">
                    <w:rPr>
                      <w:rFonts w:ascii="Arial" w:hAnsi="Arial" w:cs="Arial"/>
                      <w:sz w:val="20"/>
                      <w:szCs w:val="20"/>
                      <w:lang w:val="en-GB"/>
                    </w:rPr>
                    <w:t>€ 200.</w:t>
                  </w:r>
                  <w:r w:rsidRPr="004E0F2B">
                    <w:rPr>
                      <w:rFonts w:ascii="Arial" w:hAnsi="Arial" w:cs="Arial"/>
                      <w:color w:val="000000"/>
                      <w:sz w:val="20"/>
                      <w:szCs w:val="20"/>
                      <w:lang w:val="en-GB" w:eastAsia="fr-BE"/>
                    </w:rPr>
                    <w:t>000 – 500.000</w:t>
                  </w:r>
                </w:p>
              </w:tc>
            </w:tr>
            <w:tr w:rsidR="00FA1EEA" w:rsidRPr="0023317E" w14:paraId="1A22F9C0" w14:textId="77777777" w:rsidTr="007D1241">
              <w:trPr>
                <w:trHeight w:val="300"/>
              </w:trPr>
              <w:tc>
                <w:tcPr>
                  <w:tcW w:w="976" w:type="dxa"/>
                  <w:tcBorders>
                    <w:bottom w:val="single" w:sz="4" w:space="0" w:color="auto"/>
                  </w:tcBorders>
                  <w:shd w:val="clear" w:color="auto" w:fill="92D050"/>
                  <w:noWrap/>
                  <w:hideMark/>
                </w:tcPr>
                <w:p w14:paraId="3B22D89A" w14:textId="77777777" w:rsidR="00FA1EEA" w:rsidRPr="004E0F2B" w:rsidRDefault="00FA1EEA" w:rsidP="00FA1EEA">
                  <w:pPr>
                    <w:spacing w:after="0" w:line="240" w:lineRule="auto"/>
                    <w:jc w:val="center"/>
                    <w:rPr>
                      <w:rFonts w:ascii="Arial" w:hAnsi="Arial" w:cs="Arial"/>
                      <w:b/>
                      <w:color w:val="000000"/>
                      <w:sz w:val="20"/>
                      <w:szCs w:val="20"/>
                      <w:lang w:val="en-GB" w:eastAsia="fr-BE"/>
                    </w:rPr>
                  </w:pPr>
                  <w:r w:rsidRPr="004E0F2B">
                    <w:rPr>
                      <w:rFonts w:ascii="Arial" w:hAnsi="Arial" w:cs="Arial"/>
                      <w:b/>
                      <w:color w:val="000000"/>
                      <w:sz w:val="20"/>
                      <w:szCs w:val="20"/>
                      <w:lang w:val="en-GB" w:eastAsia="fr-BE"/>
                    </w:rPr>
                    <w:t>4</w:t>
                  </w:r>
                </w:p>
              </w:tc>
              <w:tc>
                <w:tcPr>
                  <w:tcW w:w="2262" w:type="dxa"/>
                  <w:tcBorders>
                    <w:bottom w:val="single" w:sz="4" w:space="0" w:color="auto"/>
                  </w:tcBorders>
                  <w:shd w:val="clear" w:color="auto" w:fill="92D050"/>
                </w:tcPr>
                <w:p w14:paraId="42DC57D9" w14:textId="77777777" w:rsidR="00FA1EEA" w:rsidRPr="004E0F2B" w:rsidRDefault="00FA1EEA" w:rsidP="00FA1EEA">
                  <w:pPr>
                    <w:spacing w:after="0" w:line="240" w:lineRule="auto"/>
                    <w:jc w:val="right"/>
                    <w:rPr>
                      <w:rFonts w:ascii="Arial" w:hAnsi="Arial" w:cs="Arial"/>
                      <w:b/>
                      <w:color w:val="000000"/>
                      <w:sz w:val="20"/>
                      <w:szCs w:val="20"/>
                      <w:u w:val="single"/>
                      <w:lang w:val="en-GB" w:eastAsia="fr-BE"/>
                    </w:rPr>
                  </w:pPr>
                  <w:r w:rsidRPr="004E0F2B">
                    <w:rPr>
                      <w:rFonts w:ascii="Arial" w:hAnsi="Arial" w:cs="Arial"/>
                      <w:b/>
                      <w:sz w:val="20"/>
                      <w:szCs w:val="20"/>
                      <w:u w:val="single"/>
                      <w:lang w:val="en-GB"/>
                    </w:rPr>
                    <w:t>€ 50.</w:t>
                  </w:r>
                  <w:r w:rsidRPr="004E0F2B">
                    <w:rPr>
                      <w:rFonts w:ascii="Arial" w:hAnsi="Arial" w:cs="Arial"/>
                      <w:b/>
                      <w:color w:val="000000"/>
                      <w:sz w:val="20"/>
                      <w:szCs w:val="20"/>
                      <w:u w:val="single"/>
                      <w:lang w:val="en-GB" w:eastAsia="fr-BE"/>
                    </w:rPr>
                    <w:t>000 – 200.000</w:t>
                  </w:r>
                </w:p>
              </w:tc>
            </w:tr>
            <w:tr w:rsidR="00FA1EEA" w:rsidRPr="0023317E" w14:paraId="07FACC2B" w14:textId="77777777" w:rsidTr="007D1241">
              <w:trPr>
                <w:trHeight w:val="300"/>
              </w:trPr>
              <w:tc>
                <w:tcPr>
                  <w:tcW w:w="976" w:type="dxa"/>
                  <w:shd w:val="clear" w:color="auto" w:fill="00B050"/>
                  <w:noWrap/>
                  <w:hideMark/>
                </w:tcPr>
                <w:p w14:paraId="4AD3ED07" w14:textId="77777777" w:rsidR="00FA1EEA" w:rsidRPr="004E0F2B" w:rsidRDefault="00FA1EEA" w:rsidP="00FA1EEA">
                  <w:pPr>
                    <w:spacing w:after="0" w:line="240" w:lineRule="auto"/>
                    <w:jc w:val="center"/>
                    <w:rPr>
                      <w:rFonts w:ascii="Arial" w:hAnsi="Arial" w:cs="Arial"/>
                      <w:color w:val="000000"/>
                      <w:sz w:val="20"/>
                      <w:szCs w:val="20"/>
                      <w:lang w:val="en-GB" w:eastAsia="fr-BE"/>
                    </w:rPr>
                  </w:pPr>
                  <w:r w:rsidRPr="004E0F2B">
                    <w:rPr>
                      <w:rFonts w:ascii="Arial" w:hAnsi="Arial" w:cs="Arial"/>
                      <w:color w:val="000000"/>
                      <w:sz w:val="20"/>
                      <w:szCs w:val="20"/>
                      <w:lang w:val="en-GB" w:eastAsia="fr-BE"/>
                    </w:rPr>
                    <w:t>5</w:t>
                  </w:r>
                </w:p>
              </w:tc>
              <w:tc>
                <w:tcPr>
                  <w:tcW w:w="2262" w:type="dxa"/>
                  <w:shd w:val="clear" w:color="auto" w:fill="00B050"/>
                </w:tcPr>
                <w:p w14:paraId="3F38FAD0" w14:textId="77777777" w:rsidR="00FA1EEA" w:rsidRPr="004E0F2B" w:rsidRDefault="00FA1EEA" w:rsidP="00FA1EEA">
                  <w:pPr>
                    <w:spacing w:after="0" w:line="240" w:lineRule="auto"/>
                    <w:jc w:val="right"/>
                    <w:rPr>
                      <w:rFonts w:ascii="Arial" w:hAnsi="Arial" w:cs="Arial"/>
                      <w:color w:val="000000"/>
                      <w:sz w:val="20"/>
                      <w:szCs w:val="20"/>
                      <w:lang w:val="en-GB" w:eastAsia="fr-BE"/>
                    </w:rPr>
                  </w:pPr>
                  <w:r w:rsidRPr="004E0F2B">
                    <w:rPr>
                      <w:rFonts w:ascii="Arial" w:hAnsi="Arial" w:cs="Arial"/>
                      <w:color w:val="000000"/>
                      <w:sz w:val="20"/>
                      <w:szCs w:val="20"/>
                      <w:lang w:val="en-GB" w:eastAsia="fr-BE"/>
                    </w:rPr>
                    <w:t xml:space="preserve">&lt; </w:t>
                  </w:r>
                  <w:r w:rsidRPr="004E0F2B">
                    <w:rPr>
                      <w:rFonts w:ascii="Arial" w:hAnsi="Arial" w:cs="Arial"/>
                      <w:sz w:val="20"/>
                      <w:szCs w:val="20"/>
                      <w:lang w:val="en-GB"/>
                    </w:rPr>
                    <w:t xml:space="preserve">€ </w:t>
                  </w:r>
                  <w:r w:rsidRPr="004E0F2B">
                    <w:rPr>
                      <w:rFonts w:ascii="Arial" w:hAnsi="Arial" w:cs="Arial"/>
                      <w:color w:val="000000"/>
                      <w:sz w:val="20"/>
                      <w:szCs w:val="20"/>
                      <w:lang w:val="en-GB" w:eastAsia="fr-BE"/>
                    </w:rPr>
                    <w:t>50.000</w:t>
                  </w:r>
                </w:p>
              </w:tc>
            </w:tr>
          </w:tbl>
          <w:p w14:paraId="1244452D" w14:textId="77777777" w:rsidR="00FA1EEA" w:rsidRPr="004E0F2B" w:rsidRDefault="00FA1EEA" w:rsidP="0061166F">
            <w:pPr>
              <w:spacing w:after="0" w:line="240" w:lineRule="auto"/>
              <w:rPr>
                <w:rFonts w:ascii="Arial" w:hAnsi="Arial" w:cs="Arial"/>
                <w:sz w:val="20"/>
                <w:szCs w:val="20"/>
                <w:lang w:val="bg-BG"/>
              </w:rPr>
            </w:pPr>
          </w:p>
          <w:p w14:paraId="0EB2DD23" w14:textId="77777777" w:rsidR="00FA1EEA" w:rsidRPr="004E0F2B" w:rsidRDefault="00FA1EEA" w:rsidP="00FA1EEA">
            <w:pPr>
              <w:spacing w:after="0" w:line="240" w:lineRule="auto"/>
              <w:rPr>
                <w:rFonts w:ascii="Arial" w:hAnsi="Arial" w:cs="Arial"/>
                <w:sz w:val="20"/>
                <w:szCs w:val="20"/>
                <w:lang w:val="bg-BG"/>
              </w:rPr>
            </w:pPr>
            <w:r w:rsidRPr="004E0F2B">
              <w:rPr>
                <w:rFonts w:ascii="Arial" w:hAnsi="Arial" w:cs="Arial"/>
                <w:sz w:val="20"/>
                <w:szCs w:val="20"/>
                <w:lang w:val="bg-BG"/>
              </w:rPr>
              <w:t>Phase 2</w:t>
            </w:r>
          </w:p>
          <w:p w14:paraId="7EDA3C63" w14:textId="77777777" w:rsidR="00FA1EEA" w:rsidRPr="004E0F2B" w:rsidRDefault="00FA1EEA" w:rsidP="00FA1EEA">
            <w:pPr>
              <w:spacing w:after="0" w:line="240" w:lineRule="auto"/>
              <w:rPr>
                <w:rFonts w:ascii="Arial" w:hAnsi="Arial" w:cs="Arial"/>
                <w:sz w:val="20"/>
                <w:szCs w:val="20"/>
                <w:lang w:val="bg-BG"/>
              </w:rPr>
            </w:pPr>
            <w:r w:rsidRPr="004E0F2B">
              <w:rPr>
                <w:rFonts w:ascii="Arial" w:hAnsi="Arial" w:cs="Arial"/>
                <w:sz w:val="20"/>
                <w:szCs w:val="20"/>
                <w:lang w:val="bg-BG"/>
              </w:rPr>
              <w:t xml:space="preserve">- </w:t>
            </w:r>
            <w:r w:rsidRPr="004E0F2B">
              <w:rPr>
                <w:rFonts w:ascii="Arial" w:hAnsi="Arial" w:cs="Arial"/>
                <w:sz w:val="20"/>
                <w:szCs w:val="20"/>
                <w:lang w:val="en-US"/>
              </w:rPr>
              <w:t>implementation</w:t>
            </w:r>
            <w:r w:rsidRPr="004E0F2B">
              <w:rPr>
                <w:rFonts w:ascii="Arial" w:hAnsi="Arial" w:cs="Arial"/>
                <w:sz w:val="20"/>
                <w:szCs w:val="20"/>
                <w:lang w:val="bg-BG"/>
              </w:rPr>
              <w:t xml:space="preserve"> </w:t>
            </w:r>
            <w:r w:rsidRPr="004E0F2B">
              <w:rPr>
                <w:rFonts w:ascii="Arial" w:hAnsi="Arial" w:cs="Arial"/>
                <w:sz w:val="20"/>
                <w:szCs w:val="20"/>
                <w:lang w:val="en-US"/>
              </w:rPr>
              <w:t>of spatial p</w:t>
            </w:r>
            <w:r w:rsidRPr="004E0F2B">
              <w:rPr>
                <w:rFonts w:ascii="Arial" w:hAnsi="Arial" w:cs="Arial"/>
                <w:sz w:val="20"/>
                <w:szCs w:val="20"/>
                <w:lang w:val="bg-BG"/>
              </w:rPr>
              <w:t>rotection measures</w:t>
            </w:r>
          </w:p>
          <w:p w14:paraId="51EB3558" w14:textId="214D4F64" w:rsidR="0061166F" w:rsidRPr="004E0F2B" w:rsidRDefault="00FA1EEA" w:rsidP="00FA1EEA">
            <w:pPr>
              <w:pStyle w:val="Lijstalinea"/>
              <w:numPr>
                <w:ilvl w:val="0"/>
                <w:numId w:val="13"/>
              </w:numPr>
              <w:rPr>
                <w:rFonts w:ascii="Arial" w:hAnsi="Arial" w:cs="Arial"/>
                <w:i/>
                <w:sz w:val="20"/>
                <w:szCs w:val="20"/>
                <w:lang w:val="en-GB"/>
              </w:rPr>
            </w:pPr>
            <w:r w:rsidRPr="004E0F2B">
              <w:rPr>
                <w:rFonts w:ascii="Arial" w:hAnsi="Arial" w:cs="Arial"/>
                <w:i/>
                <w:sz w:val="20"/>
                <w:szCs w:val="20"/>
                <w:lang w:val="en-GB"/>
              </w:rPr>
              <w:t>Not possible to assess at this stage</w:t>
            </w:r>
          </w:p>
        </w:tc>
      </w:tr>
      <w:tr w:rsidR="00583D8D" w:rsidRPr="004E0F2B" w14:paraId="59931728" w14:textId="77777777" w:rsidTr="00583D8D">
        <w:trPr>
          <w:trHeight w:val="440"/>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553BD7F5" w14:textId="4174547A" w:rsidR="00583D8D" w:rsidRPr="004E0F2B" w:rsidRDefault="00583D8D" w:rsidP="00E41209">
            <w:pPr>
              <w:spacing w:before="60" w:after="60" w:line="240" w:lineRule="auto"/>
              <w:rPr>
                <w:rFonts w:ascii="Arial" w:hAnsi="Arial" w:cs="Arial"/>
                <w:b/>
                <w:sz w:val="20"/>
                <w:szCs w:val="20"/>
                <w:lang w:val="en-GB"/>
              </w:rPr>
            </w:pPr>
            <w:r w:rsidRPr="004E0F2B">
              <w:rPr>
                <w:rFonts w:ascii="Arial" w:hAnsi="Arial" w:cs="Arial"/>
                <w:b/>
                <w:sz w:val="20"/>
                <w:szCs w:val="20"/>
                <w:lang w:val="en-GB"/>
              </w:rPr>
              <w:t>Effectiveness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73D8A732" w14:textId="4D0E5B7B" w:rsidR="00583D8D" w:rsidRPr="004E0F2B" w:rsidRDefault="00A13865" w:rsidP="00E41209">
            <w:pPr>
              <w:pStyle w:val="Lijstalinea"/>
              <w:ind w:left="0"/>
              <w:rPr>
                <w:rFonts w:ascii="Arial" w:hAnsi="Arial" w:cs="Arial"/>
                <w:sz w:val="20"/>
                <w:szCs w:val="20"/>
                <w:lang w:val="en-GB"/>
              </w:rPr>
            </w:pPr>
            <w:r w:rsidRPr="004E0F2B">
              <w:rPr>
                <w:rFonts w:ascii="Arial" w:hAnsi="Arial" w:cs="Arial"/>
                <w:sz w:val="20"/>
                <w:szCs w:val="20"/>
                <w:lang w:val="en-GB"/>
              </w:rPr>
              <w:t>Potentially strong</w:t>
            </w:r>
          </w:p>
        </w:tc>
      </w:tr>
      <w:tr w:rsidR="00096F73" w:rsidRPr="0023317E" w14:paraId="6D685950" w14:textId="77777777" w:rsidTr="00583D8D">
        <w:trPr>
          <w:trHeight w:val="440"/>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7AEC4C3E" w14:textId="77777777" w:rsidR="00096F73" w:rsidRPr="004E0F2B" w:rsidRDefault="00096F73" w:rsidP="00E41209">
            <w:pPr>
              <w:spacing w:before="60" w:after="60" w:line="240" w:lineRule="auto"/>
              <w:rPr>
                <w:rFonts w:ascii="Arial" w:hAnsi="Arial" w:cs="Arial"/>
                <w:b/>
                <w:sz w:val="20"/>
                <w:szCs w:val="20"/>
                <w:lang w:val="en-GB"/>
              </w:rPr>
            </w:pPr>
            <w:r w:rsidRPr="004E0F2B">
              <w:rPr>
                <w:rFonts w:ascii="Arial" w:hAnsi="Arial" w:cs="Arial"/>
                <w:b/>
                <w:sz w:val="20"/>
                <w:szCs w:val="20"/>
                <w:lang w:val="en-GB"/>
              </w:rPr>
              <w:t xml:space="preserve">Indicator(s) to measure </w:t>
            </w:r>
            <w:r w:rsidR="0094172B" w:rsidRPr="004E0F2B">
              <w:rPr>
                <w:rFonts w:ascii="Arial" w:hAnsi="Arial" w:cs="Arial"/>
                <w:b/>
                <w:sz w:val="20"/>
                <w:szCs w:val="20"/>
                <w:lang w:val="en-GB"/>
              </w:rPr>
              <w:t>effectiveness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5635EA3F" w14:textId="109D08FE" w:rsidR="00096F73" w:rsidRPr="004E0F2B" w:rsidRDefault="006541E8" w:rsidP="00E41209">
            <w:pPr>
              <w:pStyle w:val="Lijstalinea"/>
              <w:ind w:left="0"/>
              <w:rPr>
                <w:rFonts w:ascii="Arial" w:hAnsi="Arial" w:cs="Arial"/>
                <w:sz w:val="20"/>
                <w:szCs w:val="20"/>
                <w:lang w:val="en-GB"/>
              </w:rPr>
            </w:pPr>
            <w:r>
              <w:rPr>
                <w:rFonts w:ascii="Arial" w:hAnsi="Arial" w:cs="Arial"/>
                <w:sz w:val="20"/>
                <w:szCs w:val="20"/>
                <w:lang w:val="en-GB"/>
              </w:rPr>
              <w:t>Indicators related to the GES/targets</w:t>
            </w:r>
          </w:p>
        </w:tc>
      </w:tr>
      <w:tr w:rsidR="00C60274" w:rsidRPr="0023317E" w14:paraId="00C59C0F" w14:textId="77777777" w:rsidTr="00583D8D">
        <w:trPr>
          <w:trHeight w:val="440"/>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57373784" w14:textId="77777777" w:rsidR="00C60274" w:rsidRPr="004E0F2B" w:rsidRDefault="00C60274" w:rsidP="00E41209">
            <w:pPr>
              <w:spacing w:before="60" w:after="60" w:line="240" w:lineRule="auto"/>
              <w:rPr>
                <w:rFonts w:ascii="Arial" w:hAnsi="Arial" w:cs="Arial"/>
                <w:b/>
                <w:sz w:val="20"/>
                <w:szCs w:val="20"/>
                <w:lang w:val="en-GB"/>
              </w:rPr>
            </w:pPr>
            <w:r w:rsidRPr="004E0F2B">
              <w:rPr>
                <w:rFonts w:ascii="Arial" w:hAnsi="Arial" w:cs="Arial"/>
                <w:b/>
                <w:sz w:val="20"/>
                <w:szCs w:val="20"/>
                <w:lang w:val="en-GB"/>
              </w:rPr>
              <w:t>Socio-economic assessment</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7C599AB1" w14:textId="77777777" w:rsidR="00DB41E3" w:rsidRPr="004E0F2B" w:rsidRDefault="00DB41E3" w:rsidP="0064381E">
            <w:pPr>
              <w:rPr>
                <w:rFonts w:ascii="Arial" w:hAnsi="Arial" w:cs="Arial"/>
                <w:b/>
                <w:sz w:val="20"/>
                <w:szCs w:val="20"/>
                <w:lang w:val="en-GB"/>
              </w:rPr>
            </w:pPr>
            <w:r w:rsidRPr="004E0F2B">
              <w:rPr>
                <w:rFonts w:ascii="Arial" w:hAnsi="Arial" w:cs="Arial"/>
                <w:b/>
                <w:sz w:val="20"/>
                <w:szCs w:val="20"/>
                <w:lang w:val="en-GB"/>
              </w:rPr>
              <w:t>Negative side effects:</w:t>
            </w:r>
          </w:p>
          <w:p w14:paraId="14906D0B" w14:textId="77777777" w:rsidR="00C5013A" w:rsidRPr="004E0F2B" w:rsidRDefault="0008048F" w:rsidP="0064381E">
            <w:pPr>
              <w:rPr>
                <w:rFonts w:ascii="Arial" w:hAnsi="Arial" w:cs="Arial"/>
                <w:sz w:val="20"/>
                <w:szCs w:val="20"/>
                <w:lang w:val="bg-BG"/>
              </w:rPr>
            </w:pPr>
            <w:r w:rsidRPr="004E0F2B">
              <w:rPr>
                <w:rFonts w:ascii="Arial" w:hAnsi="Arial" w:cs="Arial"/>
                <w:sz w:val="20"/>
                <w:szCs w:val="20"/>
                <w:lang w:val="en-GB"/>
              </w:rPr>
              <w:t>The implementation of the measure is not expected to have negative effects on the marine environment</w:t>
            </w:r>
            <w:r w:rsidR="00C5013A" w:rsidRPr="004E0F2B">
              <w:rPr>
                <w:rFonts w:ascii="Arial" w:hAnsi="Arial" w:cs="Arial"/>
                <w:sz w:val="20"/>
                <w:szCs w:val="20"/>
                <w:lang w:val="bg-BG"/>
              </w:rPr>
              <w:t>.</w:t>
            </w:r>
          </w:p>
          <w:p w14:paraId="03B3F27A" w14:textId="78DF297C" w:rsidR="0008048F" w:rsidRPr="004E0F2B" w:rsidRDefault="0008048F" w:rsidP="0064381E">
            <w:pPr>
              <w:rPr>
                <w:rFonts w:ascii="Arial" w:hAnsi="Arial" w:cs="Arial"/>
                <w:sz w:val="20"/>
                <w:szCs w:val="20"/>
                <w:lang w:val="en-GB"/>
              </w:rPr>
            </w:pPr>
            <w:r w:rsidRPr="004E0F2B">
              <w:rPr>
                <w:rFonts w:ascii="Arial" w:hAnsi="Arial" w:cs="Arial"/>
                <w:sz w:val="20"/>
                <w:szCs w:val="20"/>
                <w:lang w:val="en-GB"/>
              </w:rPr>
              <w:lastRenderedPageBreak/>
              <w:t xml:space="preserve"> The measure could have a negative effect on private business by limiting investment intentions in this area (construction of new or expansion of the area of mussel farms, fish farms or other intentions for growing alternative aquaculture</w:t>
            </w:r>
            <w:r w:rsidR="006541E8">
              <w:rPr>
                <w:rFonts w:ascii="Arial" w:hAnsi="Arial" w:cs="Arial"/>
                <w:sz w:val="20"/>
                <w:szCs w:val="20"/>
                <w:lang w:val="en-GB"/>
              </w:rPr>
              <w:t>, offshore wind farms</w:t>
            </w:r>
            <w:r w:rsidRPr="004E0F2B">
              <w:rPr>
                <w:rFonts w:ascii="Arial" w:hAnsi="Arial" w:cs="Arial"/>
                <w:sz w:val="20"/>
                <w:szCs w:val="20"/>
                <w:lang w:val="en-GB"/>
              </w:rPr>
              <w:t>) as well as on tourism (construction of resort complexes, recreational land and sea tourism, recreational sports)</w:t>
            </w:r>
          </w:p>
          <w:p w14:paraId="0BD479DF" w14:textId="77777777" w:rsidR="00A13865" w:rsidRPr="004E0F2B" w:rsidRDefault="00A13865" w:rsidP="00A13865">
            <w:pPr>
              <w:rPr>
                <w:rFonts w:ascii="Arial" w:hAnsi="Arial" w:cs="Arial"/>
                <w:sz w:val="20"/>
                <w:szCs w:val="20"/>
                <w:lang w:val="bg-BG"/>
              </w:rPr>
            </w:pPr>
            <w:r w:rsidRPr="004E0F2B">
              <w:rPr>
                <w:rFonts w:ascii="Arial" w:hAnsi="Arial" w:cs="Arial"/>
                <w:b/>
                <w:sz w:val="20"/>
                <w:szCs w:val="20"/>
                <w:lang w:val="bg-BG"/>
              </w:rPr>
              <w:t>Cost Effectiveness Assessment:</w:t>
            </w:r>
            <w:r w:rsidRPr="004E0F2B">
              <w:rPr>
                <w:rFonts w:ascii="Arial" w:hAnsi="Arial" w:cs="Arial"/>
                <w:sz w:val="20"/>
                <w:szCs w:val="20"/>
                <w:lang w:val="bg-BG"/>
              </w:rPr>
              <w:t xml:space="preserve"> Moderate effective</w:t>
            </w:r>
          </w:p>
          <w:p w14:paraId="666D0E2C" w14:textId="71541C2D" w:rsidR="00C60274" w:rsidRPr="004E0F2B" w:rsidRDefault="00A13865" w:rsidP="00A13865">
            <w:pPr>
              <w:rPr>
                <w:rFonts w:ascii="Arial" w:hAnsi="Arial" w:cs="Arial"/>
                <w:sz w:val="20"/>
                <w:szCs w:val="20"/>
                <w:lang w:val="bg-BG"/>
              </w:rPr>
            </w:pPr>
            <w:r w:rsidRPr="004E0F2B">
              <w:rPr>
                <w:rFonts w:ascii="Arial" w:hAnsi="Arial" w:cs="Arial"/>
                <w:b/>
                <w:sz w:val="20"/>
                <w:szCs w:val="20"/>
                <w:lang w:val="bg-BG"/>
              </w:rPr>
              <w:t>Cost Benefit Assessment:</w:t>
            </w:r>
            <w:r w:rsidRPr="004E0F2B">
              <w:rPr>
                <w:rFonts w:ascii="Arial" w:hAnsi="Arial" w:cs="Arial"/>
                <w:sz w:val="20"/>
                <w:szCs w:val="20"/>
                <w:lang w:val="bg-BG"/>
              </w:rPr>
              <w:t xml:space="preserve"> Low</w:t>
            </w:r>
          </w:p>
        </w:tc>
      </w:tr>
      <w:tr w:rsidR="005D3832" w:rsidRPr="004E0F2B" w14:paraId="3A9C1452" w14:textId="77777777" w:rsidTr="00583D8D">
        <w:tc>
          <w:tcPr>
            <w:tcW w:w="2376" w:type="dxa"/>
            <w:tcBorders>
              <w:top w:val="single" w:sz="4" w:space="0" w:color="auto"/>
              <w:left w:val="single" w:sz="4" w:space="0" w:color="auto"/>
              <w:bottom w:val="single" w:sz="4" w:space="0" w:color="auto"/>
              <w:right w:val="single" w:sz="4" w:space="0" w:color="auto"/>
            </w:tcBorders>
            <w:shd w:val="clear" w:color="auto" w:fill="auto"/>
          </w:tcPr>
          <w:p w14:paraId="38009868" w14:textId="77777777" w:rsidR="005D3832" w:rsidRPr="004E0F2B" w:rsidRDefault="005D3832" w:rsidP="00E41209">
            <w:pPr>
              <w:spacing w:before="60" w:after="60" w:line="240" w:lineRule="auto"/>
              <w:rPr>
                <w:rFonts w:ascii="Arial" w:hAnsi="Arial" w:cs="Arial"/>
                <w:b/>
                <w:sz w:val="20"/>
                <w:szCs w:val="20"/>
                <w:lang w:val="en-GB"/>
              </w:rPr>
            </w:pPr>
            <w:r w:rsidRPr="004E0F2B">
              <w:rPr>
                <w:rFonts w:ascii="Arial" w:hAnsi="Arial" w:cs="Arial"/>
                <w:b/>
                <w:sz w:val="20"/>
                <w:szCs w:val="20"/>
                <w:lang w:val="en-GB"/>
              </w:rPr>
              <w:lastRenderedPageBreak/>
              <w:t>Coordination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667908CD" w14:textId="77777777" w:rsidR="00743154" w:rsidRPr="004E0F2B" w:rsidRDefault="00743154" w:rsidP="00956298">
            <w:pPr>
              <w:spacing w:after="0" w:line="240" w:lineRule="auto"/>
              <w:rPr>
                <w:rFonts w:ascii="Arial" w:hAnsi="Arial" w:cs="Arial"/>
                <w:sz w:val="20"/>
                <w:szCs w:val="20"/>
                <w:lang w:val="en-US"/>
              </w:rPr>
            </w:pPr>
            <w:r w:rsidRPr="004E0F2B">
              <w:rPr>
                <w:rFonts w:ascii="Arial" w:hAnsi="Arial" w:cs="Arial"/>
                <w:sz w:val="20"/>
                <w:szCs w:val="20"/>
                <w:lang w:val="en-US"/>
              </w:rPr>
              <w:t>Bilateral</w:t>
            </w:r>
          </w:p>
          <w:p w14:paraId="4C538181" w14:textId="42C9E515" w:rsidR="00743154" w:rsidRPr="004E0F2B" w:rsidRDefault="00743154" w:rsidP="00956298">
            <w:pPr>
              <w:spacing w:after="0" w:line="240" w:lineRule="auto"/>
              <w:rPr>
                <w:rFonts w:ascii="Arial" w:hAnsi="Arial" w:cs="Arial"/>
                <w:i/>
                <w:sz w:val="20"/>
                <w:szCs w:val="20"/>
                <w:lang w:val="bg-BG"/>
              </w:rPr>
            </w:pPr>
          </w:p>
        </w:tc>
      </w:tr>
      <w:tr w:rsidR="00583D8D" w:rsidRPr="004E0F2B" w14:paraId="12F410FC" w14:textId="77777777" w:rsidTr="00583D8D">
        <w:tc>
          <w:tcPr>
            <w:tcW w:w="2376" w:type="dxa"/>
            <w:tcBorders>
              <w:top w:val="single" w:sz="4" w:space="0" w:color="auto"/>
              <w:left w:val="single" w:sz="4" w:space="0" w:color="auto"/>
              <w:bottom w:val="single" w:sz="4" w:space="0" w:color="auto"/>
              <w:right w:val="single" w:sz="4" w:space="0" w:color="auto"/>
            </w:tcBorders>
            <w:shd w:val="clear" w:color="auto" w:fill="auto"/>
          </w:tcPr>
          <w:p w14:paraId="10C45B31" w14:textId="77777777" w:rsidR="00583D8D" w:rsidRPr="004E0F2B" w:rsidRDefault="00583D8D" w:rsidP="00E41209">
            <w:pPr>
              <w:spacing w:before="60" w:after="60" w:line="240" w:lineRule="auto"/>
              <w:rPr>
                <w:rFonts w:ascii="Arial" w:hAnsi="Arial" w:cs="Arial"/>
                <w:b/>
                <w:sz w:val="20"/>
                <w:szCs w:val="20"/>
                <w:lang w:val="en-GB"/>
              </w:rPr>
            </w:pPr>
            <w:r w:rsidRPr="004E0F2B">
              <w:rPr>
                <w:rFonts w:ascii="Arial" w:hAnsi="Arial" w:cs="Arial"/>
                <w:b/>
                <w:sz w:val="20"/>
                <w:szCs w:val="20"/>
                <w:lang w:val="en-GB"/>
              </w:rPr>
              <w:t>Technical feasibility</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66B30909" w14:textId="77777777" w:rsidR="00583D8D" w:rsidRPr="004E0F2B" w:rsidRDefault="00583D8D" w:rsidP="00583D8D">
            <w:pPr>
              <w:pStyle w:val="Lijstalinea"/>
              <w:numPr>
                <w:ilvl w:val="0"/>
                <w:numId w:val="11"/>
              </w:numPr>
              <w:spacing w:after="0" w:line="240" w:lineRule="auto"/>
              <w:rPr>
                <w:rFonts w:ascii="Arial" w:hAnsi="Arial" w:cs="Arial"/>
                <w:i/>
                <w:sz w:val="20"/>
                <w:szCs w:val="20"/>
                <w:lang w:val="en-GB"/>
              </w:rPr>
            </w:pPr>
            <w:r w:rsidRPr="004E0F2B">
              <w:rPr>
                <w:rFonts w:ascii="Arial" w:hAnsi="Arial" w:cs="Arial"/>
                <w:i/>
                <w:sz w:val="20"/>
                <w:szCs w:val="20"/>
                <w:lang w:val="en-GB"/>
              </w:rPr>
              <w:t>Applied; limited experience / uncertainties</w:t>
            </w:r>
          </w:p>
          <w:p w14:paraId="7D6E7E66" w14:textId="56661E7C" w:rsidR="00583D8D" w:rsidRPr="004E0F2B" w:rsidRDefault="00583D8D" w:rsidP="00A13865">
            <w:pPr>
              <w:pStyle w:val="Lijstalinea"/>
              <w:spacing w:after="0" w:line="240" w:lineRule="auto"/>
              <w:rPr>
                <w:rFonts w:ascii="Arial" w:hAnsi="Arial" w:cs="Arial"/>
                <w:i/>
                <w:sz w:val="20"/>
                <w:szCs w:val="20"/>
                <w:lang w:val="en-GB"/>
              </w:rPr>
            </w:pPr>
          </w:p>
        </w:tc>
      </w:tr>
      <w:tr w:rsidR="005D3832" w:rsidRPr="004E0F2B" w14:paraId="24044B8D" w14:textId="77777777" w:rsidTr="00583D8D">
        <w:tc>
          <w:tcPr>
            <w:tcW w:w="2376" w:type="dxa"/>
            <w:tcBorders>
              <w:top w:val="single" w:sz="4" w:space="0" w:color="auto"/>
              <w:left w:val="single" w:sz="4" w:space="0" w:color="auto"/>
              <w:bottom w:val="single" w:sz="4" w:space="0" w:color="auto"/>
              <w:right w:val="single" w:sz="4" w:space="0" w:color="auto"/>
            </w:tcBorders>
            <w:shd w:val="clear" w:color="auto" w:fill="auto"/>
          </w:tcPr>
          <w:p w14:paraId="383C45D3" w14:textId="77777777" w:rsidR="005D3832" w:rsidRPr="004E0F2B" w:rsidRDefault="005D3832" w:rsidP="009D45F8">
            <w:pPr>
              <w:spacing w:before="60" w:after="60" w:line="240" w:lineRule="auto"/>
              <w:rPr>
                <w:rFonts w:ascii="Arial" w:hAnsi="Arial" w:cs="Arial"/>
                <w:b/>
                <w:sz w:val="20"/>
                <w:szCs w:val="20"/>
                <w:lang w:val="en-GB"/>
              </w:rPr>
            </w:pPr>
            <w:r w:rsidRPr="004E0F2B">
              <w:rPr>
                <w:rFonts w:ascii="Arial" w:hAnsi="Arial" w:cs="Arial"/>
                <w:b/>
                <w:sz w:val="20"/>
                <w:szCs w:val="20"/>
                <w:lang w:val="en-GB"/>
              </w:rPr>
              <w:t xml:space="preserve">Body responsible for the measure </w:t>
            </w:r>
            <w:r w:rsidR="009D45F8" w:rsidRPr="004E0F2B">
              <w:rPr>
                <w:rFonts w:ascii="Arial" w:hAnsi="Arial" w:cs="Arial"/>
                <w:b/>
                <w:sz w:val="20"/>
                <w:szCs w:val="20"/>
                <w:lang w:val="en-GB"/>
              </w:rPr>
              <w:t>implementation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7B4F84EB" w14:textId="26AC5C4E" w:rsidR="005D3832" w:rsidRPr="004E0F2B" w:rsidRDefault="00A13865" w:rsidP="00E41209">
            <w:pPr>
              <w:spacing w:before="60" w:after="60" w:line="240" w:lineRule="auto"/>
              <w:rPr>
                <w:rFonts w:ascii="Arial" w:hAnsi="Arial" w:cs="Arial"/>
                <w:sz w:val="20"/>
                <w:szCs w:val="20"/>
                <w:lang w:val="bg-BG"/>
              </w:rPr>
            </w:pPr>
            <w:r w:rsidRPr="004E0F2B">
              <w:rPr>
                <w:rFonts w:ascii="Arial" w:hAnsi="Arial" w:cs="Arial"/>
                <w:b/>
                <w:sz w:val="20"/>
                <w:szCs w:val="20"/>
                <w:lang w:val="en-GB"/>
              </w:rPr>
              <w:t>Bulgaria:</w:t>
            </w:r>
            <w:r w:rsidRPr="004E0F2B">
              <w:rPr>
                <w:rFonts w:ascii="Arial" w:hAnsi="Arial" w:cs="Arial"/>
                <w:sz w:val="20"/>
                <w:szCs w:val="20"/>
                <w:lang w:val="en-GB"/>
              </w:rPr>
              <w:t xml:space="preserve"> </w:t>
            </w:r>
            <w:r w:rsidR="002B02BF" w:rsidRPr="004E0F2B">
              <w:rPr>
                <w:rFonts w:ascii="Arial" w:hAnsi="Arial" w:cs="Arial"/>
                <w:sz w:val="20"/>
                <w:szCs w:val="20"/>
                <w:lang w:val="en-GB"/>
              </w:rPr>
              <w:t>Ministry of Environment and Waters (MoEW), Black Sea Basin Directorate (BSBD), Regional Inspectorate of Environment and Water - Varna (RIEW - Varna), Bulgarian Society of Protection of Birds (BSPB)</w:t>
            </w:r>
          </w:p>
          <w:p w14:paraId="5766BD47" w14:textId="77777777" w:rsidR="00956298" w:rsidRPr="004E0F2B" w:rsidRDefault="00956298" w:rsidP="00E41209">
            <w:pPr>
              <w:spacing w:before="60" w:after="60" w:line="240" w:lineRule="auto"/>
              <w:rPr>
                <w:rFonts w:ascii="Arial" w:hAnsi="Arial" w:cs="Arial"/>
                <w:sz w:val="20"/>
                <w:szCs w:val="20"/>
                <w:lang w:val="bg-BG"/>
              </w:rPr>
            </w:pPr>
          </w:p>
          <w:p w14:paraId="75E7517C" w14:textId="77777777" w:rsidR="00A13865" w:rsidRPr="004E0F2B" w:rsidRDefault="00A13865" w:rsidP="00A13865">
            <w:pPr>
              <w:spacing w:before="60" w:after="60" w:line="240" w:lineRule="auto"/>
              <w:rPr>
                <w:rFonts w:ascii="Arial" w:hAnsi="Arial" w:cs="Arial"/>
                <w:sz w:val="20"/>
                <w:szCs w:val="20"/>
                <w:lang w:val="en-US"/>
              </w:rPr>
            </w:pPr>
            <w:r w:rsidRPr="004E0F2B">
              <w:rPr>
                <w:rFonts w:ascii="Arial" w:hAnsi="Arial" w:cs="Arial"/>
                <w:b/>
                <w:sz w:val="20"/>
                <w:szCs w:val="20"/>
                <w:lang w:val="en-US"/>
              </w:rPr>
              <w:t>Romania:</w:t>
            </w:r>
            <w:r w:rsidRPr="004E0F2B">
              <w:rPr>
                <w:rFonts w:ascii="Arial" w:hAnsi="Arial" w:cs="Arial"/>
                <w:sz w:val="20"/>
                <w:szCs w:val="20"/>
                <w:lang w:val="en-US"/>
              </w:rPr>
              <w:t xml:space="preserve"> Ministry of Environment, Waters and Forests</w:t>
            </w:r>
          </w:p>
          <w:p w14:paraId="34AB2056" w14:textId="462DEC98" w:rsidR="00A13865" w:rsidRPr="004E0F2B" w:rsidRDefault="00A13865" w:rsidP="00A13865">
            <w:pPr>
              <w:spacing w:before="60" w:after="60" w:line="240" w:lineRule="auto"/>
              <w:rPr>
                <w:rFonts w:ascii="Arial" w:hAnsi="Arial" w:cs="Arial"/>
                <w:sz w:val="20"/>
                <w:szCs w:val="20"/>
                <w:lang w:val="en-US"/>
              </w:rPr>
            </w:pPr>
            <w:r w:rsidRPr="004E0F2B">
              <w:rPr>
                <w:rFonts w:ascii="Arial" w:hAnsi="Arial" w:cs="Arial"/>
                <w:sz w:val="20"/>
                <w:szCs w:val="20"/>
                <w:lang w:val="en-US"/>
              </w:rPr>
              <w:t>NGOs: Romanian Ornithological Society, Mare Nostrum</w:t>
            </w:r>
          </w:p>
        </w:tc>
      </w:tr>
      <w:tr w:rsidR="005D3832" w:rsidRPr="004E0F2B" w14:paraId="5F72E37F" w14:textId="77777777" w:rsidTr="00C5013A">
        <w:tc>
          <w:tcPr>
            <w:tcW w:w="2376" w:type="dxa"/>
            <w:tcBorders>
              <w:top w:val="single" w:sz="4" w:space="0" w:color="auto"/>
              <w:left w:val="single" w:sz="4" w:space="0" w:color="auto"/>
              <w:bottom w:val="single" w:sz="4" w:space="0" w:color="auto"/>
              <w:right w:val="single" w:sz="4" w:space="0" w:color="auto"/>
            </w:tcBorders>
            <w:shd w:val="clear" w:color="auto" w:fill="auto"/>
          </w:tcPr>
          <w:p w14:paraId="53D31E90" w14:textId="77777777" w:rsidR="005D3832" w:rsidRPr="004E0F2B" w:rsidRDefault="005D3832" w:rsidP="00E41209">
            <w:pPr>
              <w:spacing w:before="60" w:after="60" w:line="240" w:lineRule="auto"/>
              <w:rPr>
                <w:rFonts w:ascii="Arial" w:hAnsi="Arial" w:cs="Arial"/>
                <w:b/>
                <w:sz w:val="20"/>
                <w:szCs w:val="20"/>
                <w:lang w:val="en-GB"/>
              </w:rPr>
            </w:pPr>
            <w:r w:rsidRPr="004E0F2B">
              <w:rPr>
                <w:rFonts w:ascii="Arial" w:hAnsi="Arial" w:cs="Arial"/>
                <w:b/>
                <w:sz w:val="20"/>
                <w:szCs w:val="20"/>
                <w:lang w:val="en-GB"/>
              </w:rPr>
              <w:t>Financing opportunities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892591" w14:textId="385D7A14" w:rsidR="00C5013A" w:rsidRPr="004E0F2B" w:rsidRDefault="00C5013A" w:rsidP="00A13865">
            <w:pPr>
              <w:spacing w:after="0" w:line="240" w:lineRule="auto"/>
              <w:rPr>
                <w:rFonts w:ascii="Arial" w:hAnsi="Arial" w:cs="Arial"/>
                <w:i/>
                <w:sz w:val="20"/>
                <w:szCs w:val="20"/>
                <w:lang w:val="nl-BE"/>
              </w:rPr>
            </w:pPr>
            <w:r w:rsidRPr="004E0F2B">
              <w:rPr>
                <w:rFonts w:ascii="Arial" w:hAnsi="Arial" w:cs="Arial"/>
                <w:sz w:val="20"/>
                <w:szCs w:val="20"/>
                <w:lang w:val="en-US"/>
              </w:rPr>
              <w:t xml:space="preserve">National budget, </w:t>
            </w:r>
            <w:r w:rsidRPr="004E0F2B">
              <w:rPr>
                <w:rFonts w:ascii="Arial" w:hAnsi="Arial" w:cs="Arial"/>
                <w:sz w:val="20"/>
                <w:szCs w:val="20"/>
                <w:lang w:val="bg-BG"/>
              </w:rPr>
              <w:t>Environmental Protection Fund</w:t>
            </w:r>
            <w:r w:rsidR="00A13865" w:rsidRPr="004E0F2B">
              <w:rPr>
                <w:rFonts w:ascii="Arial" w:hAnsi="Arial" w:cs="Arial"/>
                <w:sz w:val="20"/>
                <w:szCs w:val="20"/>
                <w:lang w:val="nl-BE"/>
              </w:rPr>
              <w:t xml:space="preserve">, </w:t>
            </w:r>
            <w:r w:rsidR="00A13865" w:rsidRPr="004E0F2B">
              <w:rPr>
                <w:rFonts w:ascii="Arial" w:hAnsi="Arial" w:cs="Arial"/>
                <w:sz w:val="20"/>
                <w:szCs w:val="20"/>
                <w:lang w:val="en-GB"/>
              </w:rPr>
              <w:t>EU projects (i.e.</w:t>
            </w:r>
            <w:r w:rsidR="00A13865" w:rsidRPr="004E0F2B">
              <w:rPr>
                <w:rFonts w:ascii="Arial" w:hAnsi="Arial" w:cs="Arial"/>
                <w:i/>
                <w:sz w:val="20"/>
                <w:szCs w:val="20"/>
                <w:lang w:val="en-GB"/>
              </w:rPr>
              <w:t xml:space="preserve"> </w:t>
            </w:r>
            <w:r w:rsidR="00A13865" w:rsidRPr="004E0F2B">
              <w:rPr>
                <w:rFonts w:ascii="Arial" w:hAnsi="Arial" w:cs="Arial"/>
                <w:sz w:val="20"/>
                <w:szCs w:val="20"/>
                <w:lang w:val="en-GB"/>
              </w:rPr>
              <w:t>RO-BG CBC Program</w:t>
            </w:r>
            <w:r w:rsidR="00A13865" w:rsidRPr="004E0F2B">
              <w:rPr>
                <w:rFonts w:ascii="Arial" w:hAnsi="Arial" w:cs="Arial"/>
                <w:i/>
                <w:sz w:val="20"/>
                <w:szCs w:val="20"/>
                <w:lang w:val="en-GB"/>
              </w:rPr>
              <w:t xml:space="preserve">, </w:t>
            </w:r>
            <w:r w:rsidR="00A13865" w:rsidRPr="004E0F2B">
              <w:rPr>
                <w:rFonts w:ascii="Arial" w:hAnsi="Arial" w:cs="Arial"/>
                <w:sz w:val="20"/>
                <w:szCs w:val="20"/>
                <w:lang w:val="en-GB"/>
              </w:rPr>
              <w:t>Horizon 2020 Program)</w:t>
            </w:r>
          </w:p>
        </w:tc>
      </w:tr>
      <w:tr w:rsidR="005D3832" w:rsidRPr="004E0F2B" w14:paraId="72313B1F" w14:textId="77777777" w:rsidTr="00C5013A">
        <w:tc>
          <w:tcPr>
            <w:tcW w:w="2376" w:type="dxa"/>
            <w:shd w:val="clear" w:color="auto" w:fill="auto"/>
          </w:tcPr>
          <w:p w14:paraId="558E6557" w14:textId="4E99EFE4" w:rsidR="005D3832" w:rsidRPr="004E0F2B" w:rsidRDefault="005D3832" w:rsidP="00E41209">
            <w:pPr>
              <w:spacing w:before="60" w:after="60" w:line="240" w:lineRule="auto"/>
              <w:rPr>
                <w:rFonts w:ascii="Arial" w:hAnsi="Arial" w:cs="Arial"/>
                <w:b/>
                <w:sz w:val="20"/>
                <w:szCs w:val="20"/>
                <w:lang w:val="en-GB"/>
              </w:rPr>
            </w:pPr>
            <w:r w:rsidRPr="004E0F2B">
              <w:rPr>
                <w:rFonts w:ascii="Arial" w:hAnsi="Arial" w:cs="Arial"/>
                <w:b/>
                <w:sz w:val="20"/>
                <w:szCs w:val="20"/>
                <w:lang w:val="en-GB"/>
              </w:rPr>
              <w:t>Planning of implementation</w:t>
            </w:r>
            <w:r w:rsidR="00A353AB">
              <w:rPr>
                <w:rFonts w:ascii="Arial" w:hAnsi="Arial" w:cs="Arial"/>
                <w:b/>
                <w:sz w:val="20"/>
                <w:szCs w:val="20"/>
                <w:lang w:val="en-GB"/>
              </w:rPr>
              <w:t>/temporal coverage</w:t>
            </w:r>
          </w:p>
        </w:tc>
        <w:tc>
          <w:tcPr>
            <w:tcW w:w="7371" w:type="dxa"/>
            <w:gridSpan w:val="2"/>
            <w:shd w:val="clear" w:color="auto" w:fill="auto"/>
            <w:vAlign w:val="center"/>
          </w:tcPr>
          <w:p w14:paraId="52D28B27" w14:textId="112CA2C4" w:rsidR="00583D8D" w:rsidRPr="004E0F2B" w:rsidRDefault="00A13865" w:rsidP="00C5013A">
            <w:pPr>
              <w:spacing w:before="60" w:after="60" w:line="240" w:lineRule="auto"/>
              <w:rPr>
                <w:rFonts w:ascii="Arial" w:hAnsi="Arial" w:cs="Arial"/>
                <w:b/>
                <w:sz w:val="20"/>
                <w:szCs w:val="20"/>
                <w:lang w:val="bg-BG"/>
              </w:rPr>
            </w:pPr>
            <w:r w:rsidRPr="004E0F2B">
              <w:rPr>
                <w:rFonts w:ascii="Arial" w:hAnsi="Arial" w:cs="Arial"/>
                <w:b/>
                <w:sz w:val="20"/>
                <w:szCs w:val="20"/>
                <w:lang w:val="bg-BG"/>
              </w:rPr>
              <w:t>2017</w:t>
            </w:r>
          </w:p>
        </w:tc>
      </w:tr>
      <w:tr w:rsidR="00AE6ACD" w:rsidRPr="004E0F2B" w14:paraId="3953EBE2" w14:textId="77777777" w:rsidTr="009D45F8">
        <w:tc>
          <w:tcPr>
            <w:tcW w:w="2376" w:type="dxa"/>
            <w:shd w:val="clear" w:color="auto" w:fill="auto"/>
          </w:tcPr>
          <w:p w14:paraId="65B5F9F0" w14:textId="77777777" w:rsidR="00AE6ACD" w:rsidRPr="004E0F2B" w:rsidRDefault="00AE6ACD" w:rsidP="00E41209">
            <w:pPr>
              <w:spacing w:before="60" w:after="60" w:line="240" w:lineRule="auto"/>
              <w:rPr>
                <w:rFonts w:ascii="Arial" w:hAnsi="Arial" w:cs="Arial"/>
                <w:b/>
                <w:sz w:val="20"/>
                <w:szCs w:val="20"/>
                <w:lang w:val="en-GB"/>
              </w:rPr>
            </w:pPr>
            <w:r w:rsidRPr="004E0F2B">
              <w:rPr>
                <w:rFonts w:ascii="Arial" w:hAnsi="Arial" w:cs="Arial"/>
                <w:b/>
                <w:sz w:val="20"/>
                <w:szCs w:val="20"/>
                <w:lang w:val="en-GB"/>
              </w:rPr>
              <w:t>Difficulties in implementation</w:t>
            </w:r>
          </w:p>
        </w:tc>
        <w:tc>
          <w:tcPr>
            <w:tcW w:w="7371" w:type="dxa"/>
            <w:gridSpan w:val="2"/>
            <w:shd w:val="clear" w:color="auto" w:fill="auto"/>
          </w:tcPr>
          <w:p w14:paraId="114258C3" w14:textId="5FBB4099" w:rsidR="00AE6ACD" w:rsidRPr="004E0F2B" w:rsidRDefault="00A13865" w:rsidP="00E41209">
            <w:pPr>
              <w:spacing w:before="60" w:after="60" w:line="240" w:lineRule="auto"/>
              <w:rPr>
                <w:rFonts w:ascii="Arial" w:hAnsi="Arial" w:cs="Arial"/>
                <w:sz w:val="20"/>
                <w:szCs w:val="20"/>
                <w:lang w:val="en-GB"/>
              </w:rPr>
            </w:pPr>
            <w:r w:rsidRPr="004E0F2B">
              <w:rPr>
                <w:rFonts w:ascii="Arial" w:hAnsi="Arial" w:cs="Arial"/>
                <w:sz w:val="20"/>
                <w:szCs w:val="20"/>
                <w:lang w:val="en-GB"/>
              </w:rPr>
              <w:t>Yes – lack of knowledge</w:t>
            </w:r>
            <w:r w:rsidR="00AE6ACD" w:rsidRPr="004E0F2B">
              <w:rPr>
                <w:rFonts w:ascii="Arial" w:hAnsi="Arial" w:cs="Arial"/>
                <w:sz w:val="20"/>
                <w:szCs w:val="20"/>
                <w:lang w:val="en-GB"/>
              </w:rPr>
              <w:t xml:space="preserve"> </w:t>
            </w:r>
          </w:p>
        </w:tc>
      </w:tr>
      <w:tr w:rsidR="005D3832" w:rsidRPr="004E0F2B" w14:paraId="3779646E" w14:textId="77777777" w:rsidTr="00583D8D">
        <w:tc>
          <w:tcPr>
            <w:tcW w:w="9747" w:type="dxa"/>
            <w:gridSpan w:val="3"/>
            <w:shd w:val="clear" w:color="auto" w:fill="auto"/>
          </w:tcPr>
          <w:p w14:paraId="638D1C09" w14:textId="77777777" w:rsidR="005D3832" w:rsidRPr="004E0F2B" w:rsidRDefault="005D3832" w:rsidP="00E41209">
            <w:pPr>
              <w:spacing w:before="60" w:after="60" w:line="240" w:lineRule="auto"/>
              <w:rPr>
                <w:rFonts w:ascii="Arial" w:hAnsi="Arial" w:cs="Arial"/>
                <w:b/>
                <w:i/>
                <w:sz w:val="20"/>
                <w:szCs w:val="20"/>
                <w:lang w:val="en-GB"/>
              </w:rPr>
            </w:pPr>
            <w:r w:rsidRPr="004E0F2B">
              <w:rPr>
                <w:rFonts w:ascii="Arial" w:hAnsi="Arial" w:cs="Arial"/>
                <w:b/>
                <w:i/>
                <w:sz w:val="20"/>
                <w:szCs w:val="20"/>
                <w:lang w:val="en-GB"/>
              </w:rPr>
              <w:t>Supporting information for SEA</w:t>
            </w:r>
          </w:p>
        </w:tc>
      </w:tr>
      <w:tr w:rsidR="005D3832" w:rsidRPr="0023317E" w14:paraId="5C18358B" w14:textId="77777777" w:rsidTr="00583D8D">
        <w:tc>
          <w:tcPr>
            <w:tcW w:w="2376" w:type="dxa"/>
            <w:shd w:val="clear" w:color="auto" w:fill="auto"/>
          </w:tcPr>
          <w:p w14:paraId="470E9DA9" w14:textId="77777777" w:rsidR="005D3832" w:rsidRPr="004E0F2B" w:rsidRDefault="005D3832" w:rsidP="00E41209">
            <w:pPr>
              <w:spacing w:before="60" w:after="60" w:line="240" w:lineRule="auto"/>
              <w:rPr>
                <w:rFonts w:ascii="Arial" w:hAnsi="Arial" w:cs="Arial"/>
                <w:b/>
                <w:sz w:val="20"/>
                <w:szCs w:val="20"/>
                <w:lang w:val="en-GB"/>
              </w:rPr>
            </w:pPr>
            <w:r w:rsidRPr="004E0F2B">
              <w:rPr>
                <w:rFonts w:ascii="Arial" w:hAnsi="Arial" w:cs="Arial"/>
                <w:b/>
                <w:sz w:val="20"/>
                <w:szCs w:val="20"/>
                <w:lang w:val="en-GB"/>
              </w:rPr>
              <w:t>Additional values for protection (outside MSFD)</w:t>
            </w:r>
          </w:p>
        </w:tc>
        <w:tc>
          <w:tcPr>
            <w:tcW w:w="7371" w:type="dxa"/>
            <w:gridSpan w:val="2"/>
            <w:shd w:val="clear" w:color="auto" w:fill="auto"/>
          </w:tcPr>
          <w:p w14:paraId="16C34419" w14:textId="2DAA234C" w:rsidR="005D3832" w:rsidRPr="004E0F2B" w:rsidRDefault="005D3832" w:rsidP="00AE6ACD">
            <w:pPr>
              <w:pStyle w:val="Lijstalinea"/>
              <w:spacing w:after="0" w:line="240" w:lineRule="auto"/>
              <w:ind w:left="0"/>
              <w:contextualSpacing w:val="0"/>
              <w:rPr>
                <w:rFonts w:ascii="Arial" w:hAnsi="Arial" w:cs="Arial"/>
                <w:sz w:val="20"/>
                <w:szCs w:val="20"/>
                <w:lang w:val="en-GB"/>
              </w:rPr>
            </w:pPr>
          </w:p>
        </w:tc>
      </w:tr>
      <w:tr w:rsidR="005D3832" w:rsidRPr="004E0F2B" w14:paraId="10415CF3" w14:textId="77777777" w:rsidTr="00583D8D">
        <w:tc>
          <w:tcPr>
            <w:tcW w:w="2376" w:type="dxa"/>
            <w:shd w:val="clear" w:color="auto" w:fill="auto"/>
          </w:tcPr>
          <w:p w14:paraId="27CAF3C2" w14:textId="77777777" w:rsidR="005D3832" w:rsidRPr="004E0F2B" w:rsidRDefault="005D3832" w:rsidP="00E41209">
            <w:pPr>
              <w:spacing w:before="60" w:after="60" w:line="240" w:lineRule="auto"/>
              <w:rPr>
                <w:rFonts w:ascii="Arial" w:hAnsi="Arial" w:cs="Arial"/>
                <w:b/>
                <w:sz w:val="20"/>
                <w:szCs w:val="20"/>
                <w:lang w:val="en-GB"/>
              </w:rPr>
            </w:pPr>
            <w:r w:rsidRPr="004E0F2B">
              <w:rPr>
                <w:rFonts w:ascii="Arial" w:hAnsi="Arial" w:cs="Arial"/>
                <w:b/>
                <w:sz w:val="20"/>
                <w:szCs w:val="20"/>
                <w:lang w:val="en-GB"/>
              </w:rPr>
              <w:t>Reasonable alternatives</w:t>
            </w:r>
          </w:p>
        </w:tc>
        <w:tc>
          <w:tcPr>
            <w:tcW w:w="7371" w:type="dxa"/>
            <w:gridSpan w:val="2"/>
            <w:shd w:val="clear" w:color="auto" w:fill="auto"/>
          </w:tcPr>
          <w:p w14:paraId="2FF62049" w14:textId="7318DBCB" w:rsidR="005D3832" w:rsidRPr="004E0F2B" w:rsidRDefault="005D3832" w:rsidP="00E41209">
            <w:pPr>
              <w:spacing w:before="120"/>
              <w:rPr>
                <w:rFonts w:ascii="Arial" w:hAnsi="Arial" w:cs="Arial"/>
                <w:sz w:val="20"/>
                <w:szCs w:val="20"/>
                <w:lang w:val="en-GB"/>
              </w:rPr>
            </w:pPr>
          </w:p>
        </w:tc>
      </w:tr>
    </w:tbl>
    <w:p w14:paraId="3697943E" w14:textId="77777777" w:rsidR="005D3832" w:rsidRPr="004E0F2B" w:rsidRDefault="005D3832" w:rsidP="005D3832">
      <w:pPr>
        <w:rPr>
          <w:rFonts w:ascii="Arial" w:hAnsi="Arial" w:cs="Arial"/>
          <w:sz w:val="20"/>
          <w:szCs w:val="20"/>
          <w:lang w:val="en-GB"/>
        </w:rPr>
      </w:pPr>
    </w:p>
    <w:sectPr w:rsidR="005D3832" w:rsidRPr="004E0F2B" w:rsidSect="004A1522">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3F6E4" w14:textId="77777777" w:rsidR="009A2444" w:rsidRDefault="009A2444" w:rsidP="000F1AFE">
      <w:pPr>
        <w:spacing w:after="0" w:line="240" w:lineRule="auto"/>
      </w:pPr>
      <w:r>
        <w:separator/>
      </w:r>
    </w:p>
  </w:endnote>
  <w:endnote w:type="continuationSeparator" w:id="0">
    <w:p w14:paraId="288CE670" w14:textId="77777777" w:rsidR="009A2444" w:rsidRDefault="009A2444" w:rsidP="000F1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E8DE3" w14:textId="77777777" w:rsidR="009A2444" w:rsidRDefault="009A2444" w:rsidP="000F1AFE">
      <w:pPr>
        <w:spacing w:after="0" w:line="240" w:lineRule="auto"/>
      </w:pPr>
      <w:r>
        <w:separator/>
      </w:r>
    </w:p>
  </w:footnote>
  <w:footnote w:type="continuationSeparator" w:id="0">
    <w:p w14:paraId="3CA40FE0" w14:textId="77777777" w:rsidR="009A2444" w:rsidRDefault="009A2444" w:rsidP="000F1A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D38FC"/>
    <w:multiLevelType w:val="hybridMultilevel"/>
    <w:tmpl w:val="3D9E4BAA"/>
    <w:lvl w:ilvl="0" w:tplc="B216A458">
      <w:start w:val="3"/>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6387B"/>
    <w:multiLevelType w:val="hybridMultilevel"/>
    <w:tmpl w:val="7526B1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0279D"/>
    <w:multiLevelType w:val="hybridMultilevel"/>
    <w:tmpl w:val="2F484FA4"/>
    <w:lvl w:ilvl="0" w:tplc="CDD4E816">
      <w:numFmt w:val="bullet"/>
      <w:lvlText w:val="-"/>
      <w:lvlJc w:val="left"/>
      <w:pPr>
        <w:ind w:left="360" w:hanging="360"/>
      </w:pPr>
      <w:rPr>
        <w:rFonts w:ascii="Arial" w:eastAsia="Calibr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36C2D0B"/>
    <w:multiLevelType w:val="hybridMultilevel"/>
    <w:tmpl w:val="546E5A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AE0967"/>
    <w:multiLevelType w:val="hybridMultilevel"/>
    <w:tmpl w:val="1D860102"/>
    <w:lvl w:ilvl="0" w:tplc="1EE0DAC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3A14D0"/>
    <w:multiLevelType w:val="hybridMultilevel"/>
    <w:tmpl w:val="432A33CA"/>
    <w:lvl w:ilvl="0" w:tplc="14D0BCC6">
      <w:start w:val="7"/>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C566E1"/>
    <w:multiLevelType w:val="hybridMultilevel"/>
    <w:tmpl w:val="209087E0"/>
    <w:lvl w:ilvl="0" w:tplc="C00AC97C">
      <w:start w:val="2"/>
      <w:numFmt w:val="bullet"/>
      <w:lvlText w:val="-"/>
      <w:lvlJc w:val="left"/>
      <w:pPr>
        <w:ind w:left="720" w:hanging="360"/>
      </w:pPr>
      <w:rPr>
        <w:rFonts w:ascii="Arial" w:eastAsia="MS Mincho"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456E6095"/>
    <w:multiLevelType w:val="hybridMultilevel"/>
    <w:tmpl w:val="FD1A8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450844"/>
    <w:multiLevelType w:val="hybridMultilevel"/>
    <w:tmpl w:val="A8487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6D5524"/>
    <w:multiLevelType w:val="hybridMultilevel"/>
    <w:tmpl w:val="1FB853AE"/>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0" w15:restartNumberingAfterBreak="0">
    <w:nsid w:val="53785CF3"/>
    <w:multiLevelType w:val="hybridMultilevel"/>
    <w:tmpl w:val="2DD84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7E74DB"/>
    <w:multiLevelType w:val="hybridMultilevel"/>
    <w:tmpl w:val="A224C94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2EB1487"/>
    <w:multiLevelType w:val="hybridMultilevel"/>
    <w:tmpl w:val="7F009FD8"/>
    <w:lvl w:ilvl="0" w:tplc="14D0BCC6">
      <w:start w:val="7"/>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B892E48"/>
    <w:multiLevelType w:val="hybridMultilevel"/>
    <w:tmpl w:val="8E001802"/>
    <w:lvl w:ilvl="0" w:tplc="14D0BCC6">
      <w:start w:val="7"/>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10"/>
  </w:num>
  <w:num w:numId="5">
    <w:abstractNumId w:val="7"/>
  </w:num>
  <w:num w:numId="6">
    <w:abstractNumId w:val="12"/>
  </w:num>
  <w:num w:numId="7">
    <w:abstractNumId w:val="9"/>
  </w:num>
  <w:num w:numId="8">
    <w:abstractNumId w:val="5"/>
  </w:num>
  <w:num w:numId="9">
    <w:abstractNumId w:val="13"/>
  </w:num>
  <w:num w:numId="10">
    <w:abstractNumId w:val="11"/>
  </w:num>
  <w:num w:numId="11">
    <w:abstractNumId w:val="3"/>
  </w:num>
  <w:num w:numId="12">
    <w:abstractNumId w:val="6"/>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34E"/>
    <w:rsid w:val="00001895"/>
    <w:rsid w:val="0001038D"/>
    <w:rsid w:val="00010EB8"/>
    <w:rsid w:val="00014249"/>
    <w:rsid w:val="000175F0"/>
    <w:rsid w:val="000406CF"/>
    <w:rsid w:val="0004092E"/>
    <w:rsid w:val="0004295D"/>
    <w:rsid w:val="00047DD6"/>
    <w:rsid w:val="00052448"/>
    <w:rsid w:val="00052584"/>
    <w:rsid w:val="00054FC6"/>
    <w:rsid w:val="00056915"/>
    <w:rsid w:val="00061B05"/>
    <w:rsid w:val="000628E0"/>
    <w:rsid w:val="000667E5"/>
    <w:rsid w:val="000670F4"/>
    <w:rsid w:val="00067DDE"/>
    <w:rsid w:val="00077B71"/>
    <w:rsid w:val="0008048F"/>
    <w:rsid w:val="00084912"/>
    <w:rsid w:val="00087DE7"/>
    <w:rsid w:val="00090BA0"/>
    <w:rsid w:val="00091E7D"/>
    <w:rsid w:val="00091F1D"/>
    <w:rsid w:val="00092F4A"/>
    <w:rsid w:val="000934DE"/>
    <w:rsid w:val="00094332"/>
    <w:rsid w:val="0009460E"/>
    <w:rsid w:val="0009487F"/>
    <w:rsid w:val="00096F73"/>
    <w:rsid w:val="000A5794"/>
    <w:rsid w:val="000A6B33"/>
    <w:rsid w:val="000B1117"/>
    <w:rsid w:val="000B113E"/>
    <w:rsid w:val="000B1AED"/>
    <w:rsid w:val="000B2AEB"/>
    <w:rsid w:val="000B68A6"/>
    <w:rsid w:val="000B78C2"/>
    <w:rsid w:val="000B7A39"/>
    <w:rsid w:val="000C0FED"/>
    <w:rsid w:val="000C323B"/>
    <w:rsid w:val="000C3C7F"/>
    <w:rsid w:val="000C66A9"/>
    <w:rsid w:val="000C6EF5"/>
    <w:rsid w:val="000D1BFB"/>
    <w:rsid w:val="000D2616"/>
    <w:rsid w:val="000E0B59"/>
    <w:rsid w:val="000E2E08"/>
    <w:rsid w:val="000E31D3"/>
    <w:rsid w:val="000E4052"/>
    <w:rsid w:val="000E5A55"/>
    <w:rsid w:val="000F1125"/>
    <w:rsid w:val="000F1AFE"/>
    <w:rsid w:val="000F29A0"/>
    <w:rsid w:val="000F679D"/>
    <w:rsid w:val="000F7684"/>
    <w:rsid w:val="00100B8E"/>
    <w:rsid w:val="001032EA"/>
    <w:rsid w:val="0010440B"/>
    <w:rsid w:val="00113400"/>
    <w:rsid w:val="001152E4"/>
    <w:rsid w:val="001160B9"/>
    <w:rsid w:val="00127705"/>
    <w:rsid w:val="0013003B"/>
    <w:rsid w:val="001317F0"/>
    <w:rsid w:val="00132BB9"/>
    <w:rsid w:val="00133472"/>
    <w:rsid w:val="00140454"/>
    <w:rsid w:val="0014247B"/>
    <w:rsid w:val="001439DD"/>
    <w:rsid w:val="001444C8"/>
    <w:rsid w:val="00145EF7"/>
    <w:rsid w:val="00146742"/>
    <w:rsid w:val="0014759F"/>
    <w:rsid w:val="00151889"/>
    <w:rsid w:val="00152329"/>
    <w:rsid w:val="001561EF"/>
    <w:rsid w:val="00161ED5"/>
    <w:rsid w:val="00162CFD"/>
    <w:rsid w:val="001630EE"/>
    <w:rsid w:val="001644CF"/>
    <w:rsid w:val="00164812"/>
    <w:rsid w:val="00165AF0"/>
    <w:rsid w:val="001705D6"/>
    <w:rsid w:val="00170CD8"/>
    <w:rsid w:val="001711C6"/>
    <w:rsid w:val="00171A4C"/>
    <w:rsid w:val="001730E2"/>
    <w:rsid w:val="0017379B"/>
    <w:rsid w:val="00173F94"/>
    <w:rsid w:val="00175D7B"/>
    <w:rsid w:val="00177B83"/>
    <w:rsid w:val="0018607B"/>
    <w:rsid w:val="00186246"/>
    <w:rsid w:val="001872C2"/>
    <w:rsid w:val="00191AA9"/>
    <w:rsid w:val="00194BF1"/>
    <w:rsid w:val="00194C40"/>
    <w:rsid w:val="001A3774"/>
    <w:rsid w:val="001A3C04"/>
    <w:rsid w:val="001B0CD8"/>
    <w:rsid w:val="001B2A80"/>
    <w:rsid w:val="001B589E"/>
    <w:rsid w:val="001B5C63"/>
    <w:rsid w:val="001B6039"/>
    <w:rsid w:val="001B694C"/>
    <w:rsid w:val="001B7B14"/>
    <w:rsid w:val="001C06B4"/>
    <w:rsid w:val="001C0E78"/>
    <w:rsid w:val="001C390E"/>
    <w:rsid w:val="001C4E7C"/>
    <w:rsid w:val="001C5D1F"/>
    <w:rsid w:val="001D2777"/>
    <w:rsid w:val="001D63A1"/>
    <w:rsid w:val="001D65EE"/>
    <w:rsid w:val="001D730F"/>
    <w:rsid w:val="001D7DBD"/>
    <w:rsid w:val="001E3167"/>
    <w:rsid w:val="001E5E06"/>
    <w:rsid w:val="001E7639"/>
    <w:rsid w:val="001F008F"/>
    <w:rsid w:val="001F2F96"/>
    <w:rsid w:val="001F6166"/>
    <w:rsid w:val="001F62EE"/>
    <w:rsid w:val="001F7A69"/>
    <w:rsid w:val="00204EF0"/>
    <w:rsid w:val="00206CC9"/>
    <w:rsid w:val="002101F3"/>
    <w:rsid w:val="00212289"/>
    <w:rsid w:val="00212A6E"/>
    <w:rsid w:val="00216F98"/>
    <w:rsid w:val="00220454"/>
    <w:rsid w:val="002223DF"/>
    <w:rsid w:val="002224C9"/>
    <w:rsid w:val="00224022"/>
    <w:rsid w:val="002241F8"/>
    <w:rsid w:val="002308EB"/>
    <w:rsid w:val="0023317E"/>
    <w:rsid w:val="002337DF"/>
    <w:rsid w:val="00234F80"/>
    <w:rsid w:val="00235AA4"/>
    <w:rsid w:val="002429A7"/>
    <w:rsid w:val="00242CB1"/>
    <w:rsid w:val="00243342"/>
    <w:rsid w:val="00245DEF"/>
    <w:rsid w:val="002472FB"/>
    <w:rsid w:val="00247FA7"/>
    <w:rsid w:val="00250B4A"/>
    <w:rsid w:val="00252C83"/>
    <w:rsid w:val="00260166"/>
    <w:rsid w:val="00260EE6"/>
    <w:rsid w:val="00264112"/>
    <w:rsid w:val="0026494B"/>
    <w:rsid w:val="00265692"/>
    <w:rsid w:val="00265726"/>
    <w:rsid w:val="002721F7"/>
    <w:rsid w:val="002826E3"/>
    <w:rsid w:val="002826FC"/>
    <w:rsid w:val="002867B5"/>
    <w:rsid w:val="0028680F"/>
    <w:rsid w:val="00287492"/>
    <w:rsid w:val="00290B2E"/>
    <w:rsid w:val="002930EF"/>
    <w:rsid w:val="002946A3"/>
    <w:rsid w:val="00297E12"/>
    <w:rsid w:val="002A7569"/>
    <w:rsid w:val="002A75EF"/>
    <w:rsid w:val="002A7D0A"/>
    <w:rsid w:val="002B02BF"/>
    <w:rsid w:val="002B2792"/>
    <w:rsid w:val="002B3E36"/>
    <w:rsid w:val="002B42A0"/>
    <w:rsid w:val="002B43D2"/>
    <w:rsid w:val="002B5A01"/>
    <w:rsid w:val="002C0FAB"/>
    <w:rsid w:val="002C12E5"/>
    <w:rsid w:val="002D11E4"/>
    <w:rsid w:val="002D174F"/>
    <w:rsid w:val="002D3AC5"/>
    <w:rsid w:val="002D490C"/>
    <w:rsid w:val="002D5519"/>
    <w:rsid w:val="002D5C96"/>
    <w:rsid w:val="002E3665"/>
    <w:rsid w:val="002E3844"/>
    <w:rsid w:val="002E4AC2"/>
    <w:rsid w:val="002E683C"/>
    <w:rsid w:val="002E6F8B"/>
    <w:rsid w:val="002F0887"/>
    <w:rsid w:val="002F1D56"/>
    <w:rsid w:val="002F20AC"/>
    <w:rsid w:val="002F46D7"/>
    <w:rsid w:val="00301E1A"/>
    <w:rsid w:val="00303184"/>
    <w:rsid w:val="00303BD6"/>
    <w:rsid w:val="00305EC7"/>
    <w:rsid w:val="00306801"/>
    <w:rsid w:val="00306F22"/>
    <w:rsid w:val="00310C9A"/>
    <w:rsid w:val="00316A74"/>
    <w:rsid w:val="00316CB9"/>
    <w:rsid w:val="00320258"/>
    <w:rsid w:val="00320DE0"/>
    <w:rsid w:val="00322690"/>
    <w:rsid w:val="00323602"/>
    <w:rsid w:val="00333310"/>
    <w:rsid w:val="00335114"/>
    <w:rsid w:val="003373B8"/>
    <w:rsid w:val="003436AA"/>
    <w:rsid w:val="00346BA5"/>
    <w:rsid w:val="00346F80"/>
    <w:rsid w:val="0035158A"/>
    <w:rsid w:val="00351D5E"/>
    <w:rsid w:val="00356276"/>
    <w:rsid w:val="0036182D"/>
    <w:rsid w:val="00367024"/>
    <w:rsid w:val="00367174"/>
    <w:rsid w:val="003673C3"/>
    <w:rsid w:val="0037025F"/>
    <w:rsid w:val="0037221E"/>
    <w:rsid w:val="00375A6D"/>
    <w:rsid w:val="00381731"/>
    <w:rsid w:val="00387904"/>
    <w:rsid w:val="00390CAA"/>
    <w:rsid w:val="00390FE2"/>
    <w:rsid w:val="003975EF"/>
    <w:rsid w:val="0039783F"/>
    <w:rsid w:val="003A057C"/>
    <w:rsid w:val="003A20FE"/>
    <w:rsid w:val="003A46C0"/>
    <w:rsid w:val="003A5F68"/>
    <w:rsid w:val="003A695C"/>
    <w:rsid w:val="003A73C5"/>
    <w:rsid w:val="003B0C05"/>
    <w:rsid w:val="003B3FA1"/>
    <w:rsid w:val="003C0318"/>
    <w:rsid w:val="003C3D18"/>
    <w:rsid w:val="003C7A1A"/>
    <w:rsid w:val="003D06FD"/>
    <w:rsid w:val="003D20CD"/>
    <w:rsid w:val="003D3F70"/>
    <w:rsid w:val="003D6616"/>
    <w:rsid w:val="003D6899"/>
    <w:rsid w:val="003D6F35"/>
    <w:rsid w:val="003D789A"/>
    <w:rsid w:val="003E139C"/>
    <w:rsid w:val="003E33D2"/>
    <w:rsid w:val="003E6546"/>
    <w:rsid w:val="003E6CC7"/>
    <w:rsid w:val="003F3E9C"/>
    <w:rsid w:val="003F4EC9"/>
    <w:rsid w:val="003F4F94"/>
    <w:rsid w:val="003F5518"/>
    <w:rsid w:val="003F5F36"/>
    <w:rsid w:val="003F62BD"/>
    <w:rsid w:val="003F773F"/>
    <w:rsid w:val="004009F8"/>
    <w:rsid w:val="00406887"/>
    <w:rsid w:val="00407F5B"/>
    <w:rsid w:val="0041476A"/>
    <w:rsid w:val="00416815"/>
    <w:rsid w:val="004172B7"/>
    <w:rsid w:val="00422BCF"/>
    <w:rsid w:val="0042570F"/>
    <w:rsid w:val="0043116D"/>
    <w:rsid w:val="00436B30"/>
    <w:rsid w:val="004433AC"/>
    <w:rsid w:val="00444BD8"/>
    <w:rsid w:val="00446120"/>
    <w:rsid w:val="0044729F"/>
    <w:rsid w:val="004472CB"/>
    <w:rsid w:val="004570E5"/>
    <w:rsid w:val="00457190"/>
    <w:rsid w:val="00457A19"/>
    <w:rsid w:val="00467B87"/>
    <w:rsid w:val="00473667"/>
    <w:rsid w:val="00473F86"/>
    <w:rsid w:val="00474682"/>
    <w:rsid w:val="0047784F"/>
    <w:rsid w:val="0048230A"/>
    <w:rsid w:val="00483F1F"/>
    <w:rsid w:val="00491998"/>
    <w:rsid w:val="004919B0"/>
    <w:rsid w:val="00495037"/>
    <w:rsid w:val="004A0337"/>
    <w:rsid w:val="004A1522"/>
    <w:rsid w:val="004B29D2"/>
    <w:rsid w:val="004B2B0F"/>
    <w:rsid w:val="004B3C91"/>
    <w:rsid w:val="004B6CB6"/>
    <w:rsid w:val="004C0C29"/>
    <w:rsid w:val="004C3616"/>
    <w:rsid w:val="004C536D"/>
    <w:rsid w:val="004D3AE8"/>
    <w:rsid w:val="004D621C"/>
    <w:rsid w:val="004E0F2B"/>
    <w:rsid w:val="004E1200"/>
    <w:rsid w:val="004E1BB3"/>
    <w:rsid w:val="004E1DE7"/>
    <w:rsid w:val="004E3E2D"/>
    <w:rsid w:val="004E4169"/>
    <w:rsid w:val="004E6790"/>
    <w:rsid w:val="004E6D9D"/>
    <w:rsid w:val="004F1B7B"/>
    <w:rsid w:val="00502D3F"/>
    <w:rsid w:val="00504C98"/>
    <w:rsid w:val="00514BBD"/>
    <w:rsid w:val="005155ED"/>
    <w:rsid w:val="00523F54"/>
    <w:rsid w:val="00525BC2"/>
    <w:rsid w:val="00527711"/>
    <w:rsid w:val="00527CB9"/>
    <w:rsid w:val="00545E80"/>
    <w:rsid w:val="00551404"/>
    <w:rsid w:val="005558FC"/>
    <w:rsid w:val="00560531"/>
    <w:rsid w:val="00560DA0"/>
    <w:rsid w:val="00561C6F"/>
    <w:rsid w:val="00576643"/>
    <w:rsid w:val="00577ED9"/>
    <w:rsid w:val="00583D8D"/>
    <w:rsid w:val="00584474"/>
    <w:rsid w:val="005844F9"/>
    <w:rsid w:val="005855A3"/>
    <w:rsid w:val="005860B5"/>
    <w:rsid w:val="00587E8F"/>
    <w:rsid w:val="00594FA3"/>
    <w:rsid w:val="005976F7"/>
    <w:rsid w:val="005A044F"/>
    <w:rsid w:val="005A2955"/>
    <w:rsid w:val="005A30AE"/>
    <w:rsid w:val="005A3D1D"/>
    <w:rsid w:val="005A465C"/>
    <w:rsid w:val="005B04B7"/>
    <w:rsid w:val="005B2279"/>
    <w:rsid w:val="005B385A"/>
    <w:rsid w:val="005B728C"/>
    <w:rsid w:val="005B7941"/>
    <w:rsid w:val="005C55AE"/>
    <w:rsid w:val="005C7FFD"/>
    <w:rsid w:val="005D048F"/>
    <w:rsid w:val="005D2263"/>
    <w:rsid w:val="005D3832"/>
    <w:rsid w:val="005E2FA0"/>
    <w:rsid w:val="005E6FCE"/>
    <w:rsid w:val="005E7153"/>
    <w:rsid w:val="005F027D"/>
    <w:rsid w:val="005F08F0"/>
    <w:rsid w:val="005F3D76"/>
    <w:rsid w:val="005F51CE"/>
    <w:rsid w:val="005F6D03"/>
    <w:rsid w:val="006001D9"/>
    <w:rsid w:val="00601489"/>
    <w:rsid w:val="00603017"/>
    <w:rsid w:val="00610F36"/>
    <w:rsid w:val="0061166F"/>
    <w:rsid w:val="0061506E"/>
    <w:rsid w:val="006161D3"/>
    <w:rsid w:val="0062076D"/>
    <w:rsid w:val="00623E82"/>
    <w:rsid w:val="00624241"/>
    <w:rsid w:val="006252EA"/>
    <w:rsid w:val="00627658"/>
    <w:rsid w:val="00634549"/>
    <w:rsid w:val="006350A9"/>
    <w:rsid w:val="00635799"/>
    <w:rsid w:val="00635C2A"/>
    <w:rsid w:val="006371C1"/>
    <w:rsid w:val="006420D9"/>
    <w:rsid w:val="0064381E"/>
    <w:rsid w:val="0065119B"/>
    <w:rsid w:val="006528C0"/>
    <w:rsid w:val="006541E8"/>
    <w:rsid w:val="00654DD8"/>
    <w:rsid w:val="00656745"/>
    <w:rsid w:val="0066262D"/>
    <w:rsid w:val="00663774"/>
    <w:rsid w:val="00663CE9"/>
    <w:rsid w:val="00663E1D"/>
    <w:rsid w:val="006670B8"/>
    <w:rsid w:val="00672E77"/>
    <w:rsid w:val="00677FB9"/>
    <w:rsid w:val="0068238C"/>
    <w:rsid w:val="006838F1"/>
    <w:rsid w:val="00686511"/>
    <w:rsid w:val="00687FA0"/>
    <w:rsid w:val="006911C3"/>
    <w:rsid w:val="00691F48"/>
    <w:rsid w:val="0069221D"/>
    <w:rsid w:val="006968C0"/>
    <w:rsid w:val="006975A0"/>
    <w:rsid w:val="006B1300"/>
    <w:rsid w:val="006B4BCC"/>
    <w:rsid w:val="006B5124"/>
    <w:rsid w:val="006C059B"/>
    <w:rsid w:val="006C33B6"/>
    <w:rsid w:val="006C5C89"/>
    <w:rsid w:val="006D379F"/>
    <w:rsid w:val="006D4D5C"/>
    <w:rsid w:val="006E02A6"/>
    <w:rsid w:val="006E3C7E"/>
    <w:rsid w:val="006E56FC"/>
    <w:rsid w:val="006E5FC3"/>
    <w:rsid w:val="006E6D04"/>
    <w:rsid w:val="006F1570"/>
    <w:rsid w:val="006F1A8A"/>
    <w:rsid w:val="006F349E"/>
    <w:rsid w:val="006F4905"/>
    <w:rsid w:val="006F57E6"/>
    <w:rsid w:val="006F6173"/>
    <w:rsid w:val="006F6781"/>
    <w:rsid w:val="006F746F"/>
    <w:rsid w:val="006F7A55"/>
    <w:rsid w:val="00700646"/>
    <w:rsid w:val="007018E6"/>
    <w:rsid w:val="00703BC3"/>
    <w:rsid w:val="00704364"/>
    <w:rsid w:val="00706E2D"/>
    <w:rsid w:val="00710118"/>
    <w:rsid w:val="007117EB"/>
    <w:rsid w:val="007146AF"/>
    <w:rsid w:val="0071772A"/>
    <w:rsid w:val="00720833"/>
    <w:rsid w:val="00721A91"/>
    <w:rsid w:val="00723749"/>
    <w:rsid w:val="00723AF5"/>
    <w:rsid w:val="00730BC3"/>
    <w:rsid w:val="00732D32"/>
    <w:rsid w:val="00734E9B"/>
    <w:rsid w:val="00736CFA"/>
    <w:rsid w:val="007422F2"/>
    <w:rsid w:val="007424AA"/>
    <w:rsid w:val="00743154"/>
    <w:rsid w:val="00744B19"/>
    <w:rsid w:val="00744CCA"/>
    <w:rsid w:val="00746B1B"/>
    <w:rsid w:val="0075242A"/>
    <w:rsid w:val="007525E9"/>
    <w:rsid w:val="0075501F"/>
    <w:rsid w:val="0076271D"/>
    <w:rsid w:val="00765FB5"/>
    <w:rsid w:val="00770E25"/>
    <w:rsid w:val="00774434"/>
    <w:rsid w:val="00776D99"/>
    <w:rsid w:val="007825DE"/>
    <w:rsid w:val="00782DFE"/>
    <w:rsid w:val="0078374B"/>
    <w:rsid w:val="00786889"/>
    <w:rsid w:val="00786A39"/>
    <w:rsid w:val="007902D3"/>
    <w:rsid w:val="00790A0B"/>
    <w:rsid w:val="007912EF"/>
    <w:rsid w:val="00792470"/>
    <w:rsid w:val="00793990"/>
    <w:rsid w:val="00793CD6"/>
    <w:rsid w:val="0079624A"/>
    <w:rsid w:val="007A2F1F"/>
    <w:rsid w:val="007A5033"/>
    <w:rsid w:val="007A6084"/>
    <w:rsid w:val="007B132D"/>
    <w:rsid w:val="007B27F6"/>
    <w:rsid w:val="007B29BD"/>
    <w:rsid w:val="007B58DD"/>
    <w:rsid w:val="007B7E19"/>
    <w:rsid w:val="007C0C69"/>
    <w:rsid w:val="007C168E"/>
    <w:rsid w:val="007C2459"/>
    <w:rsid w:val="007C263F"/>
    <w:rsid w:val="007C6937"/>
    <w:rsid w:val="007D1CC0"/>
    <w:rsid w:val="007D3294"/>
    <w:rsid w:val="007D35E2"/>
    <w:rsid w:val="007D7E02"/>
    <w:rsid w:val="007E3175"/>
    <w:rsid w:val="007E3F3D"/>
    <w:rsid w:val="007E65C1"/>
    <w:rsid w:val="007F1F1C"/>
    <w:rsid w:val="007F4E83"/>
    <w:rsid w:val="007F6F58"/>
    <w:rsid w:val="00800197"/>
    <w:rsid w:val="00800E45"/>
    <w:rsid w:val="008048A2"/>
    <w:rsid w:val="00805903"/>
    <w:rsid w:val="00812B1F"/>
    <w:rsid w:val="00812F51"/>
    <w:rsid w:val="0081440B"/>
    <w:rsid w:val="008172A1"/>
    <w:rsid w:val="00821562"/>
    <w:rsid w:val="00822FA9"/>
    <w:rsid w:val="0082414F"/>
    <w:rsid w:val="00825EA1"/>
    <w:rsid w:val="00827E7B"/>
    <w:rsid w:val="0083020C"/>
    <w:rsid w:val="00832FC4"/>
    <w:rsid w:val="00836529"/>
    <w:rsid w:val="00846093"/>
    <w:rsid w:val="00860AC5"/>
    <w:rsid w:val="00860B26"/>
    <w:rsid w:val="00864E91"/>
    <w:rsid w:val="0087437C"/>
    <w:rsid w:val="00876F35"/>
    <w:rsid w:val="008811BD"/>
    <w:rsid w:val="00881BB4"/>
    <w:rsid w:val="008826DF"/>
    <w:rsid w:val="00884705"/>
    <w:rsid w:val="00885FE6"/>
    <w:rsid w:val="00886EC0"/>
    <w:rsid w:val="00890AF0"/>
    <w:rsid w:val="008A2446"/>
    <w:rsid w:val="008A4131"/>
    <w:rsid w:val="008A501C"/>
    <w:rsid w:val="008B05CB"/>
    <w:rsid w:val="008B22A5"/>
    <w:rsid w:val="008B3674"/>
    <w:rsid w:val="008B5C33"/>
    <w:rsid w:val="008B6EA3"/>
    <w:rsid w:val="008C0B00"/>
    <w:rsid w:val="008C1A47"/>
    <w:rsid w:val="008C4674"/>
    <w:rsid w:val="008C63FB"/>
    <w:rsid w:val="008C7A06"/>
    <w:rsid w:val="008C7F6E"/>
    <w:rsid w:val="008D102E"/>
    <w:rsid w:val="008D1929"/>
    <w:rsid w:val="008D422D"/>
    <w:rsid w:val="008D49BA"/>
    <w:rsid w:val="008D6039"/>
    <w:rsid w:val="008E1496"/>
    <w:rsid w:val="008E2522"/>
    <w:rsid w:val="008E2798"/>
    <w:rsid w:val="008E460E"/>
    <w:rsid w:val="008E69C8"/>
    <w:rsid w:val="008F05EA"/>
    <w:rsid w:val="008F3BD3"/>
    <w:rsid w:val="008F5164"/>
    <w:rsid w:val="008F531E"/>
    <w:rsid w:val="008F7210"/>
    <w:rsid w:val="00902E46"/>
    <w:rsid w:val="00903218"/>
    <w:rsid w:val="0092369E"/>
    <w:rsid w:val="00924D2B"/>
    <w:rsid w:val="00925610"/>
    <w:rsid w:val="009310FC"/>
    <w:rsid w:val="00936608"/>
    <w:rsid w:val="00936C55"/>
    <w:rsid w:val="009371A3"/>
    <w:rsid w:val="00937F1F"/>
    <w:rsid w:val="00941274"/>
    <w:rsid w:val="0094172B"/>
    <w:rsid w:val="00943EA3"/>
    <w:rsid w:val="009443BB"/>
    <w:rsid w:val="00944BDC"/>
    <w:rsid w:val="009450D2"/>
    <w:rsid w:val="009460A3"/>
    <w:rsid w:val="00947F5C"/>
    <w:rsid w:val="00950843"/>
    <w:rsid w:val="00956298"/>
    <w:rsid w:val="00956970"/>
    <w:rsid w:val="00957F0D"/>
    <w:rsid w:val="00964EDF"/>
    <w:rsid w:val="00965C24"/>
    <w:rsid w:val="009667CB"/>
    <w:rsid w:val="00966897"/>
    <w:rsid w:val="009700B6"/>
    <w:rsid w:val="00971BA2"/>
    <w:rsid w:val="00972017"/>
    <w:rsid w:val="00974B46"/>
    <w:rsid w:val="00977106"/>
    <w:rsid w:val="0097722A"/>
    <w:rsid w:val="009807EE"/>
    <w:rsid w:val="00983516"/>
    <w:rsid w:val="00983B06"/>
    <w:rsid w:val="0098557B"/>
    <w:rsid w:val="00985A1C"/>
    <w:rsid w:val="009900C4"/>
    <w:rsid w:val="00990ADE"/>
    <w:rsid w:val="0099615E"/>
    <w:rsid w:val="009A2444"/>
    <w:rsid w:val="009A29D0"/>
    <w:rsid w:val="009A550D"/>
    <w:rsid w:val="009B088A"/>
    <w:rsid w:val="009B751B"/>
    <w:rsid w:val="009B7925"/>
    <w:rsid w:val="009C12D1"/>
    <w:rsid w:val="009C1A59"/>
    <w:rsid w:val="009C7A47"/>
    <w:rsid w:val="009C7BA8"/>
    <w:rsid w:val="009D2093"/>
    <w:rsid w:val="009D3496"/>
    <w:rsid w:val="009D44C6"/>
    <w:rsid w:val="009D45F8"/>
    <w:rsid w:val="009E1EED"/>
    <w:rsid w:val="009E3BD6"/>
    <w:rsid w:val="009F2430"/>
    <w:rsid w:val="009F3DAA"/>
    <w:rsid w:val="009F64BD"/>
    <w:rsid w:val="00A01053"/>
    <w:rsid w:val="00A01A8D"/>
    <w:rsid w:val="00A01EEB"/>
    <w:rsid w:val="00A126CF"/>
    <w:rsid w:val="00A13865"/>
    <w:rsid w:val="00A1401B"/>
    <w:rsid w:val="00A150D7"/>
    <w:rsid w:val="00A162F4"/>
    <w:rsid w:val="00A16340"/>
    <w:rsid w:val="00A17509"/>
    <w:rsid w:val="00A21E3C"/>
    <w:rsid w:val="00A227C0"/>
    <w:rsid w:val="00A251E9"/>
    <w:rsid w:val="00A266D2"/>
    <w:rsid w:val="00A312B9"/>
    <w:rsid w:val="00A31F3A"/>
    <w:rsid w:val="00A33905"/>
    <w:rsid w:val="00A353AB"/>
    <w:rsid w:val="00A42BB7"/>
    <w:rsid w:val="00A431EC"/>
    <w:rsid w:val="00A47C88"/>
    <w:rsid w:val="00A52574"/>
    <w:rsid w:val="00A54A0E"/>
    <w:rsid w:val="00A61FDD"/>
    <w:rsid w:val="00A6239B"/>
    <w:rsid w:val="00A62737"/>
    <w:rsid w:val="00A654B8"/>
    <w:rsid w:val="00A656F0"/>
    <w:rsid w:val="00A72CE4"/>
    <w:rsid w:val="00A77FF8"/>
    <w:rsid w:val="00A850D1"/>
    <w:rsid w:val="00A90D72"/>
    <w:rsid w:val="00A91AB4"/>
    <w:rsid w:val="00A97215"/>
    <w:rsid w:val="00AA19EC"/>
    <w:rsid w:val="00AA46DA"/>
    <w:rsid w:val="00AA6C4F"/>
    <w:rsid w:val="00AB089B"/>
    <w:rsid w:val="00AB152C"/>
    <w:rsid w:val="00AB6320"/>
    <w:rsid w:val="00AB77EC"/>
    <w:rsid w:val="00AC24FC"/>
    <w:rsid w:val="00AC6A79"/>
    <w:rsid w:val="00AD1EBA"/>
    <w:rsid w:val="00AE0763"/>
    <w:rsid w:val="00AE6ACD"/>
    <w:rsid w:val="00AE6EF1"/>
    <w:rsid w:val="00AF017F"/>
    <w:rsid w:val="00AF1E4F"/>
    <w:rsid w:val="00AF2277"/>
    <w:rsid w:val="00AF411B"/>
    <w:rsid w:val="00AF66BF"/>
    <w:rsid w:val="00B020CE"/>
    <w:rsid w:val="00B06551"/>
    <w:rsid w:val="00B07856"/>
    <w:rsid w:val="00B134F3"/>
    <w:rsid w:val="00B15430"/>
    <w:rsid w:val="00B1731E"/>
    <w:rsid w:val="00B22558"/>
    <w:rsid w:val="00B24394"/>
    <w:rsid w:val="00B277F5"/>
    <w:rsid w:val="00B35B1D"/>
    <w:rsid w:val="00B375B4"/>
    <w:rsid w:val="00B37CC6"/>
    <w:rsid w:val="00B46620"/>
    <w:rsid w:val="00B51777"/>
    <w:rsid w:val="00B51C17"/>
    <w:rsid w:val="00B524D5"/>
    <w:rsid w:val="00B538FB"/>
    <w:rsid w:val="00B540AC"/>
    <w:rsid w:val="00B54B30"/>
    <w:rsid w:val="00B557EE"/>
    <w:rsid w:val="00B55B78"/>
    <w:rsid w:val="00B55C03"/>
    <w:rsid w:val="00B571EA"/>
    <w:rsid w:val="00B60648"/>
    <w:rsid w:val="00B60A57"/>
    <w:rsid w:val="00B61405"/>
    <w:rsid w:val="00B61A90"/>
    <w:rsid w:val="00B62C38"/>
    <w:rsid w:val="00B645BC"/>
    <w:rsid w:val="00B71D22"/>
    <w:rsid w:val="00B72F4B"/>
    <w:rsid w:val="00B74F95"/>
    <w:rsid w:val="00B84182"/>
    <w:rsid w:val="00B863C4"/>
    <w:rsid w:val="00B905CF"/>
    <w:rsid w:val="00B9111A"/>
    <w:rsid w:val="00B9148A"/>
    <w:rsid w:val="00B91AD4"/>
    <w:rsid w:val="00B93A0D"/>
    <w:rsid w:val="00B93B21"/>
    <w:rsid w:val="00B968E5"/>
    <w:rsid w:val="00B97AD7"/>
    <w:rsid w:val="00BA14B6"/>
    <w:rsid w:val="00BA1AFE"/>
    <w:rsid w:val="00BA310A"/>
    <w:rsid w:val="00BB29F7"/>
    <w:rsid w:val="00BB3FFC"/>
    <w:rsid w:val="00BB65E6"/>
    <w:rsid w:val="00BC26A0"/>
    <w:rsid w:val="00BC47B9"/>
    <w:rsid w:val="00BC6361"/>
    <w:rsid w:val="00BC7F23"/>
    <w:rsid w:val="00BD005F"/>
    <w:rsid w:val="00BD19F3"/>
    <w:rsid w:val="00BD3730"/>
    <w:rsid w:val="00BD49A0"/>
    <w:rsid w:val="00BD71E8"/>
    <w:rsid w:val="00BE2F25"/>
    <w:rsid w:val="00BE32D9"/>
    <w:rsid w:val="00BE7C09"/>
    <w:rsid w:val="00BF4518"/>
    <w:rsid w:val="00BF6BD1"/>
    <w:rsid w:val="00C039EB"/>
    <w:rsid w:val="00C04A93"/>
    <w:rsid w:val="00C05665"/>
    <w:rsid w:val="00C15AC2"/>
    <w:rsid w:val="00C22415"/>
    <w:rsid w:val="00C2499C"/>
    <w:rsid w:val="00C32321"/>
    <w:rsid w:val="00C35569"/>
    <w:rsid w:val="00C363D9"/>
    <w:rsid w:val="00C366A7"/>
    <w:rsid w:val="00C37589"/>
    <w:rsid w:val="00C404EF"/>
    <w:rsid w:val="00C41E75"/>
    <w:rsid w:val="00C45EBE"/>
    <w:rsid w:val="00C461FA"/>
    <w:rsid w:val="00C4727E"/>
    <w:rsid w:val="00C5013A"/>
    <w:rsid w:val="00C504CC"/>
    <w:rsid w:val="00C508FF"/>
    <w:rsid w:val="00C53AEA"/>
    <w:rsid w:val="00C552D2"/>
    <w:rsid w:val="00C55D05"/>
    <w:rsid w:val="00C60274"/>
    <w:rsid w:val="00C6298F"/>
    <w:rsid w:val="00C64E5D"/>
    <w:rsid w:val="00C66617"/>
    <w:rsid w:val="00C71FD5"/>
    <w:rsid w:val="00C72556"/>
    <w:rsid w:val="00C72DE7"/>
    <w:rsid w:val="00C72F66"/>
    <w:rsid w:val="00C74344"/>
    <w:rsid w:val="00C746FB"/>
    <w:rsid w:val="00C811BA"/>
    <w:rsid w:val="00C84180"/>
    <w:rsid w:val="00C91942"/>
    <w:rsid w:val="00C956A2"/>
    <w:rsid w:val="00CA4AF4"/>
    <w:rsid w:val="00CB1096"/>
    <w:rsid w:val="00CB62B8"/>
    <w:rsid w:val="00CC037A"/>
    <w:rsid w:val="00CC25FC"/>
    <w:rsid w:val="00CC444E"/>
    <w:rsid w:val="00CC4D45"/>
    <w:rsid w:val="00CD049C"/>
    <w:rsid w:val="00CD37A7"/>
    <w:rsid w:val="00CD3E6D"/>
    <w:rsid w:val="00CD4DBB"/>
    <w:rsid w:val="00CE353C"/>
    <w:rsid w:val="00CE4C5D"/>
    <w:rsid w:val="00CE5DE7"/>
    <w:rsid w:val="00CF2B4B"/>
    <w:rsid w:val="00CF31AF"/>
    <w:rsid w:val="00CF4718"/>
    <w:rsid w:val="00CF5816"/>
    <w:rsid w:val="00CF5E20"/>
    <w:rsid w:val="00CF6655"/>
    <w:rsid w:val="00CF6E8E"/>
    <w:rsid w:val="00D006A1"/>
    <w:rsid w:val="00D00BE3"/>
    <w:rsid w:val="00D029E6"/>
    <w:rsid w:val="00D03AFD"/>
    <w:rsid w:val="00D04A6A"/>
    <w:rsid w:val="00D063AF"/>
    <w:rsid w:val="00D10DA6"/>
    <w:rsid w:val="00D14B80"/>
    <w:rsid w:val="00D1584C"/>
    <w:rsid w:val="00D20BB2"/>
    <w:rsid w:val="00D21193"/>
    <w:rsid w:val="00D22227"/>
    <w:rsid w:val="00D23C1A"/>
    <w:rsid w:val="00D23C52"/>
    <w:rsid w:val="00D23CEE"/>
    <w:rsid w:val="00D26BF7"/>
    <w:rsid w:val="00D27615"/>
    <w:rsid w:val="00D2797F"/>
    <w:rsid w:val="00D3070B"/>
    <w:rsid w:val="00D30980"/>
    <w:rsid w:val="00D3407D"/>
    <w:rsid w:val="00D34741"/>
    <w:rsid w:val="00D34C00"/>
    <w:rsid w:val="00D35C19"/>
    <w:rsid w:val="00D364E2"/>
    <w:rsid w:val="00D37C8F"/>
    <w:rsid w:val="00D42B1F"/>
    <w:rsid w:val="00D4336B"/>
    <w:rsid w:val="00D45CB3"/>
    <w:rsid w:val="00D54A98"/>
    <w:rsid w:val="00D54DBB"/>
    <w:rsid w:val="00D55D97"/>
    <w:rsid w:val="00D56D64"/>
    <w:rsid w:val="00D57542"/>
    <w:rsid w:val="00D61425"/>
    <w:rsid w:val="00D639B0"/>
    <w:rsid w:val="00D647E2"/>
    <w:rsid w:val="00D65DFD"/>
    <w:rsid w:val="00D67874"/>
    <w:rsid w:val="00D67C26"/>
    <w:rsid w:val="00D70C16"/>
    <w:rsid w:val="00D71697"/>
    <w:rsid w:val="00D750B5"/>
    <w:rsid w:val="00D8328D"/>
    <w:rsid w:val="00D853DA"/>
    <w:rsid w:val="00D86889"/>
    <w:rsid w:val="00D90CB4"/>
    <w:rsid w:val="00D926BF"/>
    <w:rsid w:val="00D96810"/>
    <w:rsid w:val="00D96D77"/>
    <w:rsid w:val="00D9720E"/>
    <w:rsid w:val="00D97554"/>
    <w:rsid w:val="00DA3BED"/>
    <w:rsid w:val="00DA6306"/>
    <w:rsid w:val="00DA69F3"/>
    <w:rsid w:val="00DA7721"/>
    <w:rsid w:val="00DB2A21"/>
    <w:rsid w:val="00DB2F95"/>
    <w:rsid w:val="00DB41E3"/>
    <w:rsid w:val="00DB4891"/>
    <w:rsid w:val="00DC1AA5"/>
    <w:rsid w:val="00DC2589"/>
    <w:rsid w:val="00DC2A0C"/>
    <w:rsid w:val="00DC45BA"/>
    <w:rsid w:val="00DC6982"/>
    <w:rsid w:val="00DD202B"/>
    <w:rsid w:val="00DD5877"/>
    <w:rsid w:val="00DD674C"/>
    <w:rsid w:val="00DD6E93"/>
    <w:rsid w:val="00DE1BB1"/>
    <w:rsid w:val="00DE55BD"/>
    <w:rsid w:val="00DE55F9"/>
    <w:rsid w:val="00DE7CF7"/>
    <w:rsid w:val="00DF3398"/>
    <w:rsid w:val="00DF3AFE"/>
    <w:rsid w:val="00DF6A9C"/>
    <w:rsid w:val="00E01E76"/>
    <w:rsid w:val="00E04D16"/>
    <w:rsid w:val="00E05FA8"/>
    <w:rsid w:val="00E12F1C"/>
    <w:rsid w:val="00E14374"/>
    <w:rsid w:val="00E14844"/>
    <w:rsid w:val="00E30D44"/>
    <w:rsid w:val="00E317AC"/>
    <w:rsid w:val="00E32201"/>
    <w:rsid w:val="00E33FBA"/>
    <w:rsid w:val="00E350CF"/>
    <w:rsid w:val="00E352F1"/>
    <w:rsid w:val="00E47E60"/>
    <w:rsid w:val="00E50173"/>
    <w:rsid w:val="00E51D70"/>
    <w:rsid w:val="00E53872"/>
    <w:rsid w:val="00E55085"/>
    <w:rsid w:val="00E55299"/>
    <w:rsid w:val="00E64C7C"/>
    <w:rsid w:val="00E67560"/>
    <w:rsid w:val="00E7047F"/>
    <w:rsid w:val="00E73FA2"/>
    <w:rsid w:val="00E756D7"/>
    <w:rsid w:val="00E762AC"/>
    <w:rsid w:val="00E76B83"/>
    <w:rsid w:val="00E7790C"/>
    <w:rsid w:val="00E83607"/>
    <w:rsid w:val="00E838B8"/>
    <w:rsid w:val="00E87D8C"/>
    <w:rsid w:val="00E94721"/>
    <w:rsid w:val="00E953F1"/>
    <w:rsid w:val="00E97047"/>
    <w:rsid w:val="00EA016D"/>
    <w:rsid w:val="00EA2FBE"/>
    <w:rsid w:val="00EA3689"/>
    <w:rsid w:val="00EA467A"/>
    <w:rsid w:val="00EA511C"/>
    <w:rsid w:val="00EA562A"/>
    <w:rsid w:val="00EA5FF2"/>
    <w:rsid w:val="00EA78F6"/>
    <w:rsid w:val="00EC035A"/>
    <w:rsid w:val="00EC0577"/>
    <w:rsid w:val="00EC1817"/>
    <w:rsid w:val="00EC499A"/>
    <w:rsid w:val="00EC6621"/>
    <w:rsid w:val="00ED3B34"/>
    <w:rsid w:val="00ED43F1"/>
    <w:rsid w:val="00ED477D"/>
    <w:rsid w:val="00EE23EC"/>
    <w:rsid w:val="00EE3EEC"/>
    <w:rsid w:val="00EE4258"/>
    <w:rsid w:val="00EE5244"/>
    <w:rsid w:val="00EE5D90"/>
    <w:rsid w:val="00EE7A70"/>
    <w:rsid w:val="00EF37B8"/>
    <w:rsid w:val="00EF434E"/>
    <w:rsid w:val="00EF72BD"/>
    <w:rsid w:val="00F035A8"/>
    <w:rsid w:val="00F0361B"/>
    <w:rsid w:val="00F0445A"/>
    <w:rsid w:val="00F12420"/>
    <w:rsid w:val="00F13BC5"/>
    <w:rsid w:val="00F166AC"/>
    <w:rsid w:val="00F208ED"/>
    <w:rsid w:val="00F22A00"/>
    <w:rsid w:val="00F246DD"/>
    <w:rsid w:val="00F25A3B"/>
    <w:rsid w:val="00F2727B"/>
    <w:rsid w:val="00F36FC2"/>
    <w:rsid w:val="00F4549D"/>
    <w:rsid w:val="00F45C5E"/>
    <w:rsid w:val="00F47247"/>
    <w:rsid w:val="00F51FB1"/>
    <w:rsid w:val="00F5299E"/>
    <w:rsid w:val="00F60845"/>
    <w:rsid w:val="00F609EA"/>
    <w:rsid w:val="00F62316"/>
    <w:rsid w:val="00F66F7A"/>
    <w:rsid w:val="00F7061C"/>
    <w:rsid w:val="00F7653F"/>
    <w:rsid w:val="00F76D0F"/>
    <w:rsid w:val="00F8078A"/>
    <w:rsid w:val="00F83DDA"/>
    <w:rsid w:val="00F85EC5"/>
    <w:rsid w:val="00F9070C"/>
    <w:rsid w:val="00F908D3"/>
    <w:rsid w:val="00F91526"/>
    <w:rsid w:val="00F960A4"/>
    <w:rsid w:val="00FA0C44"/>
    <w:rsid w:val="00FA1EEA"/>
    <w:rsid w:val="00FA4E3E"/>
    <w:rsid w:val="00FA56F5"/>
    <w:rsid w:val="00FA6031"/>
    <w:rsid w:val="00FA61F6"/>
    <w:rsid w:val="00FA70C6"/>
    <w:rsid w:val="00FB1C94"/>
    <w:rsid w:val="00FB3472"/>
    <w:rsid w:val="00FB37F6"/>
    <w:rsid w:val="00FB57FD"/>
    <w:rsid w:val="00FC0D18"/>
    <w:rsid w:val="00FC2055"/>
    <w:rsid w:val="00FC2D14"/>
    <w:rsid w:val="00FC40EF"/>
    <w:rsid w:val="00FC4746"/>
    <w:rsid w:val="00FC55E9"/>
    <w:rsid w:val="00FC652F"/>
    <w:rsid w:val="00FC6954"/>
    <w:rsid w:val="00FC7AAC"/>
    <w:rsid w:val="00FD0D8E"/>
    <w:rsid w:val="00FD1BC4"/>
    <w:rsid w:val="00FD44E8"/>
    <w:rsid w:val="00FD4683"/>
    <w:rsid w:val="00FD5D77"/>
    <w:rsid w:val="00FD7264"/>
    <w:rsid w:val="00FD7BB8"/>
    <w:rsid w:val="00FE4283"/>
    <w:rsid w:val="00FE70BA"/>
    <w:rsid w:val="00FF089F"/>
    <w:rsid w:val="00FF2B6F"/>
    <w:rsid w:val="00FF4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FE8AB"/>
  <w15:docId w15:val="{6EC86BD1-6DED-4073-9F54-B9E545F1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0F1AFE"/>
    <w:pPr>
      <w:keepNext/>
      <w:keepLines/>
      <w:spacing w:before="480" w:after="0"/>
      <w:outlineLvl w:val="0"/>
    </w:pPr>
    <w:rPr>
      <w:rFonts w:asciiTheme="majorHAnsi" w:eastAsiaTheme="majorEastAsia" w:hAnsiTheme="majorHAnsi" w:cstheme="majorBidi"/>
      <w:b/>
      <w:bCs/>
      <w:color w:val="365F91" w:themeColor="accent1" w:themeShade="BF"/>
      <w:sz w:val="28"/>
      <w:szCs w:val="28"/>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Heading 2_sj,List Paragraph1,Listenabsatz1"/>
    <w:basedOn w:val="Standaard"/>
    <w:link w:val="LijstalineaChar"/>
    <w:uiPriority w:val="34"/>
    <w:qFormat/>
    <w:rsid w:val="00F0361B"/>
    <w:pPr>
      <w:ind w:left="720"/>
      <w:contextualSpacing/>
    </w:pPr>
  </w:style>
  <w:style w:type="character" w:styleId="Hyperlink">
    <w:name w:val="Hyperlink"/>
    <w:basedOn w:val="Standaardalinea-lettertype"/>
    <w:uiPriority w:val="99"/>
    <w:unhideWhenUsed/>
    <w:rsid w:val="005D3832"/>
    <w:rPr>
      <w:color w:val="0000FF" w:themeColor="hyperlink"/>
      <w:u w:val="single"/>
    </w:rPr>
  </w:style>
  <w:style w:type="paragraph" w:styleId="Voetnoottekst">
    <w:name w:val="footnote text"/>
    <w:aliases w:val="M Footnotes"/>
    <w:basedOn w:val="Standaard"/>
    <w:link w:val="VoetnoottekstChar"/>
    <w:uiPriority w:val="99"/>
    <w:unhideWhenUsed/>
    <w:qFormat/>
    <w:rsid w:val="005D3832"/>
    <w:pPr>
      <w:spacing w:after="0" w:line="240" w:lineRule="auto"/>
    </w:pPr>
    <w:rPr>
      <w:rFonts w:ascii="Calibri" w:eastAsia="Calibri" w:hAnsi="Calibri" w:cs="Times New Roman"/>
      <w:sz w:val="20"/>
      <w:szCs w:val="20"/>
      <w:lang w:val="de-DE"/>
    </w:rPr>
  </w:style>
  <w:style w:type="character" w:customStyle="1" w:styleId="VoetnoottekstChar">
    <w:name w:val="Voetnoottekst Char"/>
    <w:aliases w:val="M Footnotes Char"/>
    <w:basedOn w:val="Standaardalinea-lettertype"/>
    <w:link w:val="Voetnoottekst"/>
    <w:uiPriority w:val="99"/>
    <w:rsid w:val="005D3832"/>
    <w:rPr>
      <w:rFonts w:ascii="Calibri" w:eastAsia="Calibri" w:hAnsi="Calibri" w:cs="Times New Roman"/>
      <w:sz w:val="20"/>
      <w:szCs w:val="20"/>
      <w:lang w:val="de-DE"/>
    </w:rPr>
  </w:style>
  <w:style w:type="paragraph" w:customStyle="1" w:styleId="Tablecontents">
    <w:name w:val="Table contents"/>
    <w:basedOn w:val="Standaard"/>
    <w:uiPriority w:val="99"/>
    <w:qFormat/>
    <w:rsid w:val="000F1AFE"/>
    <w:pPr>
      <w:spacing w:before="60" w:after="60" w:line="240" w:lineRule="auto"/>
      <w:jc w:val="both"/>
    </w:pPr>
    <w:rPr>
      <w:rFonts w:ascii="Calibri" w:eastAsia="Times New Roman" w:hAnsi="Calibri" w:cs="Times New Roman"/>
      <w:sz w:val="18"/>
      <w:lang w:val="en-GB"/>
    </w:rPr>
  </w:style>
  <w:style w:type="character" w:styleId="Voetnootmarkering">
    <w:name w:val="footnote reference"/>
    <w:aliases w:val="SUPERS,stylish,BVI fnr,Footnote symbol,Footnote Refernece,callout,16 Point,Superscript 6 Point,Odwołanie przypisu,Footnote Reference Number,Footnote Reference Superscript,Times 10 Point,Exposant 3 Point,Ref,de nota al pie,FR, BVI fnr"/>
    <w:uiPriority w:val="99"/>
    <w:unhideWhenUsed/>
    <w:qFormat/>
    <w:rsid w:val="000F1AFE"/>
    <w:rPr>
      <w:vertAlign w:val="superscript"/>
    </w:rPr>
  </w:style>
  <w:style w:type="paragraph" w:customStyle="1" w:styleId="Tableheader">
    <w:name w:val="Table header"/>
    <w:basedOn w:val="Tablecontents"/>
    <w:uiPriority w:val="99"/>
    <w:qFormat/>
    <w:rsid w:val="000F1AFE"/>
    <w:rPr>
      <w:b/>
      <w:sz w:val="22"/>
    </w:rPr>
  </w:style>
  <w:style w:type="character" w:customStyle="1" w:styleId="Kop1Char">
    <w:name w:val="Kop 1 Char"/>
    <w:basedOn w:val="Standaardalinea-lettertype"/>
    <w:link w:val="Kop1"/>
    <w:uiPriority w:val="9"/>
    <w:rsid w:val="000F1AFE"/>
    <w:rPr>
      <w:rFonts w:asciiTheme="majorHAnsi" w:eastAsiaTheme="majorEastAsia" w:hAnsiTheme="majorHAnsi" w:cstheme="majorBidi"/>
      <w:b/>
      <w:bCs/>
      <w:color w:val="365F91" w:themeColor="accent1" w:themeShade="BF"/>
      <w:sz w:val="28"/>
      <w:szCs w:val="28"/>
      <w:lang w:val="de-DE"/>
    </w:rPr>
  </w:style>
  <w:style w:type="character" w:customStyle="1" w:styleId="LijstalineaChar">
    <w:name w:val="Lijstalinea Char"/>
    <w:aliases w:val="Heading 2_sj Char,List Paragraph1 Char,Listenabsatz1 Char"/>
    <w:link w:val="Lijstalinea"/>
    <w:uiPriority w:val="34"/>
    <w:locked/>
    <w:rsid w:val="000F1AFE"/>
  </w:style>
  <w:style w:type="character" w:styleId="Verwijzingopmerking">
    <w:name w:val="annotation reference"/>
    <w:basedOn w:val="Standaardalinea-lettertype"/>
    <w:uiPriority w:val="99"/>
    <w:semiHidden/>
    <w:unhideWhenUsed/>
    <w:rsid w:val="00B51C17"/>
    <w:rPr>
      <w:sz w:val="16"/>
      <w:szCs w:val="16"/>
    </w:rPr>
  </w:style>
  <w:style w:type="paragraph" w:styleId="Tekstopmerking">
    <w:name w:val="annotation text"/>
    <w:basedOn w:val="Standaard"/>
    <w:link w:val="TekstopmerkingChar"/>
    <w:uiPriority w:val="99"/>
    <w:semiHidden/>
    <w:unhideWhenUsed/>
    <w:rsid w:val="00B51C1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51C17"/>
    <w:rPr>
      <w:sz w:val="20"/>
      <w:szCs w:val="20"/>
    </w:rPr>
  </w:style>
  <w:style w:type="paragraph" w:styleId="Onderwerpvanopmerking">
    <w:name w:val="annotation subject"/>
    <w:basedOn w:val="Tekstopmerking"/>
    <w:next w:val="Tekstopmerking"/>
    <w:link w:val="OnderwerpvanopmerkingChar"/>
    <w:uiPriority w:val="99"/>
    <w:semiHidden/>
    <w:unhideWhenUsed/>
    <w:rsid w:val="00B51C17"/>
    <w:rPr>
      <w:b/>
      <w:bCs/>
    </w:rPr>
  </w:style>
  <w:style w:type="character" w:customStyle="1" w:styleId="OnderwerpvanopmerkingChar">
    <w:name w:val="Onderwerp van opmerking Char"/>
    <w:basedOn w:val="TekstopmerkingChar"/>
    <w:link w:val="Onderwerpvanopmerking"/>
    <w:uiPriority w:val="99"/>
    <w:semiHidden/>
    <w:rsid w:val="00B51C17"/>
    <w:rPr>
      <w:b/>
      <w:bCs/>
      <w:sz w:val="20"/>
      <w:szCs w:val="20"/>
    </w:rPr>
  </w:style>
  <w:style w:type="paragraph" w:styleId="Ballontekst">
    <w:name w:val="Balloon Text"/>
    <w:basedOn w:val="Standaard"/>
    <w:link w:val="BallontekstChar"/>
    <w:uiPriority w:val="99"/>
    <w:semiHidden/>
    <w:unhideWhenUsed/>
    <w:rsid w:val="00B51C1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51C17"/>
    <w:rPr>
      <w:rFonts w:ascii="Tahoma" w:hAnsi="Tahoma" w:cs="Tahoma"/>
      <w:sz w:val="16"/>
      <w:szCs w:val="16"/>
    </w:rPr>
  </w:style>
  <w:style w:type="paragraph" w:styleId="Geenafstand">
    <w:name w:val="No Spacing"/>
    <w:uiPriority w:val="1"/>
    <w:qFormat/>
    <w:rsid w:val="006420D9"/>
    <w:pPr>
      <w:spacing w:after="0" w:line="240" w:lineRule="auto"/>
    </w:pPr>
  </w:style>
  <w:style w:type="paragraph" w:styleId="Plattetekst">
    <w:name w:val="Body Text"/>
    <w:basedOn w:val="Standaard"/>
    <w:link w:val="PlattetekstChar"/>
    <w:rsid w:val="00956298"/>
    <w:pPr>
      <w:spacing w:after="120"/>
    </w:pPr>
    <w:rPr>
      <w:rFonts w:ascii="Calibri" w:eastAsia="Times New Roman" w:hAnsi="Calibri" w:cs="Arial Unicode MS"/>
      <w:lang w:val="da-DK"/>
    </w:rPr>
  </w:style>
  <w:style w:type="character" w:customStyle="1" w:styleId="PlattetekstChar">
    <w:name w:val="Platte tekst Char"/>
    <w:basedOn w:val="Standaardalinea-lettertype"/>
    <w:link w:val="Plattetekst"/>
    <w:rsid w:val="00956298"/>
    <w:rPr>
      <w:rFonts w:ascii="Calibri" w:eastAsia="Times New Roman" w:hAnsi="Calibri" w:cs="Arial Unicode MS"/>
      <w:lang w:val="da-DK"/>
    </w:rPr>
  </w:style>
  <w:style w:type="character" w:styleId="Nadruk">
    <w:name w:val="Emphasis"/>
    <w:uiPriority w:val="20"/>
    <w:qFormat/>
    <w:rsid w:val="00956298"/>
    <w:rPr>
      <w:i/>
      <w:iCs/>
    </w:rPr>
  </w:style>
  <w:style w:type="paragraph" w:customStyle="1" w:styleId="Default">
    <w:name w:val="Default"/>
    <w:rsid w:val="00691F4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3C367-8049-4206-8367-368CA9543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1786</Words>
  <Characters>10185</Characters>
  <Application>Microsoft Office Word</Application>
  <DocSecurity>0</DocSecurity>
  <Lines>84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ARCADIS Belgium</Company>
  <LinksUpToDate>false</LinksUpToDate>
  <CharactersWithSpaces>11948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mariab</dc:creator>
  <cp:lastModifiedBy>Rommens, Wouter</cp:lastModifiedBy>
  <cp:revision>3</cp:revision>
  <dcterms:created xsi:type="dcterms:W3CDTF">2015-12-16T18:35:00Z</dcterms:created>
  <dcterms:modified xsi:type="dcterms:W3CDTF">2015-12-16T20:08:00Z</dcterms:modified>
</cp:coreProperties>
</file>