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E188" w14:textId="17F7B8CC" w:rsidR="005551F0" w:rsidRPr="002605F8" w:rsidRDefault="0049591E" w:rsidP="005551F0">
      <w:pPr>
        <w:pStyle w:val="Titel"/>
        <w:spacing w:line="240" w:lineRule="auto"/>
        <w:jc w:val="both"/>
        <w:rPr>
          <w:lang w:val="en-GB"/>
        </w:rPr>
      </w:pPr>
      <w:r>
        <w:rPr>
          <w:lang w:val="en-GB"/>
        </w:rPr>
        <w:t>Methodology for</w:t>
      </w:r>
      <w:r w:rsidR="00770759" w:rsidRPr="002605F8">
        <w:rPr>
          <w:lang w:val="en-GB"/>
        </w:rPr>
        <w:t xml:space="preserve"> cost </w:t>
      </w:r>
      <w:r w:rsidR="0007687A" w:rsidRPr="002605F8">
        <w:rPr>
          <w:lang w:val="en-GB"/>
        </w:rPr>
        <w:t xml:space="preserve">and benefit </w:t>
      </w:r>
      <w:r w:rsidR="00770759" w:rsidRPr="002605F8">
        <w:rPr>
          <w:lang w:val="en-GB"/>
        </w:rPr>
        <w:t xml:space="preserve">assessment for coordinated measures </w:t>
      </w:r>
    </w:p>
    <w:p w14:paraId="1A22C894" w14:textId="77634B9B" w:rsidR="005551F0" w:rsidRPr="002605F8" w:rsidRDefault="002719D9" w:rsidP="002719D9">
      <w:pPr>
        <w:pStyle w:val="ARCADISStandaard"/>
        <w:ind w:left="0"/>
        <w:rPr>
          <w:lang w:val="en-GB"/>
        </w:rPr>
      </w:pPr>
      <w:r>
        <w:rPr>
          <w:rFonts w:cs="Arial"/>
          <w:b/>
          <w:bCs/>
          <w:i/>
          <w:color w:val="0079A2"/>
          <w:kern w:val="28"/>
          <w:sz w:val="28"/>
          <w:szCs w:val="28"/>
          <w:lang w:val="en-GB"/>
        </w:rPr>
        <w:t>F</w:t>
      </w:r>
      <w:r w:rsidRPr="002719D9">
        <w:rPr>
          <w:rFonts w:cs="Arial"/>
          <w:b/>
          <w:bCs/>
          <w:i/>
          <w:color w:val="0079A2"/>
          <w:kern w:val="28"/>
          <w:sz w:val="28"/>
          <w:szCs w:val="28"/>
          <w:lang w:val="en-GB"/>
        </w:rPr>
        <w:t>or the joint implementation of the Marine Strategy Framework Directive (MSFD) in Bulgaria and Romania – Phase 2</w:t>
      </w:r>
    </w:p>
    <w:p w14:paraId="63DF38EA" w14:textId="061C696D" w:rsidR="005C25EA" w:rsidRPr="002605F8" w:rsidRDefault="005C25EA" w:rsidP="005C25EA">
      <w:pPr>
        <w:spacing w:line="360" w:lineRule="auto"/>
        <w:ind w:left="1701"/>
        <w:jc w:val="right"/>
        <w:rPr>
          <w:lang w:val="en-GB"/>
        </w:rPr>
      </w:pPr>
      <w:r w:rsidRPr="002605F8">
        <w:rPr>
          <w:lang w:val="en-GB"/>
        </w:rPr>
        <w:t xml:space="preserve">Version </w:t>
      </w:r>
      <w:r w:rsidR="00C36815">
        <w:rPr>
          <w:lang w:val="en-GB"/>
        </w:rPr>
        <w:t>02</w:t>
      </w:r>
      <w:r w:rsidRPr="002605F8">
        <w:rPr>
          <w:lang w:val="en-GB"/>
        </w:rPr>
        <w:t>/</w:t>
      </w:r>
      <w:r w:rsidR="00845F92" w:rsidRPr="002605F8">
        <w:rPr>
          <w:lang w:val="en-GB"/>
        </w:rPr>
        <w:t>1</w:t>
      </w:r>
      <w:r w:rsidR="00C36815">
        <w:rPr>
          <w:lang w:val="en-GB"/>
        </w:rPr>
        <w:t>2</w:t>
      </w:r>
      <w:r w:rsidRPr="002605F8">
        <w:rPr>
          <w:lang w:val="en-GB"/>
        </w:rPr>
        <w:t>/2015</w:t>
      </w:r>
    </w:p>
    <w:p w14:paraId="236C9D8E" w14:textId="23A52FB1" w:rsidR="0007687A" w:rsidRPr="002605F8" w:rsidRDefault="004F354A" w:rsidP="00265A16">
      <w:pPr>
        <w:pStyle w:val="Kop1"/>
        <w:rPr>
          <w:lang w:val="en-GB"/>
        </w:rPr>
      </w:pPr>
      <w:r>
        <w:rPr>
          <w:lang w:val="en-GB"/>
        </w:rPr>
        <w:t>Introduction</w:t>
      </w:r>
    </w:p>
    <w:p w14:paraId="73909C6D" w14:textId="1A32CAB6" w:rsidR="00677009" w:rsidRDefault="00677009" w:rsidP="00677009">
      <w:pPr>
        <w:pStyle w:val="ARCADISStandaard"/>
        <w:rPr>
          <w:lang w:val="en-GB"/>
        </w:rPr>
      </w:pPr>
      <w:r w:rsidRPr="002605F8">
        <w:rPr>
          <w:lang w:val="en-GB"/>
        </w:rPr>
        <w:t>The main question to be answered in costing of potential</w:t>
      </w:r>
      <w:r w:rsidR="002719D9">
        <w:rPr>
          <w:lang w:val="en-GB"/>
        </w:rPr>
        <w:t xml:space="preserve"> Black</w:t>
      </w:r>
      <w:r w:rsidRPr="002605F8">
        <w:rPr>
          <w:lang w:val="en-GB"/>
        </w:rPr>
        <w:t xml:space="preserve"> Sea measures </w:t>
      </w:r>
      <w:r w:rsidR="004F354A">
        <w:rPr>
          <w:lang w:val="en-GB"/>
        </w:rPr>
        <w:t xml:space="preserve">- </w:t>
      </w:r>
      <w:r w:rsidRPr="002605F8">
        <w:rPr>
          <w:lang w:val="en-GB"/>
        </w:rPr>
        <w:t xml:space="preserve">as input for </w:t>
      </w:r>
      <w:r w:rsidR="004F354A">
        <w:rPr>
          <w:lang w:val="en-GB"/>
        </w:rPr>
        <w:t>the Cost-Effectiveness (</w:t>
      </w:r>
      <w:r w:rsidRPr="002605F8">
        <w:rPr>
          <w:lang w:val="en-GB"/>
        </w:rPr>
        <w:t>CEA</w:t>
      </w:r>
      <w:r w:rsidR="004F354A">
        <w:rPr>
          <w:lang w:val="en-GB"/>
        </w:rPr>
        <w:t>) and Cost-Benefit Assessment (</w:t>
      </w:r>
      <w:r w:rsidRPr="002605F8">
        <w:rPr>
          <w:lang w:val="en-GB"/>
        </w:rPr>
        <w:t>CBA</w:t>
      </w:r>
      <w:r w:rsidR="004F354A">
        <w:rPr>
          <w:lang w:val="en-GB"/>
        </w:rPr>
        <w:t>) -</w:t>
      </w:r>
      <w:r w:rsidRPr="002605F8">
        <w:rPr>
          <w:lang w:val="en-GB"/>
        </w:rPr>
        <w:t xml:space="preserve"> is how much the implementation of the given measure costs the society (in terms of public and private costs). </w:t>
      </w:r>
    </w:p>
    <w:p w14:paraId="29977751" w14:textId="77777777" w:rsidR="004F354A" w:rsidRPr="002605F8" w:rsidRDefault="004F354A" w:rsidP="00677009">
      <w:pPr>
        <w:pStyle w:val="ARCADISStandaard"/>
        <w:rPr>
          <w:lang w:val="en-GB"/>
        </w:rPr>
      </w:pPr>
    </w:p>
    <w:p w14:paraId="0DCE021A" w14:textId="77777777" w:rsidR="00677009" w:rsidRPr="002605F8" w:rsidRDefault="00677009" w:rsidP="00677009">
      <w:pPr>
        <w:pStyle w:val="ARCADISStandaard"/>
        <w:rPr>
          <w:lang w:val="en-GB"/>
        </w:rPr>
      </w:pPr>
      <w:r w:rsidRPr="002605F8">
        <w:rPr>
          <w:lang w:val="en-GB"/>
        </w:rPr>
        <w:t xml:space="preserve">In order to get insight in the different costs of measures and to assign values to it, a </w:t>
      </w:r>
      <w:r w:rsidRPr="002605F8">
        <w:rPr>
          <w:b/>
          <w:lang w:val="en-GB"/>
        </w:rPr>
        <w:t>stepwise approach</w:t>
      </w:r>
      <w:r w:rsidRPr="002605F8">
        <w:rPr>
          <w:lang w:val="en-GB"/>
        </w:rPr>
        <w:t xml:space="preserve"> has been proposed: </w:t>
      </w:r>
    </w:p>
    <w:p w14:paraId="333366B4" w14:textId="77777777" w:rsidR="00677009" w:rsidRPr="002605F8" w:rsidRDefault="00677009" w:rsidP="00677009">
      <w:pPr>
        <w:pStyle w:val="ARCADISStandaard"/>
        <w:rPr>
          <w:lang w:val="en-GB"/>
        </w:rPr>
      </w:pPr>
      <w:r w:rsidRPr="002605F8">
        <w:rPr>
          <w:lang w:val="en-GB"/>
        </w:rPr>
        <w:t>1.</w:t>
      </w:r>
      <w:r w:rsidRPr="002605F8">
        <w:rPr>
          <w:lang w:val="en-GB"/>
        </w:rPr>
        <w:tab/>
        <w:t>Defining operational actions for the measures</w:t>
      </w:r>
    </w:p>
    <w:p w14:paraId="55F7D743" w14:textId="77777777" w:rsidR="00677009" w:rsidRPr="002605F8" w:rsidRDefault="00677009" w:rsidP="00677009">
      <w:pPr>
        <w:pStyle w:val="ARCADISStandaard"/>
        <w:rPr>
          <w:lang w:val="en-GB"/>
        </w:rPr>
      </w:pPr>
      <w:r w:rsidRPr="002605F8">
        <w:rPr>
          <w:lang w:val="en-GB"/>
        </w:rPr>
        <w:t>2.</w:t>
      </w:r>
      <w:r w:rsidRPr="002605F8">
        <w:rPr>
          <w:lang w:val="en-GB"/>
        </w:rPr>
        <w:tab/>
        <w:t>Assigning cost components to measures</w:t>
      </w:r>
    </w:p>
    <w:p w14:paraId="200A174F" w14:textId="77777777" w:rsidR="00677009" w:rsidRPr="002605F8" w:rsidRDefault="00677009" w:rsidP="00677009">
      <w:pPr>
        <w:pStyle w:val="ARCADISStandaard"/>
        <w:rPr>
          <w:lang w:val="en-GB"/>
        </w:rPr>
      </w:pPr>
      <w:r w:rsidRPr="002605F8">
        <w:rPr>
          <w:lang w:val="en-GB"/>
        </w:rPr>
        <w:t>3.</w:t>
      </w:r>
      <w:r w:rsidRPr="002605F8">
        <w:rPr>
          <w:lang w:val="en-GB"/>
        </w:rPr>
        <w:tab/>
        <w:t>First rough assessment</w:t>
      </w:r>
    </w:p>
    <w:p w14:paraId="3E2CEFBE" w14:textId="77777777" w:rsidR="00677009" w:rsidRPr="002605F8" w:rsidRDefault="00677009" w:rsidP="00677009">
      <w:pPr>
        <w:pStyle w:val="ARCADISStandaard"/>
        <w:rPr>
          <w:lang w:val="en-GB"/>
        </w:rPr>
      </w:pPr>
      <w:r w:rsidRPr="002605F8">
        <w:rPr>
          <w:lang w:val="en-GB"/>
        </w:rPr>
        <w:t>4.</w:t>
      </w:r>
      <w:r w:rsidRPr="002605F8">
        <w:rPr>
          <w:lang w:val="en-GB"/>
        </w:rPr>
        <w:tab/>
        <w:t>Detailed assessment</w:t>
      </w:r>
    </w:p>
    <w:p w14:paraId="764FEEFF" w14:textId="77777777" w:rsidR="00677009" w:rsidRDefault="00677009" w:rsidP="00677009">
      <w:pPr>
        <w:pStyle w:val="ARCADISStandaard"/>
        <w:rPr>
          <w:lang w:val="en-GB"/>
        </w:rPr>
      </w:pPr>
    </w:p>
    <w:p w14:paraId="1FDF26D5" w14:textId="77777777" w:rsidR="004F354A" w:rsidRDefault="004F354A" w:rsidP="004F354A">
      <w:pPr>
        <w:pStyle w:val="ARCADISStandaard"/>
        <w:rPr>
          <w:lang w:val="en-US"/>
        </w:rPr>
      </w:pPr>
      <w:r w:rsidRPr="004F354A">
        <w:rPr>
          <w:lang w:val="en-US"/>
        </w:rPr>
        <w:t xml:space="preserve">The breakdown of the measure into operational actions (step 1) facilitates the identification of the cost components (step 2). Especially step 4, the detailed cost assessment, requires that both step 1 and 2 have been carried out to a certain level of detail, to allow this more detailed approach. </w:t>
      </w:r>
    </w:p>
    <w:p w14:paraId="02E1D3DA" w14:textId="590B9E54" w:rsidR="004F354A" w:rsidRPr="004F354A" w:rsidRDefault="004F354A" w:rsidP="004F354A">
      <w:pPr>
        <w:pStyle w:val="ARCADISStandaard"/>
        <w:rPr>
          <w:lang w:val="en-US"/>
        </w:rPr>
      </w:pPr>
      <w:r w:rsidRPr="004F354A">
        <w:rPr>
          <w:lang w:val="en-US"/>
        </w:rPr>
        <w:t xml:space="preserve">Due to a general lack of data, a full cost and benefit analysis (detailed assessment) of each individual measure will often not be feasible. Also the proposed measures under this support contract need further consideration at national and regional level (e.g. further specifications, answers to assumptions made, etc.) to be able to undertake a detailed cost-benefit assessment. The assessment presented should therefore be seen as an illustration of the CEA/CBA methodological approach, as a starting tool to </w:t>
      </w:r>
      <w:r>
        <w:rPr>
          <w:lang w:val="en-US"/>
        </w:rPr>
        <w:t xml:space="preserve">be </w:t>
      </w:r>
      <w:r w:rsidRPr="004F354A">
        <w:rPr>
          <w:lang w:val="en-US"/>
        </w:rPr>
        <w:t>use</w:t>
      </w:r>
      <w:r>
        <w:rPr>
          <w:lang w:val="en-US"/>
        </w:rPr>
        <w:t>d</w:t>
      </w:r>
      <w:r w:rsidRPr="004F354A">
        <w:rPr>
          <w:lang w:val="en-US"/>
        </w:rPr>
        <w:t xml:space="preserve"> by </w:t>
      </w:r>
      <w:r>
        <w:rPr>
          <w:lang w:val="en-US"/>
        </w:rPr>
        <w:t xml:space="preserve">Bulgaria and Romania </w:t>
      </w:r>
      <w:r w:rsidRPr="004F354A">
        <w:rPr>
          <w:lang w:val="en-US"/>
        </w:rPr>
        <w:t xml:space="preserve">in the development of their </w:t>
      </w:r>
      <w:proofErr w:type="spellStart"/>
      <w:r w:rsidRPr="004F354A">
        <w:rPr>
          <w:lang w:val="en-US"/>
        </w:rPr>
        <w:t>PoM</w:t>
      </w:r>
      <w:proofErr w:type="spellEnd"/>
      <w:r w:rsidRPr="004F354A">
        <w:rPr>
          <w:lang w:val="en-US"/>
        </w:rPr>
        <w:t>.</w:t>
      </w:r>
    </w:p>
    <w:p w14:paraId="0E378479" w14:textId="77777777" w:rsidR="004F354A" w:rsidRPr="004F354A" w:rsidRDefault="004F354A" w:rsidP="00677009">
      <w:pPr>
        <w:pStyle w:val="ARCADISStandaard"/>
        <w:rPr>
          <w:lang w:val="en-US"/>
        </w:rPr>
      </w:pPr>
    </w:p>
    <w:p w14:paraId="13235060" w14:textId="4CCF39C2" w:rsidR="004F354A" w:rsidRDefault="004F354A" w:rsidP="004F354A">
      <w:pPr>
        <w:pStyle w:val="Kop1"/>
        <w:rPr>
          <w:lang w:val="en-GB"/>
        </w:rPr>
      </w:pPr>
      <w:r>
        <w:rPr>
          <w:lang w:val="en-GB"/>
        </w:rPr>
        <w:t>Stepwise approach</w:t>
      </w:r>
    </w:p>
    <w:p w14:paraId="44E79ADF" w14:textId="43EE3F18" w:rsidR="004F354A" w:rsidRDefault="004F354A" w:rsidP="0007687A">
      <w:pPr>
        <w:pStyle w:val="Kop2"/>
        <w:rPr>
          <w:lang w:val="en-GB"/>
        </w:rPr>
      </w:pPr>
      <w:r>
        <w:rPr>
          <w:lang w:val="en-GB"/>
        </w:rPr>
        <w:t>Defining operational actions for the measures (step 1)</w:t>
      </w:r>
    </w:p>
    <w:p w14:paraId="2219A3D1" w14:textId="7F83B137" w:rsidR="00381D45" w:rsidRPr="002605F8" w:rsidRDefault="00381D45" w:rsidP="00381D45">
      <w:pPr>
        <w:pStyle w:val="OpsommingSymbool"/>
        <w:numPr>
          <w:ilvl w:val="0"/>
          <w:numId w:val="0"/>
        </w:numPr>
        <w:ind w:left="1701"/>
        <w:rPr>
          <w:lang w:val="en-GB"/>
        </w:rPr>
      </w:pPr>
      <w:r w:rsidRPr="002605F8">
        <w:rPr>
          <w:lang w:val="en-GB"/>
        </w:rPr>
        <w:t>Within the assessment for coordinated measures for the joint implementation of the MSFD, the following broad categories of measures</w:t>
      </w:r>
      <w:r w:rsidR="00FE11BE" w:rsidRPr="002605F8">
        <w:rPr>
          <w:lang w:val="en-GB"/>
        </w:rPr>
        <w:t>/operational action</w:t>
      </w:r>
      <w:r w:rsidR="002719D9">
        <w:rPr>
          <w:lang w:val="en-GB"/>
        </w:rPr>
        <w:t>s</w:t>
      </w:r>
      <w:r w:rsidRPr="002605F8">
        <w:rPr>
          <w:lang w:val="en-GB"/>
        </w:rPr>
        <w:t xml:space="preserve"> will be applied:</w:t>
      </w:r>
      <w:r w:rsidR="002719D9">
        <w:rPr>
          <w:lang w:val="en-GB"/>
        </w:rPr>
        <w:t xml:space="preserve"> </w:t>
      </w:r>
    </w:p>
    <w:p w14:paraId="4CAE58E0" w14:textId="5F167516" w:rsidR="00381D45" w:rsidRPr="002605F8" w:rsidRDefault="00381D45" w:rsidP="00381D45">
      <w:pPr>
        <w:pStyle w:val="OpsommingSymbool"/>
        <w:rPr>
          <w:lang w:val="en-GB"/>
        </w:rPr>
      </w:pPr>
      <w:r w:rsidRPr="002605F8">
        <w:rPr>
          <w:lang w:val="en-GB"/>
        </w:rPr>
        <w:t xml:space="preserve">Legal </w:t>
      </w:r>
      <w:r w:rsidR="005551F0" w:rsidRPr="002605F8">
        <w:rPr>
          <w:lang w:val="en-GB"/>
        </w:rPr>
        <w:t>(for regulator and regulated)</w:t>
      </w:r>
    </w:p>
    <w:p w14:paraId="57945BF2" w14:textId="258A86F8" w:rsidR="00381D45" w:rsidRPr="002605F8" w:rsidRDefault="00381D45" w:rsidP="00381D45">
      <w:pPr>
        <w:pStyle w:val="OpsommingSymbool"/>
        <w:rPr>
          <w:lang w:val="en-GB"/>
        </w:rPr>
      </w:pPr>
      <w:r w:rsidRPr="002605F8">
        <w:rPr>
          <w:lang w:val="en-GB"/>
        </w:rPr>
        <w:t>Institutional</w:t>
      </w:r>
    </w:p>
    <w:p w14:paraId="71983332" w14:textId="563FE33D" w:rsidR="00381D45" w:rsidRPr="002605F8" w:rsidRDefault="00381D45" w:rsidP="00381D45">
      <w:pPr>
        <w:pStyle w:val="OpsommingSymbool"/>
        <w:rPr>
          <w:lang w:val="en-GB"/>
        </w:rPr>
      </w:pPr>
      <w:r w:rsidRPr="002605F8">
        <w:rPr>
          <w:lang w:val="en-GB"/>
        </w:rPr>
        <w:t>Policy instruments (including fiscal &amp; economic instruments)</w:t>
      </w:r>
    </w:p>
    <w:p w14:paraId="76F0EEA9" w14:textId="4E68983B" w:rsidR="00381D45" w:rsidRPr="002605F8" w:rsidRDefault="00381D45" w:rsidP="00381D45">
      <w:pPr>
        <w:pStyle w:val="OpsommingSymbool"/>
        <w:rPr>
          <w:lang w:val="en-GB"/>
        </w:rPr>
      </w:pPr>
      <w:bookmarkStart w:id="0" w:name="_GoBack"/>
      <w:bookmarkEnd w:id="0"/>
      <w:r w:rsidRPr="002605F8">
        <w:rPr>
          <w:lang w:val="en-GB"/>
        </w:rPr>
        <w:t>Technical</w:t>
      </w:r>
    </w:p>
    <w:p w14:paraId="1400C002" w14:textId="1DA4FBDB" w:rsidR="00381D45" w:rsidRPr="002605F8" w:rsidRDefault="00381D45" w:rsidP="00381D45">
      <w:pPr>
        <w:pStyle w:val="OpsommingSymbool"/>
        <w:rPr>
          <w:lang w:val="en-GB"/>
        </w:rPr>
      </w:pPr>
      <w:r w:rsidRPr="002605F8">
        <w:rPr>
          <w:lang w:val="en-GB"/>
        </w:rPr>
        <w:lastRenderedPageBreak/>
        <w:t>Capacity building and awareness raising</w:t>
      </w:r>
      <w:r w:rsidR="00FE11BE" w:rsidRPr="002605F8">
        <w:rPr>
          <w:lang w:val="en-GB"/>
        </w:rPr>
        <w:t>:</w:t>
      </w:r>
      <w:r w:rsidRPr="002605F8">
        <w:rPr>
          <w:lang w:val="en-GB"/>
        </w:rPr>
        <w:t xml:space="preserve"> communication, training, etc.</w:t>
      </w:r>
      <w:r w:rsidRPr="002605F8" w:rsidDel="00FD3E7A">
        <w:rPr>
          <w:lang w:val="en-GB"/>
        </w:rPr>
        <w:t xml:space="preserve"> </w:t>
      </w:r>
    </w:p>
    <w:p w14:paraId="78D40C42" w14:textId="77777777" w:rsidR="00381D45" w:rsidRPr="002605F8" w:rsidRDefault="00381D45" w:rsidP="00B52A3D">
      <w:pPr>
        <w:pStyle w:val="ARCADISStandaard"/>
        <w:rPr>
          <w:lang w:val="en-GB"/>
        </w:rPr>
      </w:pPr>
    </w:p>
    <w:p w14:paraId="272CB0B7" w14:textId="536D2AF5" w:rsidR="00B52A3D" w:rsidRPr="002605F8" w:rsidRDefault="00381D45" w:rsidP="00B52A3D">
      <w:pPr>
        <w:pStyle w:val="ARCADISStandaard"/>
        <w:rPr>
          <w:lang w:val="en-GB"/>
        </w:rPr>
      </w:pPr>
      <w:r w:rsidRPr="002605F8">
        <w:rPr>
          <w:lang w:val="en-GB"/>
        </w:rPr>
        <w:t xml:space="preserve">Different types of measures </w:t>
      </w:r>
      <w:r w:rsidR="00FE11BE" w:rsidRPr="002605F8">
        <w:rPr>
          <w:lang w:val="en-GB"/>
        </w:rPr>
        <w:t xml:space="preserve">and operational actions </w:t>
      </w:r>
      <w:r w:rsidRPr="002605F8">
        <w:rPr>
          <w:lang w:val="en-GB"/>
        </w:rPr>
        <w:t>require different types of cost input to be implemented. As an example, for leg</w:t>
      </w:r>
      <w:r w:rsidR="005551F0" w:rsidRPr="002605F8">
        <w:rPr>
          <w:lang w:val="en-GB"/>
        </w:rPr>
        <w:t>al</w:t>
      </w:r>
      <w:r w:rsidRPr="002605F8">
        <w:rPr>
          <w:lang w:val="en-GB"/>
        </w:rPr>
        <w:t xml:space="preserve"> measures the main cost element consist of the time needed to draft the laws and administer them. Costs will be dedicated for research, stakeholder consultations, preparative meetings and legal enactment. Once the measure is implemented other types of costs need to be taken into account, such as administration, monitoring and prosecution costs. Also the value lost to society of any goods and services that will not be produced and consumed as a result of a regulation/implementation of a measure, is worth considering.</w:t>
      </w:r>
      <w:r w:rsidR="005551F0" w:rsidRPr="002605F8">
        <w:rPr>
          <w:lang w:val="en-GB"/>
        </w:rPr>
        <w:t xml:space="preserve"> </w:t>
      </w:r>
      <w:r w:rsidR="00B52A3D" w:rsidRPr="002605F8">
        <w:rPr>
          <w:lang w:val="en-GB"/>
        </w:rPr>
        <w:t>In case of technical measures, additional costs of introducing new measures mainly consist of investment costs, operational &amp; maintenance costs.</w:t>
      </w:r>
      <w:r w:rsidR="0007687A" w:rsidRPr="002605F8">
        <w:rPr>
          <w:lang w:val="en-GB"/>
        </w:rPr>
        <w:t xml:space="preserve"> </w:t>
      </w:r>
    </w:p>
    <w:p w14:paraId="01EE6E05" w14:textId="77777777" w:rsidR="0007687A" w:rsidRPr="002605F8" w:rsidRDefault="0007687A" w:rsidP="00381D45">
      <w:pPr>
        <w:pStyle w:val="OpsommingSymbool"/>
        <w:numPr>
          <w:ilvl w:val="0"/>
          <w:numId w:val="0"/>
        </w:numPr>
        <w:ind w:left="1985" w:hanging="284"/>
        <w:rPr>
          <w:lang w:val="en-GB"/>
        </w:rPr>
      </w:pPr>
    </w:p>
    <w:p w14:paraId="370F7F43" w14:textId="25F74F0A" w:rsidR="00DB7EF9" w:rsidRPr="002605F8" w:rsidRDefault="00DB7EF9" w:rsidP="004F354A">
      <w:pPr>
        <w:pStyle w:val="Kop2"/>
        <w:rPr>
          <w:lang w:val="en-GB"/>
        </w:rPr>
      </w:pPr>
      <w:r w:rsidRPr="002605F8">
        <w:rPr>
          <w:lang w:val="en-GB"/>
        </w:rPr>
        <w:t>Assigning cost components to measures</w:t>
      </w:r>
      <w:r w:rsidR="004F354A">
        <w:rPr>
          <w:lang w:val="en-GB"/>
        </w:rPr>
        <w:t xml:space="preserve"> (step 2)</w:t>
      </w:r>
    </w:p>
    <w:p w14:paraId="689200CF" w14:textId="39A66AAC" w:rsidR="00C32F93" w:rsidRPr="002605F8" w:rsidRDefault="00677009" w:rsidP="00677009">
      <w:pPr>
        <w:pStyle w:val="ARCADISStandaard"/>
        <w:rPr>
          <w:lang w:val="en-GB"/>
        </w:rPr>
      </w:pPr>
      <w:r w:rsidRPr="002605F8">
        <w:rPr>
          <w:lang w:val="en-GB"/>
        </w:rPr>
        <w:t xml:space="preserve">The breakdown of the measure into operational actions (step 1) facilitates the identification of the cost components. For each measure/operational action the basic cost components </w:t>
      </w:r>
      <w:r w:rsidR="00BF65A4" w:rsidRPr="002605F8">
        <w:rPr>
          <w:lang w:val="en-GB"/>
        </w:rPr>
        <w:t xml:space="preserve">and their temporal scale (one off; </w:t>
      </w:r>
      <w:r w:rsidR="001F2D56" w:rsidRPr="002605F8">
        <w:rPr>
          <w:lang w:val="en-GB"/>
        </w:rPr>
        <w:t>yearly</w:t>
      </w:r>
      <w:r w:rsidR="00BF65A4" w:rsidRPr="002605F8">
        <w:rPr>
          <w:lang w:val="en-GB"/>
        </w:rPr>
        <w:t xml:space="preserve"> costs</w:t>
      </w:r>
      <w:r w:rsidR="001F2D56" w:rsidRPr="002605F8">
        <w:rPr>
          <w:lang w:val="en-GB"/>
        </w:rPr>
        <w:t>, time period</w:t>
      </w:r>
      <w:r w:rsidR="00BF65A4" w:rsidRPr="002605F8">
        <w:rPr>
          <w:lang w:val="en-GB"/>
        </w:rPr>
        <w:t>)</w:t>
      </w:r>
      <w:r w:rsidRPr="002605F8">
        <w:rPr>
          <w:lang w:val="en-GB"/>
        </w:rPr>
        <w:t xml:space="preserve"> need to be determined</w:t>
      </w:r>
      <w:r w:rsidR="00BF65A4" w:rsidRPr="002605F8">
        <w:rPr>
          <w:lang w:val="en-GB"/>
        </w:rPr>
        <w:t xml:space="preserve">. </w:t>
      </w:r>
      <w:r w:rsidRPr="002605F8">
        <w:rPr>
          <w:lang w:val="en-GB"/>
        </w:rPr>
        <w:t xml:space="preserve">These cost components are further determined by their </w:t>
      </w:r>
      <w:r w:rsidR="00CF190F" w:rsidRPr="002605F8">
        <w:rPr>
          <w:lang w:val="en-GB"/>
        </w:rPr>
        <w:t>specific</w:t>
      </w:r>
      <w:r w:rsidR="00BF65A4" w:rsidRPr="002605F8">
        <w:rPr>
          <w:lang w:val="en-GB"/>
        </w:rPr>
        <w:t xml:space="preserve"> </w:t>
      </w:r>
      <w:r w:rsidR="00CF190F" w:rsidRPr="002605F8">
        <w:rPr>
          <w:lang w:val="en-GB"/>
        </w:rPr>
        <w:t xml:space="preserve">cost </w:t>
      </w:r>
      <w:r w:rsidR="00BF65A4" w:rsidRPr="002605F8">
        <w:rPr>
          <w:lang w:val="en-GB"/>
        </w:rPr>
        <w:t>indicators</w:t>
      </w:r>
      <w:r w:rsidRPr="002605F8">
        <w:rPr>
          <w:lang w:val="en-GB"/>
        </w:rPr>
        <w:t xml:space="preserve">, as shown in </w:t>
      </w:r>
      <w:r w:rsidR="00FE11BE" w:rsidRPr="002605F8">
        <w:rPr>
          <w:lang w:val="en-GB"/>
        </w:rPr>
        <w:fldChar w:fldCharType="begin"/>
      </w:r>
      <w:r w:rsidR="00FE11BE" w:rsidRPr="002605F8">
        <w:rPr>
          <w:lang w:val="en-GB"/>
        </w:rPr>
        <w:instrText xml:space="preserve"> REF _Ref435712047 \h </w:instrText>
      </w:r>
      <w:r w:rsidR="00FE11BE" w:rsidRPr="002605F8">
        <w:rPr>
          <w:lang w:val="en-GB"/>
        </w:rPr>
      </w:r>
      <w:r w:rsidR="00FE11BE" w:rsidRPr="002605F8">
        <w:rPr>
          <w:lang w:val="en-GB"/>
        </w:rPr>
        <w:fldChar w:fldCharType="separate"/>
      </w:r>
      <w:r w:rsidR="00FE11BE" w:rsidRPr="002605F8">
        <w:rPr>
          <w:lang w:val="en-GB"/>
        </w:rPr>
        <w:t xml:space="preserve">Table </w:t>
      </w:r>
      <w:r w:rsidR="00FE11BE" w:rsidRPr="002605F8">
        <w:rPr>
          <w:noProof/>
          <w:lang w:val="en-GB"/>
        </w:rPr>
        <w:t>2</w:t>
      </w:r>
      <w:r w:rsidR="00FE11BE" w:rsidRPr="002605F8">
        <w:rPr>
          <w:lang w:val="en-GB"/>
        </w:rPr>
        <w:fldChar w:fldCharType="end"/>
      </w:r>
      <w:r w:rsidR="00BF65A4" w:rsidRPr="002605F8">
        <w:rPr>
          <w:lang w:val="en-GB"/>
        </w:rPr>
        <w:t xml:space="preserve">. </w:t>
      </w:r>
    </w:p>
    <w:p w14:paraId="2C2CF903" w14:textId="31A4BB63" w:rsidR="00FE11BE" w:rsidRPr="002605F8" w:rsidRDefault="00FE11BE" w:rsidP="00FE11BE">
      <w:pPr>
        <w:pStyle w:val="ARCADISStandaard"/>
        <w:rPr>
          <w:lang w:val="en-GB"/>
        </w:rPr>
      </w:pPr>
      <w:r w:rsidRPr="002605F8">
        <w:rPr>
          <w:lang w:val="en-GB"/>
        </w:rPr>
        <w:t>Per measure cost templates will be filled summarizing the information on the related cost components</w:t>
      </w:r>
      <w:r w:rsidR="00E37308" w:rsidRPr="002605F8">
        <w:rPr>
          <w:lang w:val="en-GB"/>
        </w:rPr>
        <w:t xml:space="preserve"> identified for the different operational actions of the measure</w:t>
      </w:r>
      <w:r w:rsidRPr="002605F8">
        <w:rPr>
          <w:lang w:val="en-GB"/>
        </w:rPr>
        <w:t xml:space="preserve"> (see template in annex).</w:t>
      </w:r>
    </w:p>
    <w:p w14:paraId="46E07673" w14:textId="77777777" w:rsidR="00FE11BE" w:rsidRPr="002605F8" w:rsidRDefault="00FE11BE" w:rsidP="00677009">
      <w:pPr>
        <w:pStyle w:val="ARCADISStandaard"/>
        <w:rPr>
          <w:lang w:val="en-GB"/>
        </w:rPr>
      </w:pPr>
    </w:p>
    <w:p w14:paraId="238CF4C4" w14:textId="4C2FEF9B" w:rsidR="00AF5E03" w:rsidRPr="002605F8" w:rsidRDefault="00677009" w:rsidP="005551F0">
      <w:pPr>
        <w:pStyle w:val="Bijschrift"/>
        <w:rPr>
          <w:b/>
          <w:lang w:val="en-GB"/>
        </w:rPr>
      </w:pPr>
      <w:r w:rsidRPr="002605F8">
        <w:rPr>
          <w:lang w:val="en-GB"/>
        </w:rPr>
        <w:t xml:space="preserve">Table </w:t>
      </w:r>
      <w:r w:rsidRPr="002605F8">
        <w:rPr>
          <w:lang w:val="en-GB"/>
        </w:rPr>
        <w:fldChar w:fldCharType="begin"/>
      </w:r>
      <w:r w:rsidRPr="002605F8">
        <w:rPr>
          <w:lang w:val="en-GB"/>
        </w:rPr>
        <w:instrText xml:space="preserve"> SEQ Table \* ARABIC </w:instrText>
      </w:r>
      <w:r w:rsidRPr="002605F8">
        <w:rPr>
          <w:lang w:val="en-GB"/>
        </w:rPr>
        <w:fldChar w:fldCharType="separate"/>
      </w:r>
      <w:r w:rsidRPr="002605F8">
        <w:rPr>
          <w:noProof/>
          <w:lang w:val="en-GB"/>
        </w:rPr>
        <w:t>1</w:t>
      </w:r>
      <w:r w:rsidRPr="002605F8">
        <w:rPr>
          <w:lang w:val="en-GB"/>
        </w:rPr>
        <w:fldChar w:fldCharType="end"/>
      </w:r>
      <w:r w:rsidRPr="002605F8">
        <w:rPr>
          <w:lang w:val="en-GB"/>
        </w:rPr>
        <w:t> : Cost components per type of measure</w:t>
      </w:r>
    </w:p>
    <w:tbl>
      <w:tblPr>
        <w:tblStyle w:val="Stijl2"/>
        <w:tblW w:w="0" w:type="auto"/>
        <w:tblInd w:w="1701" w:type="dxa"/>
        <w:tblLook w:val="04A0" w:firstRow="1" w:lastRow="0" w:firstColumn="1" w:lastColumn="0" w:noHBand="0" w:noVBand="1"/>
      </w:tblPr>
      <w:tblGrid>
        <w:gridCol w:w="3825"/>
        <w:gridCol w:w="3762"/>
      </w:tblGrid>
      <w:tr w:rsidR="00381D45" w:rsidRPr="004E3D5A" w14:paraId="60A62BD1" w14:textId="77777777" w:rsidTr="00122021">
        <w:trPr>
          <w:cnfStyle w:val="100000000000" w:firstRow="1" w:lastRow="0" w:firstColumn="0" w:lastColumn="0" w:oddVBand="0" w:evenVBand="0" w:oddHBand="0" w:evenHBand="0" w:firstRowFirstColumn="0" w:firstRowLastColumn="0" w:lastRowFirstColumn="0" w:lastRowLastColumn="0"/>
        </w:trPr>
        <w:tc>
          <w:tcPr>
            <w:tcW w:w="4531" w:type="dxa"/>
          </w:tcPr>
          <w:p w14:paraId="05CBAAED" w14:textId="46DB52AC" w:rsidR="00381D45" w:rsidRPr="004E3D5A" w:rsidRDefault="00381D45" w:rsidP="00122021">
            <w:pPr>
              <w:pStyle w:val="OpsommingSymbool"/>
              <w:numPr>
                <w:ilvl w:val="0"/>
                <w:numId w:val="0"/>
              </w:numPr>
              <w:rPr>
                <w:sz w:val="18"/>
                <w:lang w:val="en-GB"/>
              </w:rPr>
            </w:pPr>
            <w:r w:rsidRPr="004E3D5A">
              <w:rPr>
                <w:sz w:val="18"/>
                <w:lang w:val="en-GB"/>
              </w:rPr>
              <w:t>Type of measure</w:t>
            </w:r>
            <w:r w:rsidR="00E37308" w:rsidRPr="004E3D5A">
              <w:rPr>
                <w:sz w:val="18"/>
                <w:lang w:val="en-GB"/>
              </w:rPr>
              <w:t>/operational action</w:t>
            </w:r>
          </w:p>
        </w:tc>
        <w:tc>
          <w:tcPr>
            <w:tcW w:w="4531" w:type="dxa"/>
          </w:tcPr>
          <w:p w14:paraId="7168E856" w14:textId="77777777" w:rsidR="00381D45" w:rsidRPr="004E3D5A" w:rsidRDefault="00381D45" w:rsidP="00122021">
            <w:pPr>
              <w:pStyle w:val="OpsommingSymbool"/>
              <w:numPr>
                <w:ilvl w:val="0"/>
                <w:numId w:val="0"/>
              </w:numPr>
              <w:rPr>
                <w:sz w:val="18"/>
                <w:lang w:val="en-GB"/>
              </w:rPr>
            </w:pPr>
            <w:r w:rsidRPr="004E3D5A">
              <w:rPr>
                <w:sz w:val="18"/>
                <w:lang w:val="en-GB"/>
              </w:rPr>
              <w:t>Cost component</w:t>
            </w:r>
          </w:p>
        </w:tc>
      </w:tr>
      <w:tr w:rsidR="00381D45" w:rsidRPr="004E3D5A" w14:paraId="42D0B5D7" w14:textId="77777777" w:rsidTr="00122021">
        <w:tc>
          <w:tcPr>
            <w:tcW w:w="4531" w:type="dxa"/>
          </w:tcPr>
          <w:p w14:paraId="61EBE570" w14:textId="17B58E53" w:rsidR="00381D45" w:rsidRPr="004E3D5A" w:rsidRDefault="00381D45" w:rsidP="00E37308">
            <w:pPr>
              <w:pStyle w:val="OpsommingSymbool"/>
              <w:numPr>
                <w:ilvl w:val="0"/>
                <w:numId w:val="0"/>
              </w:numPr>
              <w:rPr>
                <w:sz w:val="18"/>
                <w:lang w:val="en-GB"/>
              </w:rPr>
            </w:pPr>
            <w:r w:rsidRPr="004E3D5A">
              <w:rPr>
                <w:sz w:val="18"/>
                <w:lang w:val="en-GB"/>
              </w:rPr>
              <w:t>Legal</w:t>
            </w:r>
          </w:p>
        </w:tc>
        <w:tc>
          <w:tcPr>
            <w:tcW w:w="4531" w:type="dxa"/>
          </w:tcPr>
          <w:p w14:paraId="6A6C229F" w14:textId="51791144" w:rsidR="00E37308" w:rsidRPr="004E3D5A" w:rsidRDefault="00E37308" w:rsidP="0052225E">
            <w:pPr>
              <w:pStyle w:val="Opsommingsymbool0"/>
              <w:rPr>
                <w:sz w:val="18"/>
                <w:lang w:val="en-GB"/>
              </w:rPr>
            </w:pPr>
            <w:r w:rsidRPr="004E3D5A">
              <w:rPr>
                <w:sz w:val="18"/>
                <w:lang w:val="en-GB"/>
              </w:rPr>
              <w:t>Research costs</w:t>
            </w:r>
          </w:p>
          <w:p w14:paraId="7A1D9EC7" w14:textId="77777777" w:rsidR="0052225E" w:rsidRPr="004E3D5A" w:rsidRDefault="0052225E" w:rsidP="0052225E">
            <w:pPr>
              <w:pStyle w:val="Opsommingsymbool0"/>
              <w:rPr>
                <w:sz w:val="18"/>
                <w:lang w:val="en-GB"/>
              </w:rPr>
            </w:pPr>
            <w:r w:rsidRPr="004E3D5A">
              <w:rPr>
                <w:sz w:val="18"/>
                <w:lang w:val="en-GB"/>
              </w:rPr>
              <w:t>Negotiation costs</w:t>
            </w:r>
          </w:p>
          <w:p w14:paraId="4E8CCD92" w14:textId="77777777" w:rsidR="00381D45" w:rsidRPr="004E3D5A" w:rsidRDefault="00381D45" w:rsidP="0052225E">
            <w:pPr>
              <w:pStyle w:val="Opsommingsymbool0"/>
              <w:rPr>
                <w:sz w:val="18"/>
                <w:lang w:val="en-GB"/>
              </w:rPr>
            </w:pPr>
            <w:r w:rsidRPr="004E3D5A">
              <w:rPr>
                <w:sz w:val="18"/>
                <w:lang w:val="en-GB"/>
              </w:rPr>
              <w:t>Implementation cost for a law, regulation, etc.</w:t>
            </w:r>
          </w:p>
          <w:p w14:paraId="31CDE4D6" w14:textId="5D7F0006" w:rsidR="00E37308" w:rsidRPr="004E3D5A" w:rsidRDefault="00E37308" w:rsidP="0052225E">
            <w:pPr>
              <w:pStyle w:val="Opsommingsymbool0"/>
              <w:rPr>
                <w:sz w:val="18"/>
                <w:lang w:val="en-GB"/>
              </w:rPr>
            </w:pPr>
            <w:r w:rsidRPr="004E3D5A">
              <w:rPr>
                <w:sz w:val="18"/>
                <w:lang w:val="en-GB"/>
              </w:rPr>
              <w:t>Sectoral costs</w:t>
            </w:r>
          </w:p>
        </w:tc>
      </w:tr>
      <w:tr w:rsidR="00381D45" w:rsidRPr="004E3D5A" w14:paraId="70FBA726" w14:textId="77777777" w:rsidTr="00122021">
        <w:tc>
          <w:tcPr>
            <w:tcW w:w="4531" w:type="dxa"/>
          </w:tcPr>
          <w:p w14:paraId="5BDCD99D" w14:textId="1C46602C" w:rsidR="00381D45" w:rsidRPr="004E3D5A" w:rsidRDefault="00381D45" w:rsidP="00122021">
            <w:pPr>
              <w:pStyle w:val="OpsommingSymbool"/>
              <w:numPr>
                <w:ilvl w:val="0"/>
                <w:numId w:val="0"/>
              </w:numPr>
              <w:rPr>
                <w:sz w:val="18"/>
                <w:lang w:val="en-GB"/>
              </w:rPr>
            </w:pPr>
            <w:r w:rsidRPr="004E3D5A">
              <w:rPr>
                <w:sz w:val="18"/>
                <w:lang w:val="en-GB"/>
              </w:rPr>
              <w:t>Institutional</w:t>
            </w:r>
          </w:p>
        </w:tc>
        <w:tc>
          <w:tcPr>
            <w:tcW w:w="4531" w:type="dxa"/>
          </w:tcPr>
          <w:p w14:paraId="76603F27" w14:textId="77777777" w:rsidR="0052225E" w:rsidRPr="004E3D5A" w:rsidRDefault="0052225E" w:rsidP="0052225E">
            <w:pPr>
              <w:pStyle w:val="Opsommingsymbool0"/>
              <w:rPr>
                <w:sz w:val="18"/>
                <w:lang w:val="en-GB"/>
              </w:rPr>
            </w:pPr>
            <w:r w:rsidRPr="004E3D5A">
              <w:rPr>
                <w:sz w:val="18"/>
                <w:lang w:val="en-GB"/>
              </w:rPr>
              <w:t>Management costs</w:t>
            </w:r>
          </w:p>
          <w:p w14:paraId="42953413" w14:textId="76A39D24" w:rsidR="0052225E" w:rsidRPr="004E3D5A" w:rsidRDefault="002605F8" w:rsidP="002605F8">
            <w:pPr>
              <w:pStyle w:val="Opsommingsymbool0"/>
              <w:rPr>
                <w:sz w:val="18"/>
                <w:lang w:val="en-GB"/>
              </w:rPr>
            </w:pPr>
            <w:r w:rsidRPr="004E3D5A">
              <w:rPr>
                <w:sz w:val="18"/>
                <w:lang w:val="en-GB"/>
              </w:rPr>
              <w:t>Engagement costs</w:t>
            </w:r>
          </w:p>
        </w:tc>
      </w:tr>
      <w:tr w:rsidR="00381D45" w:rsidRPr="004E3D5A" w14:paraId="11C11998" w14:textId="77777777" w:rsidTr="00122021">
        <w:tc>
          <w:tcPr>
            <w:tcW w:w="4531" w:type="dxa"/>
          </w:tcPr>
          <w:p w14:paraId="01484C61" w14:textId="77777777" w:rsidR="00381D45" w:rsidRPr="004E3D5A" w:rsidRDefault="00381D45" w:rsidP="00122021">
            <w:pPr>
              <w:pStyle w:val="OpsommingSymbool"/>
              <w:numPr>
                <w:ilvl w:val="0"/>
                <w:numId w:val="0"/>
              </w:numPr>
              <w:rPr>
                <w:sz w:val="18"/>
                <w:lang w:val="en-GB"/>
              </w:rPr>
            </w:pPr>
            <w:r w:rsidRPr="004E3D5A">
              <w:rPr>
                <w:sz w:val="18"/>
                <w:lang w:val="en-GB"/>
              </w:rPr>
              <w:t>Policy instruments (incl. economic)</w:t>
            </w:r>
          </w:p>
        </w:tc>
        <w:tc>
          <w:tcPr>
            <w:tcW w:w="4531" w:type="dxa"/>
          </w:tcPr>
          <w:p w14:paraId="48C6CD97" w14:textId="77777777" w:rsidR="00381D45" w:rsidRPr="004E3D5A" w:rsidRDefault="0052225E" w:rsidP="0052225E">
            <w:pPr>
              <w:pStyle w:val="Opsommingsymbool0"/>
              <w:rPr>
                <w:sz w:val="18"/>
                <w:lang w:val="en-GB"/>
              </w:rPr>
            </w:pPr>
            <w:r w:rsidRPr="004E3D5A">
              <w:rPr>
                <w:sz w:val="18"/>
                <w:lang w:val="en-GB"/>
              </w:rPr>
              <w:t>Research costs</w:t>
            </w:r>
          </w:p>
          <w:p w14:paraId="5D61338C" w14:textId="77777777" w:rsidR="0052225E" w:rsidRPr="004E3D5A" w:rsidRDefault="0052225E" w:rsidP="0052225E">
            <w:pPr>
              <w:pStyle w:val="Opsommingsymbool0"/>
              <w:rPr>
                <w:sz w:val="18"/>
                <w:lang w:val="en-GB"/>
              </w:rPr>
            </w:pPr>
            <w:r w:rsidRPr="004E3D5A">
              <w:rPr>
                <w:sz w:val="18"/>
                <w:lang w:val="en-GB"/>
              </w:rPr>
              <w:t>Negotiation costs</w:t>
            </w:r>
          </w:p>
          <w:p w14:paraId="2F0BA347" w14:textId="77777777" w:rsidR="00E37308" w:rsidRPr="004E3D5A" w:rsidRDefault="00E37308" w:rsidP="00E37308">
            <w:pPr>
              <w:pStyle w:val="Opsommingsymbool0"/>
              <w:rPr>
                <w:sz w:val="18"/>
                <w:lang w:val="en-GB"/>
              </w:rPr>
            </w:pPr>
            <w:r w:rsidRPr="004E3D5A">
              <w:rPr>
                <w:sz w:val="18"/>
                <w:lang w:val="en-GB"/>
              </w:rPr>
              <w:t>Costs for assistance with voluntary agreements</w:t>
            </w:r>
          </w:p>
          <w:p w14:paraId="4DA6C42F" w14:textId="6C8394C9" w:rsidR="00E37308" w:rsidRPr="004E3D5A" w:rsidRDefault="00E37308" w:rsidP="00E37308">
            <w:pPr>
              <w:pStyle w:val="Opsommingsymbool0"/>
              <w:rPr>
                <w:sz w:val="18"/>
                <w:lang w:val="en-GB"/>
              </w:rPr>
            </w:pPr>
            <w:r w:rsidRPr="004E3D5A">
              <w:rPr>
                <w:sz w:val="18"/>
                <w:lang w:val="en-GB"/>
              </w:rPr>
              <w:t>Sectoral costs</w:t>
            </w:r>
          </w:p>
        </w:tc>
      </w:tr>
      <w:tr w:rsidR="00381D45" w:rsidRPr="004E3D5A" w14:paraId="06834D16" w14:textId="77777777" w:rsidTr="00122021">
        <w:tc>
          <w:tcPr>
            <w:tcW w:w="4531" w:type="dxa"/>
          </w:tcPr>
          <w:p w14:paraId="37FF84FB" w14:textId="2B21B2F6" w:rsidR="00381D45" w:rsidRPr="004E3D5A" w:rsidRDefault="00381D45" w:rsidP="00E37308">
            <w:pPr>
              <w:pStyle w:val="OpsommingSymbool"/>
              <w:numPr>
                <w:ilvl w:val="0"/>
                <w:numId w:val="0"/>
              </w:numPr>
              <w:rPr>
                <w:sz w:val="18"/>
                <w:lang w:val="en-GB"/>
              </w:rPr>
            </w:pPr>
            <w:r w:rsidRPr="004E3D5A">
              <w:rPr>
                <w:sz w:val="18"/>
                <w:lang w:val="en-GB"/>
              </w:rPr>
              <w:t>Technical</w:t>
            </w:r>
          </w:p>
        </w:tc>
        <w:tc>
          <w:tcPr>
            <w:tcW w:w="4531" w:type="dxa"/>
          </w:tcPr>
          <w:p w14:paraId="73F907EC" w14:textId="70D5D14F" w:rsidR="00381D45" w:rsidRPr="004E3D5A" w:rsidRDefault="0052225E" w:rsidP="0052225E">
            <w:pPr>
              <w:pStyle w:val="Opsommingsymbool0"/>
              <w:rPr>
                <w:sz w:val="18"/>
                <w:lang w:val="en-GB"/>
              </w:rPr>
            </w:pPr>
            <w:r w:rsidRPr="004E3D5A">
              <w:rPr>
                <w:sz w:val="18"/>
                <w:lang w:val="en-GB"/>
              </w:rPr>
              <w:t>Technical implementation costs (O&amp;M)</w:t>
            </w:r>
          </w:p>
          <w:p w14:paraId="110BA345" w14:textId="33B1D861" w:rsidR="0052225E" w:rsidRPr="004E3D5A" w:rsidRDefault="0052225E" w:rsidP="0052225E">
            <w:pPr>
              <w:pStyle w:val="Opsommingsymbool0"/>
              <w:rPr>
                <w:sz w:val="18"/>
                <w:lang w:val="en-GB"/>
              </w:rPr>
            </w:pPr>
            <w:r w:rsidRPr="004E3D5A">
              <w:rPr>
                <w:sz w:val="18"/>
                <w:lang w:val="en-GB"/>
              </w:rPr>
              <w:t>Sectoral costs</w:t>
            </w:r>
          </w:p>
        </w:tc>
      </w:tr>
      <w:tr w:rsidR="00381D45" w:rsidRPr="004E3D5A" w14:paraId="076B5A9F" w14:textId="77777777" w:rsidTr="00122021">
        <w:tc>
          <w:tcPr>
            <w:tcW w:w="4531" w:type="dxa"/>
          </w:tcPr>
          <w:p w14:paraId="7630EF40" w14:textId="77777777" w:rsidR="00381D45" w:rsidRPr="004E3D5A" w:rsidRDefault="00381D45" w:rsidP="00122021">
            <w:pPr>
              <w:pStyle w:val="OpsommingSymbool"/>
              <w:numPr>
                <w:ilvl w:val="0"/>
                <w:numId w:val="0"/>
              </w:numPr>
              <w:rPr>
                <w:sz w:val="18"/>
                <w:lang w:val="en-GB"/>
              </w:rPr>
            </w:pPr>
            <w:r w:rsidRPr="004E3D5A">
              <w:rPr>
                <w:sz w:val="18"/>
                <w:lang w:val="en-GB"/>
              </w:rPr>
              <w:t>Capacity building and awareness raising</w:t>
            </w:r>
          </w:p>
        </w:tc>
        <w:tc>
          <w:tcPr>
            <w:tcW w:w="4531" w:type="dxa"/>
          </w:tcPr>
          <w:p w14:paraId="63CC38E1" w14:textId="77777777" w:rsidR="00381D45" w:rsidRPr="004E3D5A" w:rsidRDefault="0052225E" w:rsidP="0052225E">
            <w:pPr>
              <w:pStyle w:val="Opsommingsymbool0"/>
              <w:rPr>
                <w:sz w:val="18"/>
                <w:lang w:val="en-GB"/>
              </w:rPr>
            </w:pPr>
            <w:r w:rsidRPr="004E3D5A">
              <w:rPr>
                <w:sz w:val="18"/>
                <w:lang w:val="en-GB"/>
              </w:rPr>
              <w:t>Cost of stakeholder consultation</w:t>
            </w:r>
          </w:p>
          <w:p w14:paraId="5200ADDC" w14:textId="77777777" w:rsidR="0052225E" w:rsidRPr="004E3D5A" w:rsidRDefault="0052225E" w:rsidP="0052225E">
            <w:pPr>
              <w:pStyle w:val="Opsommingsymbool0"/>
              <w:rPr>
                <w:sz w:val="18"/>
                <w:lang w:val="en-GB"/>
              </w:rPr>
            </w:pPr>
            <w:r w:rsidRPr="004E3D5A">
              <w:rPr>
                <w:sz w:val="18"/>
                <w:lang w:val="en-GB"/>
              </w:rPr>
              <w:t>Communication costs</w:t>
            </w:r>
          </w:p>
          <w:p w14:paraId="40DBA10F" w14:textId="77777777" w:rsidR="0052225E" w:rsidRPr="004E3D5A" w:rsidRDefault="0052225E" w:rsidP="0052225E">
            <w:pPr>
              <w:pStyle w:val="Opsommingsymbool0"/>
              <w:rPr>
                <w:sz w:val="18"/>
                <w:lang w:val="en-GB"/>
              </w:rPr>
            </w:pPr>
            <w:r w:rsidRPr="004E3D5A">
              <w:rPr>
                <w:sz w:val="18"/>
                <w:lang w:val="en-GB"/>
              </w:rPr>
              <w:t>Training costs</w:t>
            </w:r>
          </w:p>
          <w:p w14:paraId="4E57552C" w14:textId="5E02ED47" w:rsidR="0052225E" w:rsidRPr="004E3D5A" w:rsidRDefault="0052225E" w:rsidP="0052225E">
            <w:pPr>
              <w:pStyle w:val="Opsommingsymbool0"/>
              <w:rPr>
                <w:sz w:val="18"/>
                <w:lang w:val="en-GB"/>
              </w:rPr>
            </w:pPr>
            <w:r w:rsidRPr="004E3D5A">
              <w:rPr>
                <w:sz w:val="18"/>
                <w:lang w:val="en-GB"/>
              </w:rPr>
              <w:t>Costs for awareness raising</w:t>
            </w:r>
          </w:p>
        </w:tc>
      </w:tr>
    </w:tbl>
    <w:p w14:paraId="56BF5924" w14:textId="44BE9264" w:rsidR="00381D45" w:rsidRPr="002605F8" w:rsidRDefault="00381D45" w:rsidP="0007687A">
      <w:pPr>
        <w:spacing w:line="360" w:lineRule="auto"/>
        <w:ind w:left="1701"/>
        <w:jc w:val="both"/>
        <w:rPr>
          <w:b/>
          <w:lang w:val="en-GB"/>
        </w:rPr>
      </w:pPr>
    </w:p>
    <w:p w14:paraId="6607EF8A" w14:textId="2DBECB0D" w:rsidR="00677009" w:rsidRPr="002605F8" w:rsidRDefault="00677009" w:rsidP="002605F8">
      <w:pPr>
        <w:pStyle w:val="Bijschrift"/>
        <w:rPr>
          <w:lang w:val="en-GB"/>
        </w:rPr>
      </w:pPr>
      <w:bookmarkStart w:id="1" w:name="_Ref435712047"/>
      <w:r w:rsidRPr="002605F8">
        <w:rPr>
          <w:lang w:val="en-GB"/>
        </w:rPr>
        <w:lastRenderedPageBreak/>
        <w:t xml:space="preserve">Table </w:t>
      </w:r>
      <w:r w:rsidRPr="002605F8">
        <w:rPr>
          <w:lang w:val="en-GB"/>
        </w:rPr>
        <w:fldChar w:fldCharType="begin"/>
      </w:r>
      <w:r w:rsidRPr="002605F8">
        <w:rPr>
          <w:lang w:val="en-GB"/>
        </w:rPr>
        <w:instrText xml:space="preserve"> SEQ Table \* ARABIC </w:instrText>
      </w:r>
      <w:r w:rsidRPr="002605F8">
        <w:rPr>
          <w:lang w:val="en-GB"/>
        </w:rPr>
        <w:fldChar w:fldCharType="separate"/>
      </w:r>
      <w:r w:rsidRPr="002605F8">
        <w:rPr>
          <w:noProof/>
          <w:lang w:val="en-GB"/>
        </w:rPr>
        <w:t>2</w:t>
      </w:r>
      <w:r w:rsidRPr="002605F8">
        <w:rPr>
          <w:lang w:val="en-GB"/>
        </w:rPr>
        <w:fldChar w:fldCharType="end"/>
      </w:r>
      <w:bookmarkEnd w:id="1"/>
      <w:r w:rsidRPr="002605F8">
        <w:rPr>
          <w:lang w:val="en-GB"/>
        </w:rPr>
        <w:t> : Cost components and their</w:t>
      </w:r>
      <w:r w:rsidR="00FE11BE" w:rsidRPr="002605F8">
        <w:rPr>
          <w:lang w:val="en-GB"/>
        </w:rPr>
        <w:t xml:space="preserve"> related</w:t>
      </w:r>
      <w:r w:rsidRPr="002605F8">
        <w:rPr>
          <w:lang w:val="en-GB"/>
        </w:rPr>
        <w:t xml:space="preserve"> cost indicators</w:t>
      </w:r>
    </w:p>
    <w:tbl>
      <w:tblPr>
        <w:tblStyle w:val="Stijl2"/>
        <w:tblW w:w="0" w:type="auto"/>
        <w:tblInd w:w="1701" w:type="dxa"/>
        <w:tblLook w:val="04A0" w:firstRow="1" w:lastRow="0" w:firstColumn="1" w:lastColumn="0" w:noHBand="0" w:noVBand="1"/>
      </w:tblPr>
      <w:tblGrid>
        <w:gridCol w:w="3256"/>
        <w:gridCol w:w="4105"/>
      </w:tblGrid>
      <w:tr w:rsidR="00677009" w:rsidRPr="004E3D5A" w14:paraId="6D1E8FDE" w14:textId="77777777" w:rsidTr="00FE11BE">
        <w:trPr>
          <w:cnfStyle w:val="100000000000" w:firstRow="1" w:lastRow="0" w:firstColumn="0" w:lastColumn="0" w:oddVBand="0" w:evenVBand="0" w:oddHBand="0" w:evenHBand="0" w:firstRowFirstColumn="0" w:firstRowLastColumn="0" w:lastRowFirstColumn="0" w:lastRowLastColumn="0"/>
        </w:trPr>
        <w:tc>
          <w:tcPr>
            <w:tcW w:w="3256" w:type="dxa"/>
          </w:tcPr>
          <w:p w14:paraId="7397D445" w14:textId="37FF0701" w:rsidR="00677009" w:rsidRPr="004E3D5A" w:rsidRDefault="00677009" w:rsidP="00122021">
            <w:pPr>
              <w:pStyle w:val="OpsommingSymbool"/>
              <w:numPr>
                <w:ilvl w:val="0"/>
                <w:numId w:val="0"/>
              </w:numPr>
              <w:rPr>
                <w:sz w:val="18"/>
                <w:lang w:val="en-GB"/>
              </w:rPr>
            </w:pPr>
            <w:r w:rsidRPr="004E3D5A">
              <w:rPr>
                <w:sz w:val="18"/>
                <w:lang w:val="en-GB"/>
              </w:rPr>
              <w:t>Cost component</w:t>
            </w:r>
          </w:p>
        </w:tc>
        <w:tc>
          <w:tcPr>
            <w:tcW w:w="4105" w:type="dxa"/>
          </w:tcPr>
          <w:p w14:paraId="22B74D56" w14:textId="3C94A65B" w:rsidR="00677009" w:rsidRPr="004E3D5A" w:rsidRDefault="00677009" w:rsidP="00122021">
            <w:pPr>
              <w:pStyle w:val="OpsommingSymbool"/>
              <w:numPr>
                <w:ilvl w:val="0"/>
                <w:numId w:val="0"/>
              </w:numPr>
              <w:rPr>
                <w:sz w:val="18"/>
                <w:lang w:val="en-GB"/>
              </w:rPr>
            </w:pPr>
            <w:r w:rsidRPr="004E3D5A">
              <w:rPr>
                <w:sz w:val="18"/>
                <w:lang w:val="en-GB"/>
              </w:rPr>
              <w:t>Cost indicator</w:t>
            </w:r>
            <w:r w:rsidR="00FE11BE" w:rsidRPr="004E3D5A">
              <w:rPr>
                <w:sz w:val="18"/>
                <w:lang w:val="en-GB"/>
              </w:rPr>
              <w:t>s</w:t>
            </w:r>
          </w:p>
        </w:tc>
      </w:tr>
      <w:tr w:rsidR="00677009" w:rsidRPr="004E3D5A" w14:paraId="1431833D" w14:textId="77777777" w:rsidTr="00FE11BE">
        <w:tc>
          <w:tcPr>
            <w:tcW w:w="3256" w:type="dxa"/>
          </w:tcPr>
          <w:p w14:paraId="48821742" w14:textId="2ACF9A08" w:rsidR="00677009" w:rsidRPr="004E3D5A" w:rsidRDefault="00677009" w:rsidP="00677009">
            <w:pPr>
              <w:pStyle w:val="OpsommingSymbool"/>
              <w:numPr>
                <w:ilvl w:val="0"/>
                <w:numId w:val="0"/>
              </w:numPr>
              <w:rPr>
                <w:sz w:val="18"/>
                <w:lang w:val="en-GB"/>
              </w:rPr>
            </w:pPr>
            <w:r w:rsidRPr="004E3D5A">
              <w:rPr>
                <w:sz w:val="18"/>
                <w:lang w:val="en-GB"/>
              </w:rPr>
              <w:t>Cost of stakeholder consultations</w:t>
            </w:r>
          </w:p>
        </w:tc>
        <w:tc>
          <w:tcPr>
            <w:tcW w:w="4105" w:type="dxa"/>
          </w:tcPr>
          <w:p w14:paraId="57EE195F" w14:textId="77777777" w:rsidR="00FE11BE" w:rsidRPr="004E3D5A" w:rsidRDefault="00FE11BE" w:rsidP="00FE11BE">
            <w:pPr>
              <w:pStyle w:val="Opsommingsymbool0"/>
              <w:rPr>
                <w:sz w:val="18"/>
                <w:lang w:val="en-GB"/>
              </w:rPr>
            </w:pPr>
            <w:r w:rsidRPr="004E3D5A">
              <w:rPr>
                <w:sz w:val="18"/>
                <w:lang w:val="en-GB"/>
              </w:rPr>
              <w:t>Staff time (preparation, follow up)</w:t>
            </w:r>
          </w:p>
          <w:p w14:paraId="6958F164" w14:textId="580B1D79" w:rsidR="00677009" w:rsidRPr="004E3D5A" w:rsidRDefault="00FE11BE" w:rsidP="00FE11BE">
            <w:pPr>
              <w:pStyle w:val="Opsommingsymbool0"/>
              <w:rPr>
                <w:sz w:val="18"/>
                <w:lang w:val="en-GB"/>
              </w:rPr>
            </w:pPr>
            <w:r w:rsidRPr="004E3D5A">
              <w:rPr>
                <w:sz w:val="18"/>
                <w:lang w:val="en-GB"/>
              </w:rPr>
              <w:t>Meetings with stakeholders</w:t>
            </w:r>
          </w:p>
        </w:tc>
      </w:tr>
      <w:tr w:rsidR="00677009" w:rsidRPr="0049591E" w14:paraId="1354A3BD" w14:textId="77777777" w:rsidTr="00FE11BE">
        <w:tc>
          <w:tcPr>
            <w:tcW w:w="3256" w:type="dxa"/>
          </w:tcPr>
          <w:p w14:paraId="4A8482F1" w14:textId="001473A6" w:rsidR="00677009" w:rsidRPr="004E3D5A" w:rsidRDefault="00FE11BE" w:rsidP="00122021">
            <w:pPr>
              <w:pStyle w:val="OpsommingSymbool"/>
              <w:numPr>
                <w:ilvl w:val="0"/>
                <w:numId w:val="0"/>
              </w:numPr>
              <w:rPr>
                <w:sz w:val="18"/>
                <w:lang w:val="en-GB"/>
              </w:rPr>
            </w:pPr>
            <w:r w:rsidRPr="004E3D5A">
              <w:rPr>
                <w:sz w:val="18"/>
                <w:lang w:val="en-GB"/>
              </w:rPr>
              <w:t>Implementation costs for a law, regulation</w:t>
            </w:r>
          </w:p>
        </w:tc>
        <w:tc>
          <w:tcPr>
            <w:tcW w:w="4105" w:type="dxa"/>
          </w:tcPr>
          <w:p w14:paraId="64E264ED" w14:textId="77777777" w:rsidR="00FE11BE" w:rsidRPr="004E3D5A" w:rsidRDefault="00FE11BE" w:rsidP="00FE11BE">
            <w:pPr>
              <w:pStyle w:val="Opsommingsymbool0"/>
              <w:rPr>
                <w:sz w:val="18"/>
                <w:lang w:val="en-GB"/>
              </w:rPr>
            </w:pPr>
            <w:r w:rsidRPr="004E3D5A">
              <w:rPr>
                <w:sz w:val="18"/>
                <w:lang w:val="en-GB"/>
              </w:rPr>
              <w:t xml:space="preserve">Preparation (Planning, writing) </w:t>
            </w:r>
          </w:p>
          <w:p w14:paraId="5C46D381" w14:textId="634AC3C3" w:rsidR="00FE11BE" w:rsidRPr="004E3D5A" w:rsidRDefault="00FE11BE" w:rsidP="00FE11BE">
            <w:pPr>
              <w:pStyle w:val="Opsommingsymbool0"/>
              <w:rPr>
                <w:sz w:val="18"/>
                <w:lang w:val="en-GB"/>
              </w:rPr>
            </w:pPr>
            <w:r w:rsidRPr="004E3D5A">
              <w:rPr>
                <w:sz w:val="18"/>
                <w:lang w:val="en-GB"/>
              </w:rPr>
              <w:t>Consultation, dealing with objections, etc.</w:t>
            </w:r>
          </w:p>
          <w:p w14:paraId="14A4DA3A" w14:textId="242CDBEC" w:rsidR="00677009" w:rsidRPr="004E3D5A" w:rsidRDefault="00FE11BE" w:rsidP="00FE11BE">
            <w:pPr>
              <w:pStyle w:val="Opsommingsymbool0"/>
              <w:rPr>
                <w:sz w:val="18"/>
                <w:lang w:val="en-GB"/>
              </w:rPr>
            </w:pPr>
            <w:r w:rsidRPr="004E3D5A">
              <w:rPr>
                <w:sz w:val="18"/>
                <w:lang w:val="en-GB"/>
              </w:rPr>
              <w:t>Finalisation (Approval and sign-off, advertising</w:t>
            </w:r>
          </w:p>
        </w:tc>
      </w:tr>
      <w:tr w:rsidR="00677009" w:rsidRPr="004E3D5A" w14:paraId="06B02427" w14:textId="77777777" w:rsidTr="00FE11BE">
        <w:tc>
          <w:tcPr>
            <w:tcW w:w="3256" w:type="dxa"/>
          </w:tcPr>
          <w:p w14:paraId="311A33C5" w14:textId="4FAA3BF2" w:rsidR="00677009" w:rsidRPr="004E3D5A" w:rsidRDefault="00FE11BE" w:rsidP="00122021">
            <w:pPr>
              <w:pStyle w:val="OpsommingSymbool"/>
              <w:numPr>
                <w:ilvl w:val="0"/>
                <w:numId w:val="0"/>
              </w:numPr>
              <w:rPr>
                <w:sz w:val="18"/>
                <w:lang w:val="en-GB"/>
              </w:rPr>
            </w:pPr>
            <w:r w:rsidRPr="004E3D5A">
              <w:rPr>
                <w:sz w:val="18"/>
                <w:lang w:val="en-GB"/>
              </w:rPr>
              <w:t>Costs for assistance with voluntary agreements</w:t>
            </w:r>
          </w:p>
        </w:tc>
        <w:tc>
          <w:tcPr>
            <w:tcW w:w="4105" w:type="dxa"/>
          </w:tcPr>
          <w:p w14:paraId="3B59870C" w14:textId="77777777" w:rsidR="00FE11BE" w:rsidRPr="004E3D5A" w:rsidRDefault="00FE11BE" w:rsidP="00FE11BE">
            <w:pPr>
              <w:pStyle w:val="Opsommingsymbool0"/>
              <w:rPr>
                <w:sz w:val="18"/>
                <w:lang w:val="en-GB"/>
              </w:rPr>
            </w:pPr>
            <w:r w:rsidRPr="004E3D5A">
              <w:rPr>
                <w:sz w:val="18"/>
                <w:lang w:val="en-GB"/>
              </w:rPr>
              <w:t>Staff time (preparation, follow up)</w:t>
            </w:r>
          </w:p>
          <w:p w14:paraId="749E9B64" w14:textId="1DB825F3" w:rsidR="00FE11BE" w:rsidRPr="004E3D5A" w:rsidRDefault="00FE11BE" w:rsidP="00FE11BE">
            <w:pPr>
              <w:pStyle w:val="Opsommingsymbool0"/>
              <w:rPr>
                <w:sz w:val="18"/>
                <w:lang w:val="en-GB"/>
              </w:rPr>
            </w:pPr>
            <w:r w:rsidRPr="004E3D5A">
              <w:rPr>
                <w:sz w:val="18"/>
                <w:lang w:val="en-GB"/>
              </w:rPr>
              <w:t xml:space="preserve">Meetings with neighbouring MS </w:t>
            </w:r>
          </w:p>
          <w:p w14:paraId="37099BF0" w14:textId="03BC48D6" w:rsidR="00677009" w:rsidRPr="004E3D5A" w:rsidRDefault="00FE11BE" w:rsidP="00FE11BE">
            <w:pPr>
              <w:pStyle w:val="Opsommingsymbool0"/>
              <w:rPr>
                <w:sz w:val="18"/>
                <w:lang w:val="en-GB"/>
              </w:rPr>
            </w:pPr>
            <w:r w:rsidRPr="004E3D5A">
              <w:rPr>
                <w:sz w:val="18"/>
                <w:lang w:val="en-GB"/>
              </w:rPr>
              <w:t>Travel &amp; other costs</w:t>
            </w:r>
          </w:p>
        </w:tc>
      </w:tr>
      <w:tr w:rsidR="00677009" w:rsidRPr="004E3D5A" w14:paraId="1629E12B" w14:textId="77777777" w:rsidTr="00FE11BE">
        <w:tc>
          <w:tcPr>
            <w:tcW w:w="3256" w:type="dxa"/>
          </w:tcPr>
          <w:p w14:paraId="5395827F" w14:textId="77777777" w:rsidR="00FE11BE" w:rsidRPr="004E3D5A" w:rsidRDefault="00FE11BE" w:rsidP="00FE11BE">
            <w:pPr>
              <w:pStyle w:val="OpsommingSymbool"/>
              <w:numPr>
                <w:ilvl w:val="0"/>
                <w:numId w:val="0"/>
              </w:numPr>
              <w:rPr>
                <w:sz w:val="18"/>
                <w:lang w:val="en-GB"/>
              </w:rPr>
            </w:pPr>
            <w:r w:rsidRPr="004E3D5A">
              <w:rPr>
                <w:sz w:val="18"/>
                <w:lang w:val="en-GB"/>
              </w:rPr>
              <w:t>Negotiation costs</w:t>
            </w:r>
          </w:p>
          <w:p w14:paraId="2E67971A" w14:textId="23D1AFEF" w:rsidR="00677009" w:rsidRPr="004E3D5A" w:rsidRDefault="00677009" w:rsidP="00122021">
            <w:pPr>
              <w:pStyle w:val="OpsommingSymbool"/>
              <w:numPr>
                <w:ilvl w:val="0"/>
                <w:numId w:val="0"/>
              </w:numPr>
              <w:rPr>
                <w:sz w:val="18"/>
                <w:lang w:val="en-GB"/>
              </w:rPr>
            </w:pPr>
          </w:p>
        </w:tc>
        <w:tc>
          <w:tcPr>
            <w:tcW w:w="4105" w:type="dxa"/>
          </w:tcPr>
          <w:p w14:paraId="0056F05E" w14:textId="77777777" w:rsidR="00FE11BE" w:rsidRPr="004E3D5A" w:rsidRDefault="00FE11BE" w:rsidP="00FE11BE">
            <w:pPr>
              <w:pStyle w:val="Opsommingsymbool0"/>
              <w:rPr>
                <w:sz w:val="18"/>
                <w:lang w:val="en-GB"/>
              </w:rPr>
            </w:pPr>
            <w:r w:rsidRPr="004E3D5A">
              <w:rPr>
                <w:sz w:val="18"/>
                <w:lang w:val="en-GB"/>
              </w:rPr>
              <w:t>Planning &amp; preparation</w:t>
            </w:r>
          </w:p>
          <w:p w14:paraId="224FEF96" w14:textId="77777777" w:rsidR="00FE11BE" w:rsidRPr="004E3D5A" w:rsidRDefault="00FE11BE" w:rsidP="00FE11BE">
            <w:pPr>
              <w:pStyle w:val="Opsommingsymbool0"/>
              <w:rPr>
                <w:sz w:val="18"/>
                <w:lang w:val="en-GB"/>
              </w:rPr>
            </w:pPr>
            <w:r w:rsidRPr="004E3D5A">
              <w:rPr>
                <w:sz w:val="18"/>
                <w:lang w:val="en-GB"/>
              </w:rPr>
              <w:t>Drafting agreement &amp; Ratification</w:t>
            </w:r>
          </w:p>
          <w:p w14:paraId="6FA71220" w14:textId="7753BCE5" w:rsidR="00FE11BE" w:rsidRPr="004E3D5A" w:rsidRDefault="00FE11BE" w:rsidP="00FE11BE">
            <w:pPr>
              <w:pStyle w:val="Opsommingsymbool0"/>
              <w:rPr>
                <w:sz w:val="18"/>
                <w:lang w:val="en-GB"/>
              </w:rPr>
            </w:pPr>
            <w:r w:rsidRPr="004E3D5A">
              <w:rPr>
                <w:sz w:val="18"/>
                <w:lang w:val="en-GB"/>
              </w:rPr>
              <w:t xml:space="preserve">Meetings with neighbouring MS </w:t>
            </w:r>
          </w:p>
          <w:p w14:paraId="7FA91F7C" w14:textId="776F4C88" w:rsidR="00677009" w:rsidRPr="004E3D5A" w:rsidRDefault="00FE11BE" w:rsidP="00FE11BE">
            <w:pPr>
              <w:pStyle w:val="Opsommingsymbool0"/>
              <w:rPr>
                <w:sz w:val="18"/>
                <w:lang w:val="en-GB"/>
              </w:rPr>
            </w:pPr>
            <w:r w:rsidRPr="004E3D5A">
              <w:rPr>
                <w:sz w:val="18"/>
                <w:lang w:val="en-GB"/>
              </w:rPr>
              <w:t>Travel &amp; other costs</w:t>
            </w:r>
          </w:p>
        </w:tc>
      </w:tr>
      <w:tr w:rsidR="00677009" w:rsidRPr="004E3D5A" w14:paraId="64956894" w14:textId="77777777" w:rsidTr="00FE11BE">
        <w:tc>
          <w:tcPr>
            <w:tcW w:w="3256" w:type="dxa"/>
          </w:tcPr>
          <w:p w14:paraId="565CB9F0" w14:textId="77777777" w:rsidR="00FE11BE" w:rsidRPr="004E3D5A" w:rsidRDefault="00FE11BE" w:rsidP="00FE11BE">
            <w:pPr>
              <w:pStyle w:val="OpsommingSymbool"/>
              <w:numPr>
                <w:ilvl w:val="0"/>
                <w:numId w:val="0"/>
              </w:numPr>
              <w:rPr>
                <w:sz w:val="18"/>
                <w:lang w:val="en-GB"/>
              </w:rPr>
            </w:pPr>
            <w:r w:rsidRPr="004E3D5A">
              <w:rPr>
                <w:sz w:val="18"/>
                <w:lang w:val="en-GB"/>
              </w:rPr>
              <w:t>Management costs</w:t>
            </w:r>
          </w:p>
          <w:p w14:paraId="5FAFF1AE" w14:textId="3E571DF8" w:rsidR="00677009" w:rsidRPr="004E3D5A" w:rsidRDefault="00677009" w:rsidP="00FE11BE">
            <w:pPr>
              <w:pStyle w:val="OpsommingSymbool"/>
              <w:numPr>
                <w:ilvl w:val="0"/>
                <w:numId w:val="0"/>
              </w:numPr>
              <w:rPr>
                <w:sz w:val="18"/>
                <w:lang w:val="en-GB"/>
              </w:rPr>
            </w:pPr>
          </w:p>
        </w:tc>
        <w:tc>
          <w:tcPr>
            <w:tcW w:w="4105" w:type="dxa"/>
          </w:tcPr>
          <w:p w14:paraId="7E4D3FF7" w14:textId="77777777" w:rsidR="00FE11BE" w:rsidRPr="004E3D5A" w:rsidRDefault="00FE11BE" w:rsidP="00FE11BE">
            <w:pPr>
              <w:pStyle w:val="Opsommingsymbool0"/>
              <w:rPr>
                <w:sz w:val="18"/>
                <w:lang w:val="en-GB"/>
              </w:rPr>
            </w:pPr>
            <w:r w:rsidRPr="004E3D5A">
              <w:rPr>
                <w:sz w:val="18"/>
                <w:lang w:val="en-GB"/>
              </w:rPr>
              <w:t>Staff time (preparation, follow up)</w:t>
            </w:r>
          </w:p>
          <w:p w14:paraId="749BDB8A" w14:textId="5625EF04" w:rsidR="00FE11BE" w:rsidRPr="004E3D5A" w:rsidRDefault="00FE11BE" w:rsidP="00FE11BE">
            <w:pPr>
              <w:pStyle w:val="Opsommingsymbool0"/>
              <w:rPr>
                <w:sz w:val="18"/>
                <w:lang w:val="en-GB"/>
              </w:rPr>
            </w:pPr>
            <w:r w:rsidRPr="004E3D5A">
              <w:rPr>
                <w:sz w:val="18"/>
                <w:lang w:val="en-GB"/>
              </w:rPr>
              <w:t>Meetings with neighbouring MS</w:t>
            </w:r>
          </w:p>
          <w:p w14:paraId="0D35D0BC" w14:textId="084F5761" w:rsidR="00677009" w:rsidRPr="004E3D5A" w:rsidRDefault="00FE11BE" w:rsidP="00FE11BE">
            <w:pPr>
              <w:pStyle w:val="Opsommingsymbool0"/>
              <w:rPr>
                <w:sz w:val="18"/>
                <w:lang w:val="en-GB"/>
              </w:rPr>
            </w:pPr>
            <w:r w:rsidRPr="004E3D5A">
              <w:rPr>
                <w:sz w:val="18"/>
                <w:lang w:val="en-GB"/>
              </w:rPr>
              <w:t>Travel &amp; other costs</w:t>
            </w:r>
          </w:p>
        </w:tc>
      </w:tr>
      <w:tr w:rsidR="00FE11BE" w:rsidRPr="0049591E" w14:paraId="1565904B" w14:textId="77777777" w:rsidTr="00FE11BE">
        <w:tc>
          <w:tcPr>
            <w:tcW w:w="3256" w:type="dxa"/>
          </w:tcPr>
          <w:p w14:paraId="3B6B89A5" w14:textId="77777777" w:rsidR="00FE11BE" w:rsidRPr="004E3D5A" w:rsidRDefault="00FE11BE" w:rsidP="00FE11BE">
            <w:pPr>
              <w:pStyle w:val="OpsommingSymbool"/>
              <w:numPr>
                <w:ilvl w:val="0"/>
                <w:numId w:val="0"/>
              </w:numPr>
              <w:rPr>
                <w:sz w:val="18"/>
                <w:lang w:val="en-GB"/>
              </w:rPr>
            </w:pPr>
            <w:r w:rsidRPr="004E3D5A">
              <w:rPr>
                <w:sz w:val="18"/>
                <w:lang w:val="en-GB"/>
              </w:rPr>
              <w:t>Research costs</w:t>
            </w:r>
          </w:p>
          <w:p w14:paraId="39ABFF63" w14:textId="77777777" w:rsidR="00FE11BE" w:rsidRPr="004E3D5A" w:rsidRDefault="00FE11BE" w:rsidP="00FE11BE">
            <w:pPr>
              <w:pStyle w:val="OpsommingSymbool"/>
              <w:numPr>
                <w:ilvl w:val="0"/>
                <w:numId w:val="0"/>
              </w:numPr>
              <w:rPr>
                <w:sz w:val="18"/>
                <w:lang w:val="en-GB"/>
              </w:rPr>
            </w:pPr>
          </w:p>
        </w:tc>
        <w:tc>
          <w:tcPr>
            <w:tcW w:w="4105" w:type="dxa"/>
          </w:tcPr>
          <w:p w14:paraId="3BEC376F" w14:textId="526CA14C" w:rsidR="00FE11BE" w:rsidRPr="004E3D5A" w:rsidRDefault="00FE11BE" w:rsidP="00FE11BE">
            <w:pPr>
              <w:pStyle w:val="Opsommingsymbool0"/>
              <w:rPr>
                <w:sz w:val="18"/>
                <w:lang w:val="en-GB"/>
              </w:rPr>
            </w:pPr>
            <w:r w:rsidRPr="004E3D5A">
              <w:rPr>
                <w:sz w:val="18"/>
                <w:lang w:val="en-GB"/>
              </w:rPr>
              <w:t>Research time</w:t>
            </w:r>
          </w:p>
          <w:p w14:paraId="12E8D281" w14:textId="77777777" w:rsidR="00FE11BE" w:rsidRPr="004E3D5A" w:rsidRDefault="00FE11BE" w:rsidP="00122021">
            <w:pPr>
              <w:pStyle w:val="Opsommingsymbool0"/>
              <w:rPr>
                <w:sz w:val="18"/>
                <w:lang w:val="en-GB"/>
              </w:rPr>
            </w:pPr>
            <w:r w:rsidRPr="004E3D5A">
              <w:rPr>
                <w:sz w:val="18"/>
                <w:lang w:val="en-GB"/>
              </w:rPr>
              <w:t>Information and meeting costs</w:t>
            </w:r>
          </w:p>
          <w:p w14:paraId="167158BA" w14:textId="1F8493A3" w:rsidR="00FE11BE" w:rsidRPr="004E3D5A" w:rsidRDefault="00FE11BE" w:rsidP="00FE11BE">
            <w:pPr>
              <w:pStyle w:val="Opsommingsymbool0"/>
              <w:rPr>
                <w:sz w:val="18"/>
                <w:lang w:val="en-GB"/>
              </w:rPr>
            </w:pPr>
            <w:r w:rsidRPr="004E3D5A">
              <w:rPr>
                <w:sz w:val="18"/>
                <w:lang w:val="en-GB"/>
              </w:rPr>
              <w:t>Alternative approach: costs of similar research projects</w:t>
            </w:r>
          </w:p>
        </w:tc>
      </w:tr>
      <w:tr w:rsidR="00FE11BE" w:rsidRPr="004E3D5A" w14:paraId="26195DAB" w14:textId="77777777" w:rsidTr="00FE11BE">
        <w:tc>
          <w:tcPr>
            <w:tcW w:w="3256" w:type="dxa"/>
          </w:tcPr>
          <w:p w14:paraId="2A78F56A" w14:textId="77777777" w:rsidR="00FE11BE" w:rsidRPr="004E3D5A" w:rsidRDefault="00FE11BE" w:rsidP="00FE11BE">
            <w:pPr>
              <w:pStyle w:val="OpsommingSymbool"/>
              <w:numPr>
                <w:ilvl w:val="0"/>
                <w:numId w:val="0"/>
              </w:numPr>
              <w:rPr>
                <w:sz w:val="18"/>
                <w:lang w:val="en-GB"/>
              </w:rPr>
            </w:pPr>
            <w:r w:rsidRPr="004E3D5A">
              <w:rPr>
                <w:sz w:val="18"/>
                <w:lang w:val="en-GB"/>
              </w:rPr>
              <w:t>Training costs</w:t>
            </w:r>
          </w:p>
          <w:p w14:paraId="362B25D0" w14:textId="77777777" w:rsidR="00FE11BE" w:rsidRPr="004E3D5A" w:rsidRDefault="00FE11BE" w:rsidP="00FE11BE">
            <w:pPr>
              <w:pStyle w:val="OpsommingSymbool"/>
              <w:numPr>
                <w:ilvl w:val="0"/>
                <w:numId w:val="0"/>
              </w:numPr>
              <w:rPr>
                <w:sz w:val="18"/>
                <w:lang w:val="en-GB"/>
              </w:rPr>
            </w:pPr>
          </w:p>
          <w:p w14:paraId="17A085E0" w14:textId="77777777" w:rsidR="00FE11BE" w:rsidRPr="004E3D5A" w:rsidRDefault="00FE11BE" w:rsidP="00FE11BE">
            <w:pPr>
              <w:pStyle w:val="OpsommingSymbool"/>
              <w:numPr>
                <w:ilvl w:val="0"/>
                <w:numId w:val="0"/>
              </w:numPr>
              <w:rPr>
                <w:sz w:val="18"/>
                <w:lang w:val="en-GB"/>
              </w:rPr>
            </w:pPr>
          </w:p>
        </w:tc>
        <w:tc>
          <w:tcPr>
            <w:tcW w:w="4105" w:type="dxa"/>
          </w:tcPr>
          <w:p w14:paraId="35D2B690" w14:textId="77777777" w:rsidR="00FE11BE" w:rsidRPr="004E3D5A" w:rsidRDefault="00FE11BE" w:rsidP="00FE11BE">
            <w:pPr>
              <w:pStyle w:val="Opsommingsymbool0"/>
              <w:rPr>
                <w:sz w:val="18"/>
                <w:lang w:val="en-GB"/>
              </w:rPr>
            </w:pPr>
            <w:r w:rsidRPr="004E3D5A">
              <w:rPr>
                <w:sz w:val="18"/>
                <w:lang w:val="en-GB"/>
              </w:rPr>
              <w:t>Preparation</w:t>
            </w:r>
          </w:p>
          <w:p w14:paraId="6FB27BE4" w14:textId="77777777" w:rsidR="00FE11BE" w:rsidRPr="004E3D5A" w:rsidRDefault="00FE11BE" w:rsidP="00FE11BE">
            <w:pPr>
              <w:pStyle w:val="Opsommingsymbool0"/>
              <w:rPr>
                <w:sz w:val="18"/>
                <w:lang w:val="en-GB"/>
              </w:rPr>
            </w:pPr>
            <w:r w:rsidRPr="004E3D5A">
              <w:rPr>
                <w:sz w:val="18"/>
                <w:lang w:val="en-GB"/>
              </w:rPr>
              <w:t>Training material (courses)</w:t>
            </w:r>
          </w:p>
          <w:p w14:paraId="043CA883" w14:textId="2D47C1E8" w:rsidR="00FE11BE" w:rsidRPr="004E3D5A" w:rsidRDefault="00FE11BE" w:rsidP="00FE11BE">
            <w:pPr>
              <w:pStyle w:val="Opsommingsymbool0"/>
              <w:rPr>
                <w:sz w:val="18"/>
                <w:lang w:val="en-GB"/>
              </w:rPr>
            </w:pPr>
            <w:r w:rsidRPr="004E3D5A">
              <w:rPr>
                <w:sz w:val="18"/>
                <w:lang w:val="en-GB"/>
              </w:rPr>
              <w:t>Giving training</w:t>
            </w:r>
          </w:p>
        </w:tc>
      </w:tr>
      <w:tr w:rsidR="00FE11BE" w:rsidRPr="004E3D5A" w14:paraId="3E65FB9B" w14:textId="77777777" w:rsidTr="00FE11BE">
        <w:tc>
          <w:tcPr>
            <w:tcW w:w="3256" w:type="dxa"/>
          </w:tcPr>
          <w:p w14:paraId="37CC465B" w14:textId="77777777" w:rsidR="00FE11BE" w:rsidRPr="004E3D5A" w:rsidRDefault="00FE11BE" w:rsidP="00FE11BE">
            <w:pPr>
              <w:pStyle w:val="OpsommingSymbool"/>
              <w:numPr>
                <w:ilvl w:val="0"/>
                <w:numId w:val="0"/>
              </w:numPr>
              <w:rPr>
                <w:sz w:val="18"/>
                <w:lang w:val="en-GB"/>
              </w:rPr>
            </w:pPr>
            <w:r w:rsidRPr="004E3D5A">
              <w:rPr>
                <w:sz w:val="18"/>
                <w:lang w:val="en-GB"/>
              </w:rPr>
              <w:t>Enforcement costs</w:t>
            </w:r>
          </w:p>
          <w:p w14:paraId="6721DB87" w14:textId="77777777" w:rsidR="00FE11BE" w:rsidRPr="004E3D5A" w:rsidRDefault="00FE11BE" w:rsidP="00FE11BE">
            <w:pPr>
              <w:pStyle w:val="OpsommingSymbool"/>
              <w:numPr>
                <w:ilvl w:val="0"/>
                <w:numId w:val="0"/>
              </w:numPr>
              <w:rPr>
                <w:sz w:val="18"/>
                <w:lang w:val="en-GB"/>
              </w:rPr>
            </w:pPr>
          </w:p>
        </w:tc>
        <w:tc>
          <w:tcPr>
            <w:tcW w:w="4105" w:type="dxa"/>
          </w:tcPr>
          <w:p w14:paraId="7330457A" w14:textId="77777777" w:rsidR="00FE11BE" w:rsidRPr="004E3D5A" w:rsidRDefault="00FE11BE" w:rsidP="00FE11BE">
            <w:pPr>
              <w:pStyle w:val="Opsommingsymbool0"/>
              <w:rPr>
                <w:sz w:val="18"/>
                <w:lang w:val="en-GB"/>
              </w:rPr>
            </w:pPr>
            <w:r w:rsidRPr="004E3D5A">
              <w:rPr>
                <w:sz w:val="18"/>
                <w:lang w:val="en-GB"/>
              </w:rPr>
              <w:t xml:space="preserve">Surface surveillance </w:t>
            </w:r>
          </w:p>
          <w:p w14:paraId="1DE63F4D" w14:textId="77777777" w:rsidR="00FE11BE" w:rsidRPr="004E3D5A" w:rsidRDefault="00FE11BE" w:rsidP="00FE11BE">
            <w:pPr>
              <w:pStyle w:val="Opsommingsymbool0"/>
              <w:rPr>
                <w:sz w:val="18"/>
                <w:lang w:val="en-GB"/>
              </w:rPr>
            </w:pPr>
            <w:r w:rsidRPr="004E3D5A">
              <w:rPr>
                <w:sz w:val="18"/>
                <w:lang w:val="en-GB"/>
              </w:rPr>
              <w:t>Joint enforcement patrols with local officer</w:t>
            </w:r>
          </w:p>
          <w:p w14:paraId="251728B1" w14:textId="77777777" w:rsidR="00FE11BE" w:rsidRPr="004E3D5A" w:rsidRDefault="00FE11BE" w:rsidP="00FE11BE">
            <w:pPr>
              <w:pStyle w:val="Opsommingsymbool0"/>
              <w:rPr>
                <w:sz w:val="18"/>
                <w:lang w:val="en-GB"/>
              </w:rPr>
            </w:pPr>
            <w:r w:rsidRPr="004E3D5A">
              <w:rPr>
                <w:sz w:val="18"/>
                <w:lang w:val="en-GB"/>
              </w:rPr>
              <w:t xml:space="preserve">Aerial surveillance </w:t>
            </w:r>
          </w:p>
          <w:p w14:paraId="18EFB100" w14:textId="468108CB" w:rsidR="00FE11BE" w:rsidRPr="004E3D5A" w:rsidRDefault="00FE11BE" w:rsidP="00FE11BE">
            <w:pPr>
              <w:pStyle w:val="Opsommingsymbool0"/>
              <w:rPr>
                <w:sz w:val="18"/>
                <w:lang w:val="en-GB"/>
              </w:rPr>
            </w:pPr>
            <w:r w:rsidRPr="004E3D5A">
              <w:rPr>
                <w:sz w:val="18"/>
                <w:lang w:val="en-GB"/>
              </w:rPr>
              <w:t>Investigations/prosecutions</w:t>
            </w:r>
          </w:p>
        </w:tc>
      </w:tr>
      <w:tr w:rsidR="00FE11BE" w:rsidRPr="004E3D5A" w14:paraId="75190107" w14:textId="77777777" w:rsidTr="00FE11BE">
        <w:tc>
          <w:tcPr>
            <w:tcW w:w="3256" w:type="dxa"/>
          </w:tcPr>
          <w:p w14:paraId="2E8E2C27" w14:textId="77777777" w:rsidR="00FE11BE" w:rsidRPr="004E3D5A" w:rsidRDefault="00FE11BE" w:rsidP="00FE11BE">
            <w:pPr>
              <w:pStyle w:val="OpsommingSymbool"/>
              <w:numPr>
                <w:ilvl w:val="0"/>
                <w:numId w:val="0"/>
              </w:numPr>
              <w:rPr>
                <w:sz w:val="18"/>
                <w:lang w:val="en-GB"/>
              </w:rPr>
            </w:pPr>
            <w:r w:rsidRPr="004E3D5A">
              <w:rPr>
                <w:sz w:val="18"/>
                <w:lang w:val="en-GB"/>
              </w:rPr>
              <w:t>Communication costs</w:t>
            </w:r>
          </w:p>
          <w:p w14:paraId="04B830CF" w14:textId="77777777" w:rsidR="00FE11BE" w:rsidRPr="004E3D5A" w:rsidRDefault="00FE11BE" w:rsidP="00FE11BE">
            <w:pPr>
              <w:pStyle w:val="OpsommingSymbool"/>
              <w:numPr>
                <w:ilvl w:val="0"/>
                <w:numId w:val="0"/>
              </w:numPr>
              <w:rPr>
                <w:sz w:val="18"/>
                <w:lang w:val="en-GB"/>
              </w:rPr>
            </w:pPr>
          </w:p>
        </w:tc>
        <w:tc>
          <w:tcPr>
            <w:tcW w:w="4105" w:type="dxa"/>
          </w:tcPr>
          <w:p w14:paraId="445610F1" w14:textId="77777777" w:rsidR="00FE11BE" w:rsidRPr="004E3D5A" w:rsidRDefault="00FE11BE" w:rsidP="00FE11BE">
            <w:pPr>
              <w:pStyle w:val="Opsommingsymbool0"/>
              <w:rPr>
                <w:sz w:val="18"/>
                <w:lang w:val="en-GB"/>
              </w:rPr>
            </w:pPr>
            <w:r w:rsidRPr="004E3D5A">
              <w:rPr>
                <w:sz w:val="18"/>
                <w:lang w:val="en-GB"/>
              </w:rPr>
              <w:t xml:space="preserve">Advertisement </w:t>
            </w:r>
          </w:p>
          <w:p w14:paraId="34D4B568" w14:textId="77777777" w:rsidR="00FE11BE" w:rsidRPr="004E3D5A" w:rsidRDefault="00FE11BE" w:rsidP="00FE11BE">
            <w:pPr>
              <w:pStyle w:val="Opsommingsymbool0"/>
              <w:rPr>
                <w:sz w:val="18"/>
                <w:lang w:val="en-GB"/>
              </w:rPr>
            </w:pPr>
            <w:r w:rsidRPr="004E3D5A">
              <w:rPr>
                <w:sz w:val="18"/>
                <w:lang w:val="en-GB"/>
              </w:rPr>
              <w:t>Staff time</w:t>
            </w:r>
          </w:p>
          <w:p w14:paraId="29351951" w14:textId="5F3B26C4" w:rsidR="00FE11BE" w:rsidRPr="004E3D5A" w:rsidRDefault="00FE11BE" w:rsidP="00FE11BE">
            <w:pPr>
              <w:pStyle w:val="Opsommingsymbool0"/>
              <w:rPr>
                <w:sz w:val="18"/>
                <w:lang w:val="en-GB"/>
              </w:rPr>
            </w:pPr>
            <w:r w:rsidRPr="004E3D5A">
              <w:rPr>
                <w:sz w:val="18"/>
                <w:lang w:val="en-GB"/>
              </w:rPr>
              <w:t>Other administration costs</w:t>
            </w:r>
          </w:p>
        </w:tc>
      </w:tr>
      <w:tr w:rsidR="00FE11BE" w:rsidRPr="004E3D5A" w14:paraId="55FEBAD1" w14:textId="77777777" w:rsidTr="00FE11BE">
        <w:tc>
          <w:tcPr>
            <w:tcW w:w="3256" w:type="dxa"/>
          </w:tcPr>
          <w:p w14:paraId="6484E761" w14:textId="77777777" w:rsidR="00FE11BE" w:rsidRPr="004E3D5A" w:rsidRDefault="00FE11BE" w:rsidP="00FE11BE">
            <w:pPr>
              <w:pStyle w:val="OpsommingSymbool"/>
              <w:numPr>
                <w:ilvl w:val="0"/>
                <w:numId w:val="0"/>
              </w:numPr>
              <w:rPr>
                <w:sz w:val="18"/>
                <w:lang w:val="en-GB"/>
              </w:rPr>
            </w:pPr>
            <w:r w:rsidRPr="004E3D5A">
              <w:rPr>
                <w:sz w:val="18"/>
                <w:lang w:val="en-GB"/>
              </w:rPr>
              <w:t>Cost for awareness raising</w:t>
            </w:r>
          </w:p>
          <w:p w14:paraId="5BA68E8B" w14:textId="77777777" w:rsidR="00FE11BE" w:rsidRPr="004E3D5A" w:rsidRDefault="00FE11BE" w:rsidP="00FE11BE">
            <w:pPr>
              <w:pStyle w:val="OpsommingSymbool"/>
              <w:numPr>
                <w:ilvl w:val="0"/>
                <w:numId w:val="0"/>
              </w:numPr>
              <w:rPr>
                <w:sz w:val="18"/>
                <w:lang w:val="en-GB"/>
              </w:rPr>
            </w:pPr>
          </w:p>
        </w:tc>
        <w:tc>
          <w:tcPr>
            <w:tcW w:w="4105" w:type="dxa"/>
          </w:tcPr>
          <w:p w14:paraId="1CC2657B" w14:textId="77777777" w:rsidR="00FE11BE" w:rsidRPr="004E3D5A" w:rsidRDefault="00FE11BE" w:rsidP="00FE11BE">
            <w:pPr>
              <w:pStyle w:val="Opsommingsymbool0"/>
              <w:rPr>
                <w:sz w:val="18"/>
                <w:lang w:val="en-GB"/>
              </w:rPr>
            </w:pPr>
            <w:r w:rsidRPr="004E3D5A">
              <w:rPr>
                <w:sz w:val="18"/>
                <w:lang w:val="en-GB"/>
              </w:rPr>
              <w:t>Staff time (preparation, follow up)</w:t>
            </w:r>
          </w:p>
          <w:p w14:paraId="1FB74C81" w14:textId="5DA98601" w:rsidR="00FE11BE" w:rsidRPr="004E3D5A" w:rsidRDefault="00FE11BE" w:rsidP="00FE11BE">
            <w:pPr>
              <w:pStyle w:val="Opsommingsymbool0"/>
              <w:rPr>
                <w:sz w:val="18"/>
                <w:lang w:val="en-GB"/>
              </w:rPr>
            </w:pPr>
            <w:r w:rsidRPr="004E3D5A">
              <w:rPr>
                <w:sz w:val="18"/>
                <w:lang w:val="en-GB"/>
              </w:rPr>
              <w:t>Awareness raising material</w:t>
            </w:r>
          </w:p>
        </w:tc>
      </w:tr>
      <w:tr w:rsidR="00FE11BE" w:rsidRPr="004E3D5A" w14:paraId="0A1D15A7" w14:textId="77777777" w:rsidTr="00FE11BE">
        <w:tc>
          <w:tcPr>
            <w:tcW w:w="3256" w:type="dxa"/>
          </w:tcPr>
          <w:p w14:paraId="0B3741DC" w14:textId="77777777" w:rsidR="00FE11BE" w:rsidRPr="004E3D5A" w:rsidRDefault="00FE11BE" w:rsidP="00FE11BE">
            <w:pPr>
              <w:pStyle w:val="OpsommingSymbool"/>
              <w:numPr>
                <w:ilvl w:val="0"/>
                <w:numId w:val="0"/>
              </w:numPr>
              <w:rPr>
                <w:sz w:val="18"/>
                <w:lang w:val="en-GB"/>
              </w:rPr>
            </w:pPr>
            <w:r w:rsidRPr="004E3D5A">
              <w:rPr>
                <w:sz w:val="18"/>
                <w:lang w:val="en-GB"/>
              </w:rPr>
              <w:t>Technical implementation costs</w:t>
            </w:r>
          </w:p>
          <w:p w14:paraId="2BA5D5F9" w14:textId="77777777" w:rsidR="00FE11BE" w:rsidRPr="004E3D5A" w:rsidRDefault="00FE11BE" w:rsidP="00FE11BE">
            <w:pPr>
              <w:pStyle w:val="OpsommingSymbool"/>
              <w:numPr>
                <w:ilvl w:val="0"/>
                <w:numId w:val="0"/>
              </w:numPr>
              <w:rPr>
                <w:sz w:val="18"/>
                <w:lang w:val="en-GB"/>
              </w:rPr>
            </w:pPr>
          </w:p>
        </w:tc>
        <w:tc>
          <w:tcPr>
            <w:tcW w:w="4105" w:type="dxa"/>
          </w:tcPr>
          <w:p w14:paraId="410AC711" w14:textId="77777777" w:rsidR="00FE11BE" w:rsidRPr="004E3D5A" w:rsidRDefault="00FE11BE" w:rsidP="00FE11BE">
            <w:pPr>
              <w:pStyle w:val="Opsommingsymbool0"/>
              <w:rPr>
                <w:sz w:val="18"/>
                <w:lang w:val="en-GB"/>
              </w:rPr>
            </w:pPr>
            <w:r w:rsidRPr="004E3D5A">
              <w:rPr>
                <w:sz w:val="18"/>
                <w:lang w:val="en-GB"/>
              </w:rPr>
              <w:t xml:space="preserve">Investment costs </w:t>
            </w:r>
          </w:p>
          <w:p w14:paraId="5583BA01" w14:textId="77777777" w:rsidR="00FE11BE" w:rsidRPr="004E3D5A" w:rsidRDefault="00FE11BE" w:rsidP="00FE11BE">
            <w:pPr>
              <w:pStyle w:val="Opsommingsymbool0"/>
              <w:rPr>
                <w:sz w:val="18"/>
                <w:lang w:val="en-GB"/>
              </w:rPr>
            </w:pPr>
            <w:r w:rsidRPr="004E3D5A">
              <w:rPr>
                <w:sz w:val="18"/>
                <w:lang w:val="en-GB"/>
              </w:rPr>
              <w:t xml:space="preserve">Operational costs </w:t>
            </w:r>
          </w:p>
          <w:p w14:paraId="140E77F8" w14:textId="4B86A9B5" w:rsidR="00FE11BE" w:rsidRPr="004E3D5A" w:rsidRDefault="00FE11BE" w:rsidP="00FE11BE">
            <w:pPr>
              <w:pStyle w:val="Opsommingsymbool0"/>
              <w:rPr>
                <w:sz w:val="18"/>
                <w:lang w:val="en-GB"/>
              </w:rPr>
            </w:pPr>
            <w:r w:rsidRPr="004E3D5A">
              <w:rPr>
                <w:sz w:val="18"/>
                <w:lang w:val="en-GB"/>
              </w:rPr>
              <w:t>Maintenance costs</w:t>
            </w:r>
          </w:p>
        </w:tc>
      </w:tr>
      <w:tr w:rsidR="00FE11BE" w:rsidRPr="004E3D5A" w14:paraId="2EC65C2B" w14:textId="77777777" w:rsidTr="00FE11BE">
        <w:tc>
          <w:tcPr>
            <w:tcW w:w="3256" w:type="dxa"/>
          </w:tcPr>
          <w:p w14:paraId="452846AF" w14:textId="77777777" w:rsidR="00FE11BE" w:rsidRPr="004E3D5A" w:rsidRDefault="00FE11BE" w:rsidP="00FE11BE">
            <w:pPr>
              <w:pStyle w:val="OpsommingSymbool"/>
              <w:numPr>
                <w:ilvl w:val="0"/>
                <w:numId w:val="0"/>
              </w:numPr>
              <w:rPr>
                <w:sz w:val="18"/>
                <w:lang w:val="en-GB"/>
              </w:rPr>
            </w:pPr>
            <w:r w:rsidRPr="004E3D5A">
              <w:rPr>
                <w:sz w:val="18"/>
                <w:lang w:val="en-GB"/>
              </w:rPr>
              <w:t>Sectoral costs</w:t>
            </w:r>
          </w:p>
          <w:p w14:paraId="5C73CD3A" w14:textId="77777777" w:rsidR="00FE11BE" w:rsidRPr="004E3D5A" w:rsidRDefault="00FE11BE" w:rsidP="00FE11BE">
            <w:pPr>
              <w:pStyle w:val="OpsommingSymbool"/>
              <w:numPr>
                <w:ilvl w:val="0"/>
                <w:numId w:val="0"/>
              </w:numPr>
              <w:rPr>
                <w:sz w:val="18"/>
                <w:lang w:val="en-GB"/>
              </w:rPr>
            </w:pPr>
          </w:p>
        </w:tc>
        <w:tc>
          <w:tcPr>
            <w:tcW w:w="4105" w:type="dxa"/>
          </w:tcPr>
          <w:p w14:paraId="24089103" w14:textId="77777777" w:rsidR="00FE11BE" w:rsidRPr="004E3D5A" w:rsidRDefault="00FE11BE" w:rsidP="00FE11BE">
            <w:pPr>
              <w:pStyle w:val="Opsommingsymbool0"/>
              <w:rPr>
                <w:sz w:val="18"/>
                <w:lang w:val="en-GB"/>
              </w:rPr>
            </w:pPr>
            <w:r w:rsidRPr="004E3D5A">
              <w:rPr>
                <w:sz w:val="18"/>
                <w:lang w:val="en-GB"/>
              </w:rPr>
              <w:t>Investment &amp; operational costs</w:t>
            </w:r>
          </w:p>
          <w:p w14:paraId="77AFF4FB" w14:textId="77777777" w:rsidR="00FE11BE" w:rsidRPr="004E3D5A" w:rsidRDefault="00FE11BE" w:rsidP="00FE11BE">
            <w:pPr>
              <w:pStyle w:val="Opsommingsymbool0"/>
              <w:rPr>
                <w:sz w:val="18"/>
                <w:lang w:val="en-GB"/>
              </w:rPr>
            </w:pPr>
            <w:r w:rsidRPr="004E3D5A">
              <w:rPr>
                <w:sz w:val="18"/>
                <w:lang w:val="en-GB"/>
              </w:rPr>
              <w:t>Loss of added value</w:t>
            </w:r>
          </w:p>
          <w:p w14:paraId="61951152" w14:textId="08295A53" w:rsidR="00FE11BE" w:rsidRPr="004E3D5A" w:rsidRDefault="00FE11BE" w:rsidP="00FE11BE">
            <w:pPr>
              <w:pStyle w:val="Opsommingsymbool0"/>
              <w:rPr>
                <w:sz w:val="18"/>
                <w:lang w:val="en-GB"/>
              </w:rPr>
            </w:pPr>
            <w:r w:rsidRPr="004E3D5A">
              <w:rPr>
                <w:sz w:val="18"/>
                <w:lang w:val="en-GB"/>
              </w:rPr>
              <w:t>Loss of employment</w:t>
            </w:r>
          </w:p>
        </w:tc>
      </w:tr>
    </w:tbl>
    <w:p w14:paraId="02B2365E" w14:textId="77777777" w:rsidR="00DB7EF9" w:rsidRPr="002605F8" w:rsidRDefault="00DB7EF9" w:rsidP="0007687A">
      <w:pPr>
        <w:pStyle w:val="OpsommingSymbool"/>
        <w:numPr>
          <w:ilvl w:val="0"/>
          <w:numId w:val="0"/>
        </w:numPr>
        <w:ind w:left="1985"/>
        <w:rPr>
          <w:lang w:val="en-GB"/>
        </w:rPr>
      </w:pPr>
    </w:p>
    <w:p w14:paraId="6521B216" w14:textId="77777777" w:rsidR="00BF65A4" w:rsidRPr="002605F8" w:rsidRDefault="00BF65A4" w:rsidP="00487377">
      <w:pPr>
        <w:pStyle w:val="Kop2"/>
        <w:rPr>
          <w:lang w:val="en-GB"/>
        </w:rPr>
      </w:pPr>
      <w:r w:rsidRPr="002605F8">
        <w:rPr>
          <w:lang w:val="en-GB"/>
        </w:rPr>
        <w:lastRenderedPageBreak/>
        <w:t>First rough assessment</w:t>
      </w:r>
    </w:p>
    <w:p w14:paraId="58B9D990" w14:textId="18838CA4" w:rsidR="00BF65A4" w:rsidRPr="002605F8" w:rsidRDefault="00BF65A4" w:rsidP="0007687A">
      <w:pPr>
        <w:pStyle w:val="ARCADISStandaard"/>
        <w:rPr>
          <w:lang w:val="en-GB"/>
        </w:rPr>
      </w:pPr>
      <w:r w:rsidRPr="002605F8">
        <w:rPr>
          <w:lang w:val="en-GB"/>
        </w:rPr>
        <w:t>Based on the breakdown of measures</w:t>
      </w:r>
      <w:r w:rsidR="00E37308" w:rsidRPr="002605F8">
        <w:rPr>
          <w:lang w:val="en-GB"/>
        </w:rPr>
        <w:t xml:space="preserve"> and their operational actions</w:t>
      </w:r>
      <w:r w:rsidRPr="002605F8">
        <w:rPr>
          <w:lang w:val="en-GB"/>
        </w:rPr>
        <w:t xml:space="preserve"> into cost components, a first rough cost indication should be obtained. Costs will be divided into low, medium, high categories each with a preliminary cost range</w:t>
      </w:r>
      <w:r w:rsidR="00C728D6" w:rsidRPr="002605F8">
        <w:rPr>
          <w:rStyle w:val="Voetnootmarkering"/>
          <w:lang w:val="en-GB"/>
        </w:rPr>
        <w:footnoteReference w:id="1"/>
      </w:r>
      <w:r w:rsidRPr="002605F8">
        <w:rPr>
          <w:lang w:val="en-GB"/>
        </w:rPr>
        <w:t xml:space="preserve">; </w:t>
      </w:r>
    </w:p>
    <w:p w14:paraId="6CDC4339" w14:textId="3516EB23" w:rsidR="00BF65A4" w:rsidRPr="002605F8" w:rsidRDefault="00BF65A4" w:rsidP="0007687A">
      <w:pPr>
        <w:pStyle w:val="OpsommingSymbool"/>
        <w:rPr>
          <w:lang w:val="en-GB"/>
        </w:rPr>
      </w:pPr>
      <w:r w:rsidRPr="002605F8">
        <w:rPr>
          <w:lang w:val="en-GB"/>
        </w:rPr>
        <w:t>Low</w:t>
      </w:r>
      <w:r w:rsidR="00C728D6" w:rsidRPr="002605F8">
        <w:rPr>
          <w:lang w:val="en-GB"/>
        </w:rPr>
        <w:t xml:space="preserve">: &lt; </w:t>
      </w:r>
      <w:r w:rsidR="002719D9">
        <w:rPr>
          <w:lang w:val="en-GB"/>
        </w:rPr>
        <w:t>5</w:t>
      </w:r>
      <w:r w:rsidR="00C728D6" w:rsidRPr="002605F8">
        <w:rPr>
          <w:lang w:val="en-GB"/>
        </w:rPr>
        <w:t>0</w:t>
      </w:r>
      <w:r w:rsidR="002719D9">
        <w:rPr>
          <w:lang w:val="en-GB"/>
        </w:rPr>
        <w:t>.</w:t>
      </w:r>
      <w:r w:rsidR="00C728D6" w:rsidRPr="002605F8">
        <w:rPr>
          <w:lang w:val="en-GB"/>
        </w:rPr>
        <w:t>000 €</w:t>
      </w:r>
    </w:p>
    <w:p w14:paraId="590BE0B6" w14:textId="6DEDEC0F" w:rsidR="00BF65A4" w:rsidRPr="002605F8" w:rsidRDefault="00BF65A4" w:rsidP="0007687A">
      <w:pPr>
        <w:pStyle w:val="OpsommingSymbool"/>
        <w:rPr>
          <w:lang w:val="en-GB"/>
        </w:rPr>
      </w:pPr>
      <w:r w:rsidRPr="002605F8">
        <w:rPr>
          <w:lang w:val="en-GB"/>
        </w:rPr>
        <w:t>M</w:t>
      </w:r>
      <w:r w:rsidR="004E3D5A">
        <w:rPr>
          <w:lang w:val="en-GB"/>
        </w:rPr>
        <w:t>oderate</w:t>
      </w:r>
      <w:r w:rsidR="00C728D6" w:rsidRPr="002605F8">
        <w:rPr>
          <w:lang w:val="en-GB"/>
        </w:rPr>
        <w:t xml:space="preserve">: </w:t>
      </w:r>
      <w:r w:rsidR="002719D9">
        <w:rPr>
          <w:lang w:val="en-GB"/>
        </w:rPr>
        <w:t>5</w:t>
      </w:r>
      <w:r w:rsidR="00C728D6" w:rsidRPr="002605F8">
        <w:rPr>
          <w:lang w:val="en-GB"/>
        </w:rPr>
        <w:t>0</w:t>
      </w:r>
      <w:r w:rsidR="004E3D5A">
        <w:rPr>
          <w:lang w:val="en-GB"/>
        </w:rPr>
        <w:t>.</w:t>
      </w:r>
      <w:r w:rsidR="00C728D6" w:rsidRPr="002605F8">
        <w:rPr>
          <w:lang w:val="en-GB"/>
        </w:rPr>
        <w:t xml:space="preserve">000 – </w:t>
      </w:r>
      <w:r w:rsidR="002719D9">
        <w:rPr>
          <w:lang w:val="en-GB"/>
        </w:rPr>
        <w:t>500.000</w:t>
      </w:r>
      <w:r w:rsidR="00C728D6" w:rsidRPr="002605F8">
        <w:rPr>
          <w:lang w:val="en-GB"/>
        </w:rPr>
        <w:t xml:space="preserve"> €</w:t>
      </w:r>
    </w:p>
    <w:p w14:paraId="37B87B76" w14:textId="291FFDA2" w:rsidR="00BF65A4" w:rsidRPr="002605F8" w:rsidRDefault="00BF65A4" w:rsidP="0007687A">
      <w:pPr>
        <w:pStyle w:val="OpsommingSymbool"/>
        <w:rPr>
          <w:lang w:val="en-GB"/>
        </w:rPr>
      </w:pPr>
      <w:r w:rsidRPr="002605F8">
        <w:rPr>
          <w:lang w:val="en-GB"/>
        </w:rPr>
        <w:t xml:space="preserve">High: </w:t>
      </w:r>
      <w:r w:rsidR="00C728D6" w:rsidRPr="002605F8">
        <w:rPr>
          <w:lang w:val="en-GB"/>
        </w:rPr>
        <w:t xml:space="preserve">&gt; </w:t>
      </w:r>
      <w:r w:rsidR="002719D9">
        <w:rPr>
          <w:lang w:val="en-GB"/>
        </w:rPr>
        <w:t>500.000</w:t>
      </w:r>
      <w:r w:rsidR="002719D9" w:rsidRPr="002605F8">
        <w:rPr>
          <w:lang w:val="en-GB"/>
        </w:rPr>
        <w:t xml:space="preserve"> €</w:t>
      </w:r>
    </w:p>
    <w:p w14:paraId="3B653370" w14:textId="6F5A7E7F" w:rsidR="00B52A3D" w:rsidRPr="002605F8" w:rsidRDefault="00B52A3D" w:rsidP="00C54C95">
      <w:pPr>
        <w:pStyle w:val="ARCADISStandaard"/>
        <w:rPr>
          <w:lang w:val="en-GB"/>
        </w:rPr>
      </w:pPr>
      <w:r w:rsidRPr="002605F8">
        <w:rPr>
          <w:lang w:val="en-GB"/>
        </w:rPr>
        <w:t xml:space="preserve">This first assessment gives an indication of broad cost ranges and enables to assign the appropriate time/effort of further detailed analysis (see </w:t>
      </w:r>
      <w:r w:rsidRPr="002605F8">
        <w:rPr>
          <w:lang w:val="en-GB"/>
        </w:rPr>
        <w:fldChar w:fldCharType="begin"/>
      </w:r>
      <w:r w:rsidRPr="002605F8">
        <w:rPr>
          <w:lang w:val="en-GB"/>
        </w:rPr>
        <w:instrText xml:space="preserve"> REF _Ref418164892 \n \h </w:instrText>
      </w:r>
      <w:r w:rsidR="00194FFB" w:rsidRPr="002605F8">
        <w:rPr>
          <w:lang w:val="en-GB"/>
        </w:rPr>
        <w:instrText xml:space="preserve"> \* MERGEFORMAT </w:instrText>
      </w:r>
      <w:r w:rsidRPr="002605F8">
        <w:rPr>
          <w:lang w:val="en-GB"/>
        </w:rPr>
      </w:r>
      <w:r w:rsidRPr="002605F8">
        <w:rPr>
          <w:lang w:val="en-GB"/>
        </w:rPr>
        <w:fldChar w:fldCharType="separate"/>
      </w:r>
      <w:r w:rsidR="00487377">
        <w:rPr>
          <w:lang w:val="en-GB"/>
        </w:rPr>
        <w:t>4</w:t>
      </w:r>
      <w:r w:rsidRPr="002605F8">
        <w:rPr>
          <w:lang w:val="en-GB"/>
        </w:rPr>
        <w:fldChar w:fldCharType="end"/>
      </w:r>
      <w:r w:rsidRPr="002605F8">
        <w:rPr>
          <w:lang w:val="en-GB"/>
        </w:rPr>
        <w:t xml:space="preserve">). Focus should be placed on high cost measures. Low cost measures may be shifted backward </w:t>
      </w:r>
      <w:r w:rsidR="001F1160" w:rsidRPr="002605F8">
        <w:rPr>
          <w:lang w:val="en-GB"/>
        </w:rPr>
        <w:t>and</w:t>
      </w:r>
      <w:r w:rsidRPr="002605F8">
        <w:rPr>
          <w:lang w:val="en-GB"/>
        </w:rPr>
        <w:t xml:space="preserve"> analysed </w:t>
      </w:r>
      <w:r w:rsidR="001F1160" w:rsidRPr="002605F8">
        <w:rPr>
          <w:lang w:val="en-GB"/>
        </w:rPr>
        <w:t>more approximatively</w:t>
      </w:r>
      <w:r w:rsidR="00E37308" w:rsidRPr="002605F8">
        <w:rPr>
          <w:lang w:val="en-GB"/>
        </w:rPr>
        <w:t xml:space="preserve"> </w:t>
      </w:r>
      <w:r w:rsidR="005C667E" w:rsidRPr="002605F8">
        <w:rPr>
          <w:lang w:val="en-GB"/>
        </w:rPr>
        <w:t>(less worth the effort)</w:t>
      </w:r>
      <w:r w:rsidRPr="002605F8">
        <w:rPr>
          <w:lang w:val="en-GB"/>
        </w:rPr>
        <w:t>. Based on the outcomes of the detailed assessment, the 3 cost categories will be further divided into 5 size cla</w:t>
      </w:r>
      <w:r w:rsidR="0007687A" w:rsidRPr="002605F8">
        <w:rPr>
          <w:lang w:val="en-GB"/>
        </w:rPr>
        <w:t>s</w:t>
      </w:r>
      <w:r w:rsidRPr="002605F8">
        <w:rPr>
          <w:lang w:val="en-GB"/>
        </w:rPr>
        <w:t>ses</w:t>
      </w:r>
      <w:r w:rsidR="0007687A" w:rsidRPr="002605F8">
        <w:rPr>
          <w:lang w:val="en-GB"/>
        </w:rPr>
        <w:t xml:space="preserve"> when more accurate estimates have been made</w:t>
      </w:r>
      <w:r w:rsidR="001F1160" w:rsidRPr="002605F8">
        <w:rPr>
          <w:lang w:val="en-GB"/>
        </w:rPr>
        <w:t xml:space="preserve"> (see paragraph </w:t>
      </w:r>
      <w:r w:rsidR="001F1160" w:rsidRPr="002605F8">
        <w:rPr>
          <w:lang w:val="en-GB"/>
        </w:rPr>
        <w:fldChar w:fldCharType="begin"/>
      </w:r>
      <w:r w:rsidR="001F1160" w:rsidRPr="002605F8">
        <w:rPr>
          <w:lang w:val="en-GB"/>
        </w:rPr>
        <w:instrText xml:space="preserve"> REF _Ref435688625 \r \h </w:instrText>
      </w:r>
      <w:r w:rsidR="001F1160" w:rsidRPr="002605F8">
        <w:rPr>
          <w:lang w:val="en-GB"/>
        </w:rPr>
      </w:r>
      <w:r w:rsidR="001F1160" w:rsidRPr="002605F8">
        <w:rPr>
          <w:lang w:val="en-GB"/>
        </w:rPr>
        <w:fldChar w:fldCharType="separate"/>
      </w:r>
      <w:r w:rsidR="00E37308" w:rsidRPr="002605F8">
        <w:rPr>
          <w:lang w:val="en-GB"/>
        </w:rPr>
        <w:t>1.1.3.3</w:t>
      </w:r>
      <w:r w:rsidR="001F1160" w:rsidRPr="002605F8">
        <w:rPr>
          <w:lang w:val="en-GB"/>
        </w:rPr>
        <w:fldChar w:fldCharType="end"/>
      </w:r>
      <w:r w:rsidR="001F1160" w:rsidRPr="002605F8">
        <w:rPr>
          <w:lang w:val="en-GB"/>
        </w:rPr>
        <w:t>)</w:t>
      </w:r>
      <w:r w:rsidR="0007687A" w:rsidRPr="002605F8">
        <w:rPr>
          <w:lang w:val="en-GB"/>
        </w:rPr>
        <w:t>.</w:t>
      </w:r>
    </w:p>
    <w:p w14:paraId="347313CC" w14:textId="77777777" w:rsidR="00DB7EF9" w:rsidRPr="002605F8" w:rsidRDefault="00DB7EF9" w:rsidP="0007687A">
      <w:pPr>
        <w:spacing w:before="0" w:after="200" w:line="276" w:lineRule="auto"/>
        <w:rPr>
          <w:b/>
          <w:lang w:val="en-GB"/>
        </w:rPr>
      </w:pPr>
    </w:p>
    <w:p w14:paraId="3DCB5738" w14:textId="77777777" w:rsidR="005C25EA" w:rsidRPr="002605F8" w:rsidRDefault="005C25EA" w:rsidP="00487377">
      <w:pPr>
        <w:pStyle w:val="Kop2"/>
        <w:rPr>
          <w:lang w:val="en-GB"/>
        </w:rPr>
      </w:pPr>
      <w:bookmarkStart w:id="2" w:name="_Ref418164892"/>
      <w:r w:rsidRPr="002605F8">
        <w:rPr>
          <w:lang w:val="en-GB"/>
        </w:rPr>
        <w:t>Detailed assessment</w:t>
      </w:r>
      <w:bookmarkEnd w:id="2"/>
    </w:p>
    <w:p w14:paraId="3CDDDE94" w14:textId="284ED38C" w:rsidR="005C25EA" w:rsidRPr="002605F8" w:rsidRDefault="005C25EA" w:rsidP="00C54C95">
      <w:pPr>
        <w:pStyle w:val="ARCADISStandaard"/>
        <w:rPr>
          <w:lang w:val="en-GB"/>
        </w:rPr>
      </w:pPr>
      <w:r w:rsidRPr="002605F8">
        <w:rPr>
          <w:lang w:val="en-GB"/>
        </w:rPr>
        <w:t>As a final step in the cost assessment, cost data will be assigned to each cost component of the selected measures</w:t>
      </w:r>
      <w:r w:rsidR="005C667E" w:rsidRPr="002605F8">
        <w:rPr>
          <w:lang w:val="en-GB"/>
        </w:rPr>
        <w:t>/operational action</w:t>
      </w:r>
      <w:r w:rsidRPr="002605F8">
        <w:rPr>
          <w:lang w:val="en-GB"/>
        </w:rPr>
        <w:t>. Per category of measures the possible cost components are grouped, each including a table where cost data can be filled in, in a structural way. The costs will be given as one off cost and total annual costs,</w:t>
      </w:r>
      <w:r w:rsidRPr="002605F8">
        <w:rPr>
          <w:b/>
          <w:lang w:val="en-GB"/>
        </w:rPr>
        <w:t xml:space="preserve"> </w:t>
      </w:r>
      <w:r w:rsidR="00C54C95" w:rsidRPr="002605F8">
        <w:rPr>
          <w:lang w:val="en-GB"/>
        </w:rPr>
        <w:t xml:space="preserve">in case of operational costs, per Member State. </w:t>
      </w:r>
    </w:p>
    <w:p w14:paraId="26B0A870" w14:textId="77777777" w:rsidR="00194FFB" w:rsidRPr="002605F8" w:rsidRDefault="00194FFB" w:rsidP="005C25EA">
      <w:pPr>
        <w:spacing w:line="360" w:lineRule="auto"/>
        <w:ind w:left="1701"/>
        <w:jc w:val="both"/>
        <w:rPr>
          <w:lang w:val="en-GB"/>
        </w:rPr>
      </w:pPr>
    </w:p>
    <w:p w14:paraId="623A8DE7" w14:textId="77777777" w:rsidR="005C25EA" w:rsidRPr="002605F8" w:rsidRDefault="005C25EA" w:rsidP="00487377">
      <w:pPr>
        <w:pStyle w:val="Kop3"/>
        <w:rPr>
          <w:lang w:val="en-GB"/>
        </w:rPr>
      </w:pPr>
      <w:r w:rsidRPr="002605F8">
        <w:rPr>
          <w:lang w:val="en-GB"/>
        </w:rPr>
        <w:t>Cost assumptions &amp; unit cost data</w:t>
      </w:r>
    </w:p>
    <w:p w14:paraId="7A3289FB" w14:textId="642B05D7" w:rsidR="00487377" w:rsidRDefault="005C25EA" w:rsidP="005C25EA">
      <w:pPr>
        <w:spacing w:line="360" w:lineRule="auto"/>
        <w:ind w:left="1701"/>
        <w:jc w:val="both"/>
        <w:rPr>
          <w:lang w:val="en-GB"/>
        </w:rPr>
      </w:pPr>
      <w:r w:rsidRPr="009F0649">
        <w:rPr>
          <w:lang w:val="en-GB"/>
        </w:rPr>
        <w:t>Unit cost data (e.g. rate par day €) will in first instance be obtained from cost assessments done in the</w:t>
      </w:r>
      <w:r w:rsidR="002719D9" w:rsidRPr="009F0649">
        <w:rPr>
          <w:lang w:val="en-GB"/>
        </w:rPr>
        <w:t xml:space="preserve"> Black</w:t>
      </w:r>
      <w:r w:rsidRPr="009F0649">
        <w:rPr>
          <w:lang w:val="en-GB"/>
        </w:rPr>
        <w:t xml:space="preserve"> Sea and in other regional seas (e.g. </w:t>
      </w:r>
      <w:proofErr w:type="spellStart"/>
      <w:r w:rsidR="00DF6C3C" w:rsidRPr="009F0649">
        <w:rPr>
          <w:lang w:val="en-GB"/>
        </w:rPr>
        <w:t>Reinhard</w:t>
      </w:r>
      <w:proofErr w:type="spellEnd"/>
      <w:r w:rsidR="00DF6C3C" w:rsidRPr="009F0649">
        <w:rPr>
          <w:lang w:val="en-GB"/>
        </w:rPr>
        <w:t xml:space="preserve"> </w:t>
      </w:r>
      <w:r w:rsidR="00DF6C3C" w:rsidRPr="009F0649">
        <w:rPr>
          <w:i/>
          <w:lang w:val="en-GB"/>
        </w:rPr>
        <w:t>et al</w:t>
      </w:r>
      <w:r w:rsidR="00DF6C3C" w:rsidRPr="009F0649">
        <w:rPr>
          <w:lang w:val="en-GB"/>
        </w:rPr>
        <w:t xml:space="preserve">. (2012), TDA (2008), </w:t>
      </w:r>
      <w:proofErr w:type="spellStart"/>
      <w:r w:rsidR="00DF6C3C" w:rsidRPr="009F0649">
        <w:rPr>
          <w:lang w:val="en-GB"/>
        </w:rPr>
        <w:t>Halkos</w:t>
      </w:r>
      <w:proofErr w:type="spellEnd"/>
      <w:r w:rsidR="00DF6C3C" w:rsidRPr="009F0649">
        <w:rPr>
          <w:lang w:val="en-GB"/>
        </w:rPr>
        <w:t xml:space="preserve"> (2013)</w:t>
      </w:r>
      <w:r w:rsidRPr="009F0649">
        <w:rPr>
          <w:lang w:val="en-GB"/>
        </w:rPr>
        <w:t xml:space="preserve">). Cost data </w:t>
      </w:r>
      <w:r w:rsidR="00B40B68">
        <w:rPr>
          <w:lang w:val="en-GB"/>
        </w:rPr>
        <w:t>have further been fine-tuned during the CBE 3/4/5 meeting (Brussels, May 2015)</w:t>
      </w:r>
      <w:r w:rsidRPr="009F0649">
        <w:rPr>
          <w:lang w:val="en-GB"/>
        </w:rPr>
        <w:t xml:space="preserve">. </w:t>
      </w:r>
    </w:p>
    <w:p w14:paraId="7B62C01D" w14:textId="047524B6" w:rsidR="005C25EA" w:rsidRPr="004E3D5A" w:rsidRDefault="005C25EA" w:rsidP="005C25EA">
      <w:pPr>
        <w:spacing w:line="360" w:lineRule="auto"/>
        <w:ind w:left="1701"/>
        <w:jc w:val="both"/>
        <w:rPr>
          <w:lang w:val="en-GB"/>
        </w:rPr>
      </w:pPr>
      <w:r w:rsidRPr="009F0649">
        <w:rPr>
          <w:lang w:val="en-GB"/>
        </w:rPr>
        <w:t xml:space="preserve">Costs for transboundary measures </w:t>
      </w:r>
      <w:r w:rsidR="00B40B68">
        <w:rPr>
          <w:lang w:val="en-GB"/>
        </w:rPr>
        <w:t>may</w:t>
      </w:r>
      <w:r w:rsidRPr="009F0649">
        <w:rPr>
          <w:lang w:val="en-GB"/>
        </w:rPr>
        <w:t xml:space="preserve"> be</w:t>
      </w:r>
      <w:r w:rsidRPr="004E3D5A">
        <w:rPr>
          <w:lang w:val="en-GB"/>
        </w:rPr>
        <w:t xml:space="preserve"> assigned to each MS</w:t>
      </w:r>
      <w:r w:rsidRPr="004E3D5A">
        <w:rPr>
          <w:b/>
          <w:lang w:val="en-GB"/>
        </w:rPr>
        <w:t xml:space="preserve"> </w:t>
      </w:r>
      <w:r w:rsidRPr="004E3D5A">
        <w:rPr>
          <w:lang w:val="en-GB"/>
        </w:rPr>
        <w:t>based on geographical (e.g. coast length)</w:t>
      </w:r>
      <w:r w:rsidR="00B40B68">
        <w:rPr>
          <w:lang w:val="en-GB"/>
        </w:rPr>
        <w:t xml:space="preserve"> </w:t>
      </w:r>
      <w:r w:rsidRPr="004E3D5A">
        <w:rPr>
          <w:lang w:val="en-GB"/>
        </w:rPr>
        <w:t xml:space="preserve">or demographic/economic properties (coastal population, tourists, number of fishery ports, fishermen. </w:t>
      </w:r>
    </w:p>
    <w:p w14:paraId="0BF15ADC" w14:textId="3D49679E" w:rsidR="005C25EA" w:rsidRDefault="005C25EA" w:rsidP="005C25EA">
      <w:pPr>
        <w:ind w:left="1701"/>
        <w:rPr>
          <w:lang w:val="en-GB"/>
        </w:rPr>
      </w:pPr>
      <w:r w:rsidRPr="004E3D5A">
        <w:rPr>
          <w:lang w:val="en-GB"/>
        </w:rPr>
        <w:t xml:space="preserve">The following unit costs </w:t>
      </w:r>
      <w:r w:rsidR="00B40B68">
        <w:rPr>
          <w:lang w:val="en-GB"/>
        </w:rPr>
        <w:t>were discussed and agreed during the CBE 3/4/5 with the participating experts from Bulgaria and Romania</w:t>
      </w:r>
      <w:r w:rsidRPr="004E3D5A">
        <w:rPr>
          <w:lang w:val="en-GB"/>
        </w:rPr>
        <w:t>:</w:t>
      </w:r>
      <w:r w:rsidRPr="002605F8">
        <w:rPr>
          <w:lang w:val="en-GB"/>
        </w:rPr>
        <w:t xml:space="preserve"> </w:t>
      </w:r>
    </w:p>
    <w:p w14:paraId="343E558A" w14:textId="77777777" w:rsidR="00B40B68" w:rsidRDefault="00B40B68" w:rsidP="005C25EA">
      <w:pPr>
        <w:ind w:left="1701"/>
        <w:rPr>
          <w:lang w:val="en-GB"/>
        </w:rPr>
      </w:pPr>
    </w:p>
    <w:tbl>
      <w:tblPr>
        <w:tblStyle w:val="Stijl2"/>
        <w:tblW w:w="0" w:type="auto"/>
        <w:tblInd w:w="1701" w:type="dxa"/>
        <w:tblLook w:val="04A0" w:firstRow="1" w:lastRow="0" w:firstColumn="1" w:lastColumn="0" w:noHBand="0" w:noVBand="1"/>
      </w:tblPr>
      <w:tblGrid>
        <w:gridCol w:w="2689"/>
        <w:gridCol w:w="4672"/>
      </w:tblGrid>
      <w:tr w:rsidR="00BB2188" w:rsidRPr="004E3D5A" w14:paraId="3551A176" w14:textId="77777777" w:rsidTr="009970E8">
        <w:trPr>
          <w:cnfStyle w:val="100000000000" w:firstRow="1" w:lastRow="0" w:firstColumn="0" w:lastColumn="0" w:oddVBand="0" w:evenVBand="0" w:oddHBand="0" w:evenHBand="0" w:firstRowFirstColumn="0" w:firstRowLastColumn="0" w:lastRowFirstColumn="0" w:lastRowLastColumn="0"/>
          <w:tblHeader/>
        </w:trPr>
        <w:tc>
          <w:tcPr>
            <w:tcW w:w="2689" w:type="dxa"/>
          </w:tcPr>
          <w:p w14:paraId="644733B2" w14:textId="203484BA" w:rsidR="00B40B68" w:rsidRPr="004E3D5A" w:rsidRDefault="00BB2188" w:rsidP="00BB2188">
            <w:pPr>
              <w:pStyle w:val="OpsommingSymbool"/>
              <w:numPr>
                <w:ilvl w:val="0"/>
                <w:numId w:val="0"/>
              </w:numPr>
              <w:rPr>
                <w:sz w:val="18"/>
                <w:lang w:val="en-GB"/>
              </w:rPr>
            </w:pPr>
            <w:r>
              <w:rPr>
                <w:sz w:val="18"/>
                <w:lang w:val="en-GB"/>
              </w:rPr>
              <w:t>Unit cost category</w:t>
            </w:r>
          </w:p>
        </w:tc>
        <w:tc>
          <w:tcPr>
            <w:tcW w:w="4672" w:type="dxa"/>
          </w:tcPr>
          <w:p w14:paraId="1A973179" w14:textId="7C8C3C8E" w:rsidR="00B40B68" w:rsidRPr="004E3D5A" w:rsidRDefault="00BB2188" w:rsidP="00C86C76">
            <w:pPr>
              <w:pStyle w:val="OpsommingSymbool"/>
              <w:numPr>
                <w:ilvl w:val="0"/>
                <w:numId w:val="0"/>
              </w:numPr>
              <w:rPr>
                <w:sz w:val="18"/>
                <w:lang w:val="en-GB"/>
              </w:rPr>
            </w:pPr>
            <w:r>
              <w:rPr>
                <w:sz w:val="18"/>
                <w:lang w:val="en-GB"/>
              </w:rPr>
              <w:t>Unit cost</w:t>
            </w:r>
          </w:p>
        </w:tc>
      </w:tr>
      <w:tr w:rsidR="00BB2188" w:rsidRPr="004E3D5A" w14:paraId="4C635314" w14:textId="77777777" w:rsidTr="001918B1">
        <w:tc>
          <w:tcPr>
            <w:tcW w:w="2689" w:type="dxa"/>
          </w:tcPr>
          <w:p w14:paraId="43A640A2" w14:textId="77777777" w:rsidR="00BB2188" w:rsidRPr="00BB2188" w:rsidRDefault="00BB2188" w:rsidP="00BB2188">
            <w:pPr>
              <w:pStyle w:val="OpsommingSymbool"/>
              <w:numPr>
                <w:ilvl w:val="0"/>
                <w:numId w:val="0"/>
              </w:numPr>
              <w:rPr>
                <w:sz w:val="18"/>
                <w:lang w:val="en-GB"/>
              </w:rPr>
            </w:pPr>
            <w:r w:rsidRPr="00BB2188">
              <w:rPr>
                <w:sz w:val="18"/>
                <w:lang w:val="en-GB"/>
              </w:rPr>
              <w:t xml:space="preserve">Personnel costs (cost per FTE per </w:t>
            </w:r>
            <w:proofErr w:type="spellStart"/>
            <w:r w:rsidRPr="00BB2188">
              <w:rPr>
                <w:sz w:val="18"/>
                <w:lang w:val="en-GB"/>
              </w:rPr>
              <w:t>manday</w:t>
            </w:r>
            <w:proofErr w:type="spellEnd"/>
            <w:r w:rsidRPr="00BB2188">
              <w:rPr>
                <w:sz w:val="18"/>
                <w:lang w:val="en-GB"/>
              </w:rPr>
              <w:t>)</w:t>
            </w:r>
          </w:p>
          <w:p w14:paraId="17ABEFAE" w14:textId="6110269D" w:rsidR="00B40B68" w:rsidRPr="004E3D5A" w:rsidRDefault="00B40B68" w:rsidP="00BB2188">
            <w:pPr>
              <w:pStyle w:val="OpsommingSymbool"/>
              <w:numPr>
                <w:ilvl w:val="0"/>
                <w:numId w:val="0"/>
              </w:numPr>
              <w:rPr>
                <w:sz w:val="18"/>
                <w:lang w:val="en-GB"/>
              </w:rPr>
            </w:pPr>
          </w:p>
        </w:tc>
        <w:tc>
          <w:tcPr>
            <w:tcW w:w="4672" w:type="dxa"/>
          </w:tcPr>
          <w:p w14:paraId="0B705319" w14:textId="77777777" w:rsidR="00BB2188" w:rsidRPr="00BB2188" w:rsidRDefault="00BB2188" w:rsidP="00BB2188">
            <w:pPr>
              <w:pStyle w:val="Opsommingsymbool0"/>
              <w:rPr>
                <w:sz w:val="18"/>
                <w:lang w:val="en-GB"/>
              </w:rPr>
            </w:pPr>
            <w:r w:rsidRPr="00BB2188">
              <w:rPr>
                <w:sz w:val="18"/>
                <w:lang w:val="en-GB"/>
              </w:rPr>
              <w:t xml:space="preserve">Policy officer </w:t>
            </w:r>
            <w:r w:rsidRPr="00BB2188">
              <w:rPr>
                <w:sz w:val="18"/>
                <w:lang w:val="en-GB"/>
              </w:rPr>
              <w:tab/>
            </w:r>
            <w:r w:rsidRPr="00BB2188">
              <w:rPr>
                <w:sz w:val="18"/>
                <w:lang w:val="en-GB"/>
              </w:rPr>
              <w:tab/>
              <w:t xml:space="preserve"> 70 Euro </w:t>
            </w:r>
          </w:p>
          <w:p w14:paraId="6F30ABD6" w14:textId="77777777" w:rsidR="00BB2188" w:rsidRPr="00BB2188" w:rsidRDefault="00BB2188" w:rsidP="00BB2188">
            <w:pPr>
              <w:pStyle w:val="Opsommingsymbool0"/>
              <w:rPr>
                <w:sz w:val="18"/>
                <w:lang w:val="en-GB"/>
              </w:rPr>
            </w:pPr>
            <w:r w:rsidRPr="00BB2188">
              <w:rPr>
                <w:sz w:val="18"/>
                <w:lang w:val="en-GB"/>
              </w:rPr>
              <w:t xml:space="preserve">Researcher </w:t>
            </w:r>
            <w:r w:rsidRPr="00BB2188">
              <w:rPr>
                <w:sz w:val="18"/>
                <w:lang w:val="en-GB"/>
              </w:rPr>
              <w:tab/>
            </w:r>
            <w:r w:rsidRPr="00BB2188">
              <w:rPr>
                <w:sz w:val="18"/>
                <w:lang w:val="en-GB"/>
              </w:rPr>
              <w:tab/>
              <w:t xml:space="preserve"> 50 Euro</w:t>
            </w:r>
          </w:p>
          <w:p w14:paraId="393D3511" w14:textId="43D5FB29" w:rsidR="00BB2188" w:rsidRPr="00BB2188" w:rsidRDefault="00BB2188" w:rsidP="00BB2188">
            <w:pPr>
              <w:pStyle w:val="Opsommingsymbool0"/>
              <w:rPr>
                <w:sz w:val="18"/>
                <w:lang w:val="en-GB"/>
              </w:rPr>
            </w:pPr>
            <w:r w:rsidRPr="00BB2188">
              <w:rPr>
                <w:sz w:val="18"/>
                <w:lang w:val="en-GB"/>
              </w:rPr>
              <w:t xml:space="preserve">Marine officer </w:t>
            </w:r>
            <w:r w:rsidRPr="00BB2188">
              <w:rPr>
                <w:sz w:val="18"/>
                <w:lang w:val="en-GB"/>
              </w:rPr>
              <w:tab/>
              <w:t xml:space="preserve"> 60 Euro</w:t>
            </w:r>
          </w:p>
          <w:p w14:paraId="7C299E9F" w14:textId="77777777" w:rsidR="00BB2188" w:rsidRPr="00BB2188" w:rsidRDefault="00BB2188" w:rsidP="00BB2188">
            <w:pPr>
              <w:pStyle w:val="Opsommingsymbool0"/>
              <w:rPr>
                <w:sz w:val="18"/>
                <w:lang w:val="en-GB"/>
              </w:rPr>
            </w:pPr>
            <w:r w:rsidRPr="00BB2188">
              <w:rPr>
                <w:sz w:val="18"/>
                <w:lang w:val="en-GB"/>
              </w:rPr>
              <w:t xml:space="preserve">Police officer </w:t>
            </w:r>
            <w:r w:rsidRPr="00BB2188">
              <w:rPr>
                <w:sz w:val="18"/>
                <w:lang w:val="en-GB"/>
              </w:rPr>
              <w:tab/>
            </w:r>
            <w:r w:rsidRPr="00BB2188">
              <w:rPr>
                <w:sz w:val="18"/>
                <w:lang w:val="en-GB"/>
              </w:rPr>
              <w:tab/>
              <w:t xml:space="preserve"> 60 Euro</w:t>
            </w:r>
          </w:p>
          <w:p w14:paraId="167973FC" w14:textId="4E051F59" w:rsidR="00B40B68" w:rsidRPr="004E3D5A" w:rsidRDefault="00BB2188" w:rsidP="00BB2188">
            <w:pPr>
              <w:pStyle w:val="Opsommingsymbool0"/>
              <w:rPr>
                <w:sz w:val="18"/>
                <w:lang w:val="en-GB"/>
              </w:rPr>
            </w:pPr>
            <w:r w:rsidRPr="00BB2188">
              <w:rPr>
                <w:sz w:val="18"/>
                <w:lang w:val="en-GB"/>
              </w:rPr>
              <w:t>External consultant</w:t>
            </w:r>
            <w:r w:rsidRPr="00BB2188">
              <w:rPr>
                <w:sz w:val="18"/>
                <w:lang w:val="en-GB"/>
              </w:rPr>
              <w:tab/>
              <w:t>250 Euro</w:t>
            </w:r>
          </w:p>
        </w:tc>
      </w:tr>
      <w:tr w:rsidR="00BB2188" w:rsidRPr="0049591E" w14:paraId="059AC24A" w14:textId="77777777" w:rsidTr="001918B1">
        <w:tc>
          <w:tcPr>
            <w:tcW w:w="2689" w:type="dxa"/>
          </w:tcPr>
          <w:p w14:paraId="02EF8187" w14:textId="77777777" w:rsidR="00BB2188" w:rsidRPr="00BB2188" w:rsidRDefault="00BB2188" w:rsidP="00BB2188">
            <w:pPr>
              <w:pStyle w:val="OpsommingSymbool"/>
              <w:numPr>
                <w:ilvl w:val="0"/>
                <w:numId w:val="0"/>
              </w:numPr>
              <w:rPr>
                <w:sz w:val="18"/>
                <w:lang w:val="en-GB"/>
              </w:rPr>
            </w:pPr>
            <w:r w:rsidRPr="00BB2188">
              <w:rPr>
                <w:sz w:val="18"/>
                <w:lang w:val="en-GB"/>
              </w:rPr>
              <w:t>Research costs (cost per year)</w:t>
            </w:r>
          </w:p>
          <w:p w14:paraId="1976F983" w14:textId="19D48B2B" w:rsidR="00B40B68" w:rsidRPr="004E3D5A" w:rsidRDefault="00B40B68" w:rsidP="00BB2188">
            <w:pPr>
              <w:pStyle w:val="OpsommingSymbool"/>
              <w:numPr>
                <w:ilvl w:val="0"/>
                <w:numId w:val="0"/>
              </w:numPr>
              <w:rPr>
                <w:sz w:val="18"/>
                <w:lang w:val="en-GB"/>
              </w:rPr>
            </w:pPr>
          </w:p>
        </w:tc>
        <w:tc>
          <w:tcPr>
            <w:tcW w:w="4672" w:type="dxa"/>
          </w:tcPr>
          <w:p w14:paraId="5CCBCA79" w14:textId="77777777" w:rsidR="00BB2188" w:rsidRPr="00BB2188" w:rsidRDefault="00BB2188" w:rsidP="00BB2188">
            <w:pPr>
              <w:pStyle w:val="Opsommingsymbool0"/>
              <w:rPr>
                <w:sz w:val="18"/>
                <w:lang w:val="en-GB"/>
              </w:rPr>
            </w:pPr>
            <w:r w:rsidRPr="00BB2188">
              <w:rPr>
                <w:sz w:val="18"/>
                <w:lang w:val="en-GB"/>
              </w:rPr>
              <w:t xml:space="preserve">Cost for 1 researcher: 10.000 Euro (50 Euro per </w:t>
            </w:r>
            <w:proofErr w:type="spellStart"/>
            <w:r w:rsidRPr="00BB2188">
              <w:rPr>
                <w:sz w:val="18"/>
                <w:lang w:val="en-GB"/>
              </w:rPr>
              <w:t>manday</w:t>
            </w:r>
            <w:proofErr w:type="spellEnd"/>
            <w:r w:rsidRPr="00BB2188">
              <w:rPr>
                <w:sz w:val="18"/>
                <w:lang w:val="en-GB"/>
              </w:rPr>
              <w:t xml:space="preserve"> x 200 </w:t>
            </w:r>
            <w:proofErr w:type="spellStart"/>
            <w:r w:rsidRPr="00BB2188">
              <w:rPr>
                <w:sz w:val="18"/>
                <w:lang w:val="en-GB"/>
              </w:rPr>
              <w:t>mandays</w:t>
            </w:r>
            <w:proofErr w:type="spellEnd"/>
            <w:r w:rsidRPr="00BB2188">
              <w:rPr>
                <w:sz w:val="18"/>
                <w:lang w:val="en-GB"/>
              </w:rPr>
              <w:t xml:space="preserve"> per year) </w:t>
            </w:r>
          </w:p>
          <w:p w14:paraId="62482AB1" w14:textId="2A024B0A" w:rsidR="00B40B68" w:rsidRPr="004E3D5A" w:rsidRDefault="00BB2188" w:rsidP="00BB2188">
            <w:pPr>
              <w:pStyle w:val="Opsommingsymbool0"/>
              <w:rPr>
                <w:sz w:val="18"/>
                <w:lang w:val="en-GB"/>
              </w:rPr>
            </w:pPr>
            <w:r w:rsidRPr="00BB2188">
              <w:rPr>
                <w:sz w:val="18"/>
                <w:lang w:val="en-GB"/>
              </w:rPr>
              <w:t xml:space="preserve">Research team of 5 researchers: 50.000 Euro </w:t>
            </w:r>
            <w:r w:rsidRPr="00BB2188">
              <w:rPr>
                <w:sz w:val="18"/>
                <w:lang w:val="en-GB"/>
              </w:rPr>
              <w:lastRenderedPageBreak/>
              <w:t xml:space="preserve">(10.000 Euro x 5 researchers) </w:t>
            </w:r>
          </w:p>
        </w:tc>
      </w:tr>
      <w:tr w:rsidR="00BB2188" w:rsidRPr="0049591E" w14:paraId="0A242007" w14:textId="77777777" w:rsidTr="001918B1">
        <w:tc>
          <w:tcPr>
            <w:tcW w:w="2689" w:type="dxa"/>
          </w:tcPr>
          <w:p w14:paraId="2F3C13B9" w14:textId="77777777" w:rsidR="00BB2188" w:rsidRPr="00BB2188" w:rsidRDefault="00BB2188" w:rsidP="00BB2188">
            <w:pPr>
              <w:pStyle w:val="OpsommingSymbool"/>
              <w:numPr>
                <w:ilvl w:val="0"/>
                <w:numId w:val="0"/>
              </w:numPr>
              <w:rPr>
                <w:sz w:val="18"/>
                <w:lang w:val="en-GB"/>
              </w:rPr>
            </w:pPr>
            <w:r w:rsidRPr="00BB2188">
              <w:rPr>
                <w:sz w:val="18"/>
                <w:lang w:val="en-GB"/>
              </w:rPr>
              <w:lastRenderedPageBreak/>
              <w:t>Meeting costs per participant (cost per day)</w:t>
            </w:r>
          </w:p>
          <w:p w14:paraId="1D1C3946" w14:textId="09EBC1EC" w:rsidR="00B40B68" w:rsidRPr="004E3D5A" w:rsidRDefault="00B40B68" w:rsidP="00BB2188">
            <w:pPr>
              <w:pStyle w:val="OpsommingSymbool"/>
              <w:numPr>
                <w:ilvl w:val="0"/>
                <w:numId w:val="0"/>
              </w:numPr>
              <w:rPr>
                <w:sz w:val="18"/>
                <w:lang w:val="en-GB"/>
              </w:rPr>
            </w:pPr>
          </w:p>
        </w:tc>
        <w:tc>
          <w:tcPr>
            <w:tcW w:w="4672" w:type="dxa"/>
          </w:tcPr>
          <w:p w14:paraId="4FF8D27C" w14:textId="3FBC209D" w:rsidR="00BB2188" w:rsidRPr="00BB2188" w:rsidRDefault="00BB2188" w:rsidP="00BB2188">
            <w:pPr>
              <w:pStyle w:val="Opsommingsymbool0"/>
              <w:rPr>
                <w:sz w:val="18"/>
                <w:lang w:val="en-GB"/>
              </w:rPr>
            </w:pPr>
            <w:r w:rsidRPr="00BB2188">
              <w:rPr>
                <w:sz w:val="18"/>
                <w:lang w:val="en-GB"/>
              </w:rPr>
              <w:t xml:space="preserve">Venue costs </w:t>
            </w:r>
            <w:r w:rsidRPr="00BB2188">
              <w:rPr>
                <w:sz w:val="18"/>
                <w:lang w:val="en-GB"/>
              </w:rPr>
              <w:tab/>
            </w:r>
            <w:r w:rsidRPr="00BB2188">
              <w:rPr>
                <w:sz w:val="18"/>
                <w:lang w:val="en-GB"/>
              </w:rPr>
              <w:tab/>
              <w:t>20 Euro</w:t>
            </w:r>
          </w:p>
          <w:p w14:paraId="17AFC447" w14:textId="572837A0" w:rsidR="00BB2188" w:rsidRPr="00BB2188" w:rsidRDefault="00BB2188" w:rsidP="00BB2188">
            <w:pPr>
              <w:pStyle w:val="Opsommingsymbool0"/>
              <w:rPr>
                <w:sz w:val="18"/>
                <w:lang w:val="en-GB"/>
              </w:rPr>
            </w:pPr>
            <w:r w:rsidRPr="00BB2188">
              <w:rPr>
                <w:sz w:val="18"/>
                <w:lang w:val="en-GB"/>
              </w:rPr>
              <w:t xml:space="preserve">Hotel &amp; </w:t>
            </w:r>
            <w:r>
              <w:rPr>
                <w:sz w:val="18"/>
                <w:lang w:val="en-GB"/>
              </w:rPr>
              <w:t>catering</w:t>
            </w:r>
            <w:r w:rsidRPr="00BB2188">
              <w:rPr>
                <w:sz w:val="18"/>
                <w:lang w:val="en-GB"/>
              </w:rPr>
              <w:t xml:space="preserve"> </w:t>
            </w:r>
            <w:r w:rsidRPr="00BB2188">
              <w:rPr>
                <w:sz w:val="18"/>
                <w:lang w:val="en-GB"/>
              </w:rPr>
              <w:tab/>
              <w:t>80 Euro</w:t>
            </w:r>
          </w:p>
          <w:p w14:paraId="486C9F32" w14:textId="2E3AE314" w:rsidR="00B40B68" w:rsidRPr="004E3D5A" w:rsidRDefault="00BB2188" w:rsidP="001918B1">
            <w:pPr>
              <w:pStyle w:val="Opsommingsymbool0"/>
              <w:rPr>
                <w:sz w:val="18"/>
                <w:lang w:val="en-GB"/>
              </w:rPr>
            </w:pPr>
            <w:r w:rsidRPr="00BB2188">
              <w:rPr>
                <w:sz w:val="18"/>
                <w:lang w:val="en-GB"/>
              </w:rPr>
              <w:t>Travel costs per participant (cost per trip BG-RO)</w:t>
            </w:r>
            <w:r>
              <w:rPr>
                <w:sz w:val="18"/>
                <w:lang w:val="en-GB"/>
              </w:rPr>
              <w:t xml:space="preserve"> </w:t>
            </w:r>
            <w:r w:rsidR="001918B1">
              <w:rPr>
                <w:sz w:val="18"/>
                <w:lang w:val="en-GB"/>
              </w:rPr>
              <w:t xml:space="preserve">: </w:t>
            </w:r>
            <w:r w:rsidRPr="00BB2188">
              <w:rPr>
                <w:sz w:val="18"/>
                <w:lang w:val="en-GB"/>
              </w:rPr>
              <w:t>70 Euro</w:t>
            </w:r>
          </w:p>
        </w:tc>
      </w:tr>
      <w:tr w:rsidR="00BB2188" w:rsidRPr="0049591E" w14:paraId="23641F50" w14:textId="77777777" w:rsidTr="001918B1">
        <w:tc>
          <w:tcPr>
            <w:tcW w:w="2689" w:type="dxa"/>
          </w:tcPr>
          <w:p w14:paraId="7D00DEE7" w14:textId="77777777" w:rsidR="001918B1" w:rsidRDefault="00BB2188" w:rsidP="00BB2188">
            <w:pPr>
              <w:pStyle w:val="OpsommingSymbool"/>
              <w:numPr>
                <w:ilvl w:val="0"/>
                <w:numId w:val="0"/>
              </w:numPr>
              <w:rPr>
                <w:sz w:val="18"/>
                <w:lang w:val="en-GB"/>
              </w:rPr>
            </w:pPr>
            <w:r w:rsidRPr="00BB2188">
              <w:rPr>
                <w:sz w:val="18"/>
                <w:lang w:val="en-GB"/>
              </w:rPr>
              <w:t xml:space="preserve">Meetings between MS: unit cost per meeting: </w:t>
            </w:r>
          </w:p>
          <w:p w14:paraId="79C4DB3A" w14:textId="77777777" w:rsidR="001918B1" w:rsidRDefault="001918B1" w:rsidP="00BB2188">
            <w:pPr>
              <w:pStyle w:val="OpsommingSymbool"/>
              <w:numPr>
                <w:ilvl w:val="0"/>
                <w:numId w:val="0"/>
              </w:numPr>
              <w:rPr>
                <w:sz w:val="18"/>
                <w:lang w:val="en-GB"/>
              </w:rPr>
            </w:pPr>
          </w:p>
          <w:p w14:paraId="215654F8" w14:textId="25744D43" w:rsidR="00BB2188" w:rsidRPr="001918B1" w:rsidRDefault="00BB2188" w:rsidP="001918B1">
            <w:pPr>
              <w:pStyle w:val="OpsommingSymbool"/>
              <w:numPr>
                <w:ilvl w:val="0"/>
                <w:numId w:val="0"/>
              </w:numPr>
              <w:jc w:val="right"/>
              <w:rPr>
                <w:i/>
                <w:sz w:val="18"/>
                <w:lang w:val="en-GB"/>
              </w:rPr>
            </w:pPr>
            <w:r w:rsidRPr="001918B1">
              <w:rPr>
                <w:i/>
                <w:sz w:val="18"/>
                <w:lang w:val="en-GB"/>
              </w:rPr>
              <w:t>Meeting costs</w:t>
            </w:r>
          </w:p>
          <w:p w14:paraId="26ED5E5F" w14:textId="347B3149" w:rsidR="00B40B68" w:rsidRPr="00BB2188" w:rsidRDefault="00B40B68" w:rsidP="00BB2188">
            <w:pPr>
              <w:pStyle w:val="OpsommingSymbool"/>
              <w:numPr>
                <w:ilvl w:val="0"/>
                <w:numId w:val="0"/>
              </w:numPr>
              <w:rPr>
                <w:sz w:val="18"/>
                <w:lang w:val="en-GB"/>
              </w:rPr>
            </w:pPr>
          </w:p>
        </w:tc>
        <w:tc>
          <w:tcPr>
            <w:tcW w:w="4672" w:type="dxa"/>
          </w:tcPr>
          <w:p w14:paraId="2ABEC3CD" w14:textId="6AB778F7" w:rsidR="00BB2188" w:rsidRPr="00BB2188" w:rsidRDefault="00BB2188" w:rsidP="007B04DC">
            <w:pPr>
              <w:pStyle w:val="Opsommingsymbool0"/>
              <w:rPr>
                <w:sz w:val="18"/>
                <w:lang w:val="en-GB"/>
              </w:rPr>
            </w:pPr>
            <w:r w:rsidRPr="00BB2188">
              <w:rPr>
                <w:sz w:val="18"/>
                <w:lang w:val="en-GB"/>
              </w:rPr>
              <w:t>Staff time: 3 working days (preparation, travel, full day meeting)</w:t>
            </w:r>
            <w:r>
              <w:rPr>
                <w:sz w:val="18"/>
                <w:lang w:val="en-GB"/>
              </w:rPr>
              <w:t>:</w:t>
            </w:r>
            <w:r w:rsidRPr="00BB2188">
              <w:rPr>
                <w:sz w:val="18"/>
                <w:lang w:val="en-GB"/>
              </w:rPr>
              <w:t xml:space="preserve"> 200</w:t>
            </w:r>
            <w:r>
              <w:rPr>
                <w:sz w:val="18"/>
                <w:lang w:val="en-GB"/>
              </w:rPr>
              <w:t xml:space="preserve"> </w:t>
            </w:r>
            <w:r w:rsidRPr="00BB2188">
              <w:rPr>
                <w:sz w:val="18"/>
                <w:lang w:val="en-GB"/>
              </w:rPr>
              <w:t>Euro (3 x 70 Euro, rounded to 200 Euro)</w:t>
            </w:r>
          </w:p>
          <w:p w14:paraId="736A6018" w14:textId="77777777" w:rsidR="00BB2188" w:rsidRPr="00BB2188" w:rsidRDefault="00BB2188" w:rsidP="00BB2188">
            <w:pPr>
              <w:pStyle w:val="Opsommingsymbool0"/>
              <w:rPr>
                <w:sz w:val="18"/>
                <w:lang w:val="en-GB"/>
              </w:rPr>
            </w:pPr>
            <w:r w:rsidRPr="00BB2188">
              <w:rPr>
                <w:sz w:val="18"/>
                <w:lang w:val="en-GB"/>
              </w:rPr>
              <w:t>3 public servants per meeting</w:t>
            </w:r>
          </w:p>
          <w:p w14:paraId="68C68834" w14:textId="1BA88349" w:rsidR="00B40B68" w:rsidRPr="004E3D5A" w:rsidRDefault="00BB2188" w:rsidP="00BB2188">
            <w:pPr>
              <w:pStyle w:val="Opsommingsymbool0"/>
              <w:rPr>
                <w:sz w:val="18"/>
                <w:lang w:val="en-GB"/>
              </w:rPr>
            </w:pPr>
            <w:r w:rsidRPr="00BB2188">
              <w:rPr>
                <w:sz w:val="18"/>
                <w:lang w:val="en-GB"/>
              </w:rPr>
              <w:t>Total costs per meeting: 600 Euro (200 Euro x 3)</w:t>
            </w:r>
          </w:p>
        </w:tc>
      </w:tr>
      <w:tr w:rsidR="00BB2188" w:rsidRPr="0049591E" w14:paraId="48315CD0" w14:textId="77777777" w:rsidTr="001918B1">
        <w:tc>
          <w:tcPr>
            <w:tcW w:w="2689" w:type="dxa"/>
          </w:tcPr>
          <w:p w14:paraId="101B42C0" w14:textId="77777777" w:rsidR="00B40B68" w:rsidRDefault="00B40B68" w:rsidP="00C86C76">
            <w:pPr>
              <w:pStyle w:val="OpsommingSymbool"/>
              <w:numPr>
                <w:ilvl w:val="0"/>
                <w:numId w:val="0"/>
              </w:numPr>
              <w:rPr>
                <w:sz w:val="18"/>
                <w:lang w:val="en-GB"/>
              </w:rPr>
            </w:pPr>
          </w:p>
          <w:p w14:paraId="00DC6AD7" w14:textId="77777777" w:rsidR="001918B1" w:rsidRDefault="001918B1" w:rsidP="00C86C76">
            <w:pPr>
              <w:pStyle w:val="OpsommingSymbool"/>
              <w:numPr>
                <w:ilvl w:val="0"/>
                <w:numId w:val="0"/>
              </w:numPr>
              <w:rPr>
                <w:sz w:val="18"/>
                <w:lang w:val="en-GB"/>
              </w:rPr>
            </w:pPr>
          </w:p>
          <w:p w14:paraId="22FB583B" w14:textId="554ADEAB" w:rsidR="001918B1" w:rsidRPr="001918B1" w:rsidRDefault="001918B1" w:rsidP="001918B1">
            <w:pPr>
              <w:pStyle w:val="OpsommingSymbool"/>
              <w:numPr>
                <w:ilvl w:val="0"/>
                <w:numId w:val="0"/>
              </w:numPr>
              <w:jc w:val="right"/>
              <w:rPr>
                <w:i/>
                <w:sz w:val="18"/>
                <w:lang w:val="en-GB"/>
              </w:rPr>
            </w:pPr>
            <w:r w:rsidRPr="001918B1">
              <w:rPr>
                <w:i/>
                <w:sz w:val="18"/>
                <w:lang w:val="en-GB"/>
              </w:rPr>
              <w:t>Staff travel/accommodation</w:t>
            </w:r>
          </w:p>
          <w:p w14:paraId="53121388" w14:textId="751E79FC" w:rsidR="001918B1" w:rsidRPr="004E3D5A" w:rsidRDefault="001918B1" w:rsidP="00C86C76">
            <w:pPr>
              <w:pStyle w:val="OpsommingSymbool"/>
              <w:numPr>
                <w:ilvl w:val="0"/>
                <w:numId w:val="0"/>
              </w:numPr>
              <w:rPr>
                <w:sz w:val="18"/>
                <w:lang w:val="en-GB"/>
              </w:rPr>
            </w:pPr>
          </w:p>
        </w:tc>
        <w:tc>
          <w:tcPr>
            <w:tcW w:w="4672" w:type="dxa"/>
          </w:tcPr>
          <w:p w14:paraId="7B94C98E" w14:textId="7F0AE430" w:rsidR="00BB2188" w:rsidRPr="00BB2188" w:rsidRDefault="00BB2188" w:rsidP="00BB2188">
            <w:pPr>
              <w:pStyle w:val="Opsommingsymbool0"/>
              <w:rPr>
                <w:sz w:val="18"/>
                <w:lang w:val="en-GB"/>
              </w:rPr>
            </w:pPr>
            <w:r w:rsidRPr="00BB2188">
              <w:rPr>
                <w:sz w:val="18"/>
                <w:lang w:val="en-GB"/>
              </w:rPr>
              <w:t xml:space="preserve">Venue: 1 day; hotel &amp; restauration costs: 2 nights: </w:t>
            </w:r>
            <w:r>
              <w:rPr>
                <w:sz w:val="18"/>
                <w:lang w:val="en-GB"/>
              </w:rPr>
              <w:t>1</w:t>
            </w:r>
            <w:r w:rsidRPr="00BB2188">
              <w:rPr>
                <w:sz w:val="18"/>
                <w:lang w:val="en-GB"/>
              </w:rPr>
              <w:t>80 Euro (20 Euro</w:t>
            </w:r>
            <w:r>
              <w:rPr>
                <w:sz w:val="18"/>
                <w:lang w:val="en-GB"/>
              </w:rPr>
              <w:t xml:space="preserve"> </w:t>
            </w:r>
            <w:r w:rsidRPr="00BB2188">
              <w:rPr>
                <w:sz w:val="18"/>
                <w:lang w:val="en-GB"/>
              </w:rPr>
              <w:t>+</w:t>
            </w:r>
            <w:r>
              <w:rPr>
                <w:sz w:val="18"/>
                <w:lang w:val="en-GB"/>
              </w:rPr>
              <w:t xml:space="preserve"> </w:t>
            </w:r>
            <w:r w:rsidRPr="00BB2188">
              <w:rPr>
                <w:sz w:val="18"/>
                <w:lang w:val="en-GB"/>
              </w:rPr>
              <w:t>2</w:t>
            </w:r>
            <w:r>
              <w:rPr>
                <w:sz w:val="18"/>
                <w:lang w:val="en-GB"/>
              </w:rPr>
              <w:t xml:space="preserve"> </w:t>
            </w:r>
            <w:r w:rsidRPr="00BB2188">
              <w:rPr>
                <w:sz w:val="18"/>
                <w:lang w:val="en-GB"/>
              </w:rPr>
              <w:t>x</w:t>
            </w:r>
            <w:r>
              <w:rPr>
                <w:sz w:val="18"/>
                <w:lang w:val="en-GB"/>
              </w:rPr>
              <w:t xml:space="preserve"> </w:t>
            </w:r>
            <w:r w:rsidRPr="00BB2188">
              <w:rPr>
                <w:sz w:val="18"/>
                <w:lang w:val="en-GB"/>
              </w:rPr>
              <w:t>80 Euro)</w:t>
            </w:r>
          </w:p>
          <w:p w14:paraId="1605368A" w14:textId="77777777" w:rsidR="00BB2188" w:rsidRPr="00BB2188" w:rsidRDefault="00BB2188" w:rsidP="00BB2188">
            <w:pPr>
              <w:pStyle w:val="Opsommingsymbool0"/>
              <w:rPr>
                <w:sz w:val="18"/>
                <w:lang w:val="en-GB"/>
              </w:rPr>
            </w:pPr>
            <w:r w:rsidRPr="00BB2188">
              <w:rPr>
                <w:sz w:val="18"/>
                <w:lang w:val="en-GB"/>
              </w:rPr>
              <w:t>Travel costs: 70 Euro</w:t>
            </w:r>
          </w:p>
          <w:p w14:paraId="6109F99D" w14:textId="77777777" w:rsidR="00BB2188" w:rsidRPr="00BB2188" w:rsidRDefault="00BB2188" w:rsidP="00BB2188">
            <w:pPr>
              <w:pStyle w:val="Opsommingsymbool0"/>
              <w:rPr>
                <w:sz w:val="18"/>
                <w:lang w:val="en-GB"/>
              </w:rPr>
            </w:pPr>
            <w:r w:rsidRPr="00BB2188">
              <w:rPr>
                <w:sz w:val="18"/>
                <w:lang w:val="en-GB"/>
              </w:rPr>
              <w:t>3 public servants per MS per meeting</w:t>
            </w:r>
          </w:p>
          <w:p w14:paraId="5F7FE2EC" w14:textId="221E1274" w:rsidR="00B40B68" w:rsidRPr="004E3D5A" w:rsidRDefault="00BB2188" w:rsidP="00BB2188">
            <w:pPr>
              <w:pStyle w:val="Opsommingsymbool0"/>
              <w:rPr>
                <w:sz w:val="18"/>
                <w:lang w:val="en-GB"/>
              </w:rPr>
            </w:pPr>
            <w:r w:rsidRPr="00BB2188">
              <w:rPr>
                <w:sz w:val="18"/>
                <w:lang w:val="en-GB"/>
              </w:rPr>
              <w:t>Total costs per meeting: 750 Euro (250 Euro</w:t>
            </w:r>
            <w:r>
              <w:rPr>
                <w:sz w:val="18"/>
                <w:lang w:val="en-GB"/>
              </w:rPr>
              <w:t xml:space="preserve"> </w:t>
            </w:r>
            <w:r w:rsidRPr="00BB2188">
              <w:rPr>
                <w:sz w:val="18"/>
                <w:lang w:val="en-GB"/>
              </w:rPr>
              <w:t>x</w:t>
            </w:r>
            <w:r>
              <w:rPr>
                <w:sz w:val="18"/>
                <w:lang w:val="en-GB"/>
              </w:rPr>
              <w:t xml:space="preserve"> </w:t>
            </w:r>
            <w:r w:rsidRPr="00BB2188">
              <w:rPr>
                <w:sz w:val="18"/>
                <w:lang w:val="en-GB"/>
              </w:rPr>
              <w:t>3)</w:t>
            </w:r>
          </w:p>
        </w:tc>
      </w:tr>
      <w:tr w:rsidR="001918B1" w:rsidRPr="0049591E" w14:paraId="2753BF3F" w14:textId="77777777" w:rsidTr="001918B1">
        <w:tc>
          <w:tcPr>
            <w:tcW w:w="2689" w:type="dxa"/>
          </w:tcPr>
          <w:p w14:paraId="72FC788A" w14:textId="77777777" w:rsidR="001918B1" w:rsidRPr="001918B1" w:rsidRDefault="001918B1" w:rsidP="001918B1">
            <w:pPr>
              <w:pStyle w:val="OpsommingSymbool"/>
              <w:numPr>
                <w:ilvl w:val="0"/>
                <w:numId w:val="0"/>
              </w:numPr>
              <w:rPr>
                <w:sz w:val="18"/>
                <w:lang w:val="en-GB"/>
              </w:rPr>
            </w:pPr>
            <w:r w:rsidRPr="001918B1">
              <w:rPr>
                <w:sz w:val="18"/>
                <w:lang w:val="en-GB"/>
              </w:rPr>
              <w:t>Surveillance costs</w:t>
            </w:r>
          </w:p>
          <w:p w14:paraId="67433624" w14:textId="77777777" w:rsidR="001918B1" w:rsidRDefault="001918B1" w:rsidP="001918B1">
            <w:pPr>
              <w:pStyle w:val="OpsommingSymbool"/>
              <w:numPr>
                <w:ilvl w:val="0"/>
                <w:numId w:val="0"/>
              </w:numPr>
              <w:rPr>
                <w:sz w:val="18"/>
                <w:lang w:val="en-GB"/>
              </w:rPr>
            </w:pPr>
          </w:p>
        </w:tc>
        <w:tc>
          <w:tcPr>
            <w:tcW w:w="4672" w:type="dxa"/>
          </w:tcPr>
          <w:p w14:paraId="7B1AF291" w14:textId="77777777" w:rsidR="001918B1" w:rsidRPr="001918B1" w:rsidRDefault="001918B1" w:rsidP="001918B1">
            <w:pPr>
              <w:pStyle w:val="Opsommingsymbool0"/>
              <w:rPr>
                <w:sz w:val="18"/>
                <w:lang w:val="en-GB"/>
              </w:rPr>
            </w:pPr>
            <w:r w:rsidRPr="001918B1">
              <w:rPr>
                <w:sz w:val="18"/>
                <w:lang w:val="en-GB"/>
              </w:rPr>
              <w:t>Cost per shipping hour (including staff)</w:t>
            </w:r>
          </w:p>
          <w:p w14:paraId="53D89AC3" w14:textId="2375E539" w:rsidR="001918B1" w:rsidRPr="001918B1" w:rsidRDefault="001918B1" w:rsidP="001918B1">
            <w:pPr>
              <w:pStyle w:val="Opsommingsymbool0"/>
              <w:numPr>
                <w:ilvl w:val="1"/>
                <w:numId w:val="11"/>
              </w:numPr>
              <w:rPr>
                <w:sz w:val="18"/>
                <w:lang w:val="en-GB"/>
              </w:rPr>
            </w:pPr>
            <w:r w:rsidRPr="001918B1">
              <w:rPr>
                <w:sz w:val="18"/>
                <w:lang w:val="en-GB"/>
              </w:rPr>
              <w:t xml:space="preserve">Shallow water: </w:t>
            </w:r>
            <w:r w:rsidRPr="001918B1">
              <w:rPr>
                <w:sz w:val="18"/>
                <w:lang w:val="en-GB"/>
              </w:rPr>
              <w:tab/>
              <w:t>150 Euro</w:t>
            </w:r>
          </w:p>
          <w:p w14:paraId="37B60EDF" w14:textId="25B57BD9" w:rsidR="001918B1" w:rsidRPr="001918B1" w:rsidRDefault="001918B1" w:rsidP="001918B1">
            <w:pPr>
              <w:pStyle w:val="Opsommingsymbool0"/>
              <w:numPr>
                <w:ilvl w:val="1"/>
                <w:numId w:val="11"/>
              </w:numPr>
              <w:rPr>
                <w:sz w:val="18"/>
                <w:lang w:val="en-GB"/>
              </w:rPr>
            </w:pPr>
            <w:r w:rsidRPr="001918B1">
              <w:rPr>
                <w:sz w:val="18"/>
                <w:lang w:val="en-GB"/>
              </w:rPr>
              <w:t xml:space="preserve">Open water: </w:t>
            </w:r>
            <w:r w:rsidRPr="001918B1">
              <w:rPr>
                <w:sz w:val="18"/>
                <w:lang w:val="en-GB"/>
              </w:rPr>
              <w:tab/>
              <w:t xml:space="preserve">350 Euro </w:t>
            </w:r>
          </w:p>
          <w:p w14:paraId="5E65474B" w14:textId="581F88E9" w:rsidR="001918B1" w:rsidRPr="001918B1" w:rsidRDefault="001918B1" w:rsidP="001918B1">
            <w:pPr>
              <w:pStyle w:val="Opsommingsymbool0"/>
              <w:numPr>
                <w:ilvl w:val="1"/>
                <w:numId w:val="11"/>
              </w:numPr>
              <w:rPr>
                <w:sz w:val="18"/>
                <w:lang w:val="en-GB"/>
              </w:rPr>
            </w:pPr>
            <w:r w:rsidRPr="001918B1">
              <w:rPr>
                <w:sz w:val="18"/>
                <w:lang w:val="en-GB"/>
              </w:rPr>
              <w:t xml:space="preserve">Motorboat: </w:t>
            </w:r>
            <w:r w:rsidRPr="001918B1">
              <w:rPr>
                <w:sz w:val="18"/>
                <w:lang w:val="en-GB"/>
              </w:rPr>
              <w:tab/>
              <w:t xml:space="preserve"> 25 Euro</w:t>
            </w:r>
          </w:p>
          <w:p w14:paraId="6E6CF09E" w14:textId="4733DE77" w:rsidR="001918B1" w:rsidRPr="001918B1" w:rsidRDefault="001918B1" w:rsidP="001918B1">
            <w:pPr>
              <w:pStyle w:val="Opsommingsymbool0"/>
              <w:rPr>
                <w:sz w:val="18"/>
                <w:lang w:val="en-GB"/>
              </w:rPr>
            </w:pPr>
            <w:r w:rsidRPr="001918B1">
              <w:rPr>
                <w:sz w:val="18"/>
                <w:lang w:val="en-GB"/>
              </w:rPr>
              <w:t>Cost per aerial surveillance hour</w:t>
            </w:r>
            <w:r>
              <w:rPr>
                <w:sz w:val="18"/>
                <w:lang w:val="en-GB"/>
              </w:rPr>
              <w:t xml:space="preserve">:        </w:t>
            </w:r>
            <w:r w:rsidRPr="001918B1">
              <w:rPr>
                <w:sz w:val="18"/>
                <w:lang w:val="en-GB"/>
              </w:rPr>
              <w:t>500 Euro</w:t>
            </w:r>
          </w:p>
          <w:p w14:paraId="1880FC17" w14:textId="36FE35D9" w:rsidR="001918B1" w:rsidRPr="00BB2188" w:rsidRDefault="001918B1" w:rsidP="001918B1">
            <w:pPr>
              <w:pStyle w:val="Opsommingsymbool0"/>
              <w:rPr>
                <w:sz w:val="18"/>
                <w:lang w:val="en-GB"/>
              </w:rPr>
            </w:pPr>
            <w:r w:rsidRPr="001918B1">
              <w:rPr>
                <w:sz w:val="18"/>
                <w:lang w:val="en-GB"/>
              </w:rPr>
              <w:t>Yearly cost per FTE (police officer)</w:t>
            </w:r>
            <w:r>
              <w:rPr>
                <w:sz w:val="18"/>
                <w:lang w:val="en-GB"/>
              </w:rPr>
              <w:t xml:space="preserve">: </w:t>
            </w:r>
            <w:r w:rsidRPr="001918B1">
              <w:rPr>
                <w:sz w:val="18"/>
                <w:lang w:val="en-GB"/>
              </w:rPr>
              <w:t xml:space="preserve">    </w:t>
            </w:r>
            <w:r>
              <w:rPr>
                <w:sz w:val="18"/>
                <w:lang w:val="en-GB"/>
              </w:rPr>
              <w:t>1</w:t>
            </w:r>
            <w:r w:rsidRPr="001918B1">
              <w:rPr>
                <w:sz w:val="18"/>
                <w:lang w:val="en-GB"/>
              </w:rPr>
              <w:t xml:space="preserve">2.000 Euro (60 Euro per </w:t>
            </w:r>
            <w:proofErr w:type="spellStart"/>
            <w:r w:rsidRPr="001918B1">
              <w:rPr>
                <w:sz w:val="18"/>
                <w:lang w:val="en-GB"/>
              </w:rPr>
              <w:t>manday</w:t>
            </w:r>
            <w:proofErr w:type="spellEnd"/>
            <w:r w:rsidRPr="001918B1">
              <w:rPr>
                <w:sz w:val="18"/>
                <w:lang w:val="en-GB"/>
              </w:rPr>
              <w:t xml:space="preserve"> x 200 </w:t>
            </w:r>
            <w:proofErr w:type="spellStart"/>
            <w:r w:rsidRPr="001918B1">
              <w:rPr>
                <w:sz w:val="18"/>
                <w:lang w:val="en-GB"/>
              </w:rPr>
              <w:t>mandays</w:t>
            </w:r>
            <w:proofErr w:type="spellEnd"/>
            <w:r w:rsidRPr="001918B1">
              <w:rPr>
                <w:sz w:val="18"/>
                <w:lang w:val="en-GB"/>
              </w:rPr>
              <w:t xml:space="preserve"> per year)</w:t>
            </w:r>
          </w:p>
        </w:tc>
      </w:tr>
    </w:tbl>
    <w:p w14:paraId="57F3C387" w14:textId="77777777" w:rsidR="001918B1" w:rsidRPr="001918B1" w:rsidRDefault="001918B1" w:rsidP="001918B1">
      <w:pPr>
        <w:pStyle w:val="ARCADISStandaard"/>
        <w:rPr>
          <w:lang w:val="en-GB"/>
        </w:rPr>
      </w:pPr>
    </w:p>
    <w:p w14:paraId="3630BDE2" w14:textId="77777777" w:rsidR="005C25EA" w:rsidRPr="002605F8" w:rsidRDefault="005C25EA" w:rsidP="00487377">
      <w:pPr>
        <w:pStyle w:val="Kop3"/>
        <w:rPr>
          <w:lang w:val="en-GB"/>
        </w:rPr>
      </w:pPr>
      <w:r w:rsidRPr="002605F8">
        <w:rPr>
          <w:lang w:val="en-GB"/>
        </w:rPr>
        <w:t xml:space="preserve">Assigning costs to each cost component of the measure </w:t>
      </w:r>
    </w:p>
    <w:p w14:paraId="71F654B2" w14:textId="2F47A244" w:rsidR="00AF5E03" w:rsidRPr="002605F8" w:rsidRDefault="00AF5E03" w:rsidP="00AF5E03">
      <w:pPr>
        <w:keepNext/>
        <w:ind w:left="1701"/>
        <w:outlineLvl w:val="4"/>
        <w:rPr>
          <w:bCs/>
          <w:iCs/>
          <w:color w:val="0079A2"/>
          <w:szCs w:val="26"/>
          <w:lang w:val="en-GB"/>
        </w:rPr>
      </w:pPr>
      <w:r w:rsidRPr="002605F8">
        <w:rPr>
          <w:bCs/>
          <w:iCs/>
          <w:color w:val="0079A2"/>
          <w:szCs w:val="26"/>
          <w:lang w:val="en-GB"/>
        </w:rPr>
        <w:t xml:space="preserve">Legal </w:t>
      </w:r>
      <w:r w:rsidR="005C25EA" w:rsidRPr="002605F8">
        <w:rPr>
          <w:bCs/>
          <w:iCs/>
          <w:color w:val="0079A2"/>
          <w:szCs w:val="26"/>
          <w:lang w:val="en-GB"/>
        </w:rPr>
        <w:t>measures</w:t>
      </w:r>
    </w:p>
    <w:p w14:paraId="1AFC0C83" w14:textId="77777777" w:rsidR="005C25EA" w:rsidRPr="002605F8" w:rsidRDefault="005C25EA" w:rsidP="00194FFB">
      <w:pPr>
        <w:pStyle w:val="OpsommingSymbool"/>
        <w:rPr>
          <w:lang w:val="en-GB"/>
        </w:rPr>
      </w:pPr>
      <w:r w:rsidRPr="002605F8">
        <w:rPr>
          <w:lang w:val="en-GB"/>
        </w:rPr>
        <w:t>Negotiation costs</w:t>
      </w:r>
    </w:p>
    <w:tbl>
      <w:tblPr>
        <w:tblW w:w="7540" w:type="dxa"/>
        <w:tblInd w:w="2124" w:type="dxa"/>
        <w:tblLook w:val="04A0" w:firstRow="1" w:lastRow="0" w:firstColumn="1" w:lastColumn="0" w:noHBand="0" w:noVBand="1"/>
      </w:tblPr>
      <w:tblGrid>
        <w:gridCol w:w="3231"/>
        <w:gridCol w:w="1361"/>
        <w:gridCol w:w="1474"/>
        <w:gridCol w:w="1474"/>
      </w:tblGrid>
      <w:tr w:rsidR="005C25EA" w:rsidRPr="0049591E" w14:paraId="6FD502DD" w14:textId="77777777" w:rsidTr="005C25EA">
        <w:trPr>
          <w:trHeight w:val="70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5278BE8D"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7D33139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2B82948B"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14:paraId="4B895D8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2605F8" w14:paraId="0296B7FD"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59DBD2C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Planning &amp; preparation</w:t>
            </w:r>
          </w:p>
        </w:tc>
        <w:tc>
          <w:tcPr>
            <w:tcW w:w="1361" w:type="dxa"/>
            <w:tcBorders>
              <w:top w:val="nil"/>
              <w:left w:val="nil"/>
              <w:bottom w:val="single" w:sz="4" w:space="0" w:color="auto"/>
              <w:right w:val="single" w:sz="4" w:space="0" w:color="auto"/>
            </w:tcBorders>
            <w:shd w:val="clear" w:color="auto" w:fill="auto"/>
            <w:hideMark/>
          </w:tcPr>
          <w:p w14:paraId="61328EF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6BA44032"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173FB886"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1113B2B9"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tcPr>
          <w:p w14:paraId="6B1D071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Drafting agreement &amp; Ratification</w:t>
            </w:r>
          </w:p>
        </w:tc>
        <w:tc>
          <w:tcPr>
            <w:tcW w:w="1361" w:type="dxa"/>
            <w:tcBorders>
              <w:top w:val="nil"/>
              <w:left w:val="nil"/>
              <w:bottom w:val="single" w:sz="4" w:space="0" w:color="auto"/>
              <w:right w:val="single" w:sz="4" w:space="0" w:color="auto"/>
            </w:tcBorders>
            <w:shd w:val="clear" w:color="auto" w:fill="auto"/>
          </w:tcPr>
          <w:p w14:paraId="53A55D8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0A0153DE"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6FFB26FD"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5266B9F5"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3BBC0B98" w14:textId="7E91A1BB"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Meetings with </w:t>
            </w:r>
            <w:r w:rsidR="00487377" w:rsidRPr="002605F8">
              <w:rPr>
                <w:rFonts w:eastAsia="Times New Roman" w:cs="Arial"/>
                <w:color w:val="000000"/>
                <w:sz w:val="18"/>
                <w:szCs w:val="20"/>
                <w:lang w:val="en-GB"/>
              </w:rPr>
              <w:t>neighbouring</w:t>
            </w:r>
            <w:r w:rsidRPr="002605F8">
              <w:rPr>
                <w:rFonts w:eastAsia="Times New Roman" w:cs="Arial"/>
                <w:color w:val="000000"/>
                <w:sz w:val="18"/>
                <w:szCs w:val="20"/>
                <w:lang w:val="en-GB"/>
              </w:rPr>
              <w:t xml:space="preserve"> MS</w:t>
            </w:r>
          </w:p>
        </w:tc>
        <w:tc>
          <w:tcPr>
            <w:tcW w:w="1361" w:type="dxa"/>
            <w:tcBorders>
              <w:top w:val="nil"/>
              <w:left w:val="nil"/>
              <w:bottom w:val="single" w:sz="4" w:space="0" w:color="auto"/>
              <w:right w:val="single" w:sz="4" w:space="0" w:color="auto"/>
            </w:tcBorders>
            <w:shd w:val="clear" w:color="auto" w:fill="auto"/>
            <w:hideMark/>
          </w:tcPr>
          <w:p w14:paraId="38159C6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301D577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70B10702"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45C0F122"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49F8CAF0"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Travel &amp; other costs</w:t>
            </w:r>
          </w:p>
        </w:tc>
        <w:tc>
          <w:tcPr>
            <w:tcW w:w="1361" w:type="dxa"/>
            <w:tcBorders>
              <w:top w:val="nil"/>
              <w:left w:val="nil"/>
              <w:bottom w:val="single" w:sz="4" w:space="0" w:color="auto"/>
              <w:right w:val="single" w:sz="4" w:space="0" w:color="auto"/>
            </w:tcBorders>
            <w:shd w:val="clear" w:color="auto" w:fill="auto"/>
            <w:hideMark/>
          </w:tcPr>
          <w:p w14:paraId="688E3858"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33147C09"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33E7269C"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02B97F7A"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15EF839D"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shd w:val="clear" w:color="auto" w:fill="auto"/>
            <w:hideMark/>
          </w:tcPr>
          <w:p w14:paraId="2098E4D8"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248FFEE6"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noWrap/>
          </w:tcPr>
          <w:p w14:paraId="43327B85" w14:textId="06C2A413"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p>
        </w:tc>
      </w:tr>
    </w:tbl>
    <w:p w14:paraId="3E3751B8" w14:textId="77777777" w:rsidR="00487377" w:rsidRDefault="00487377" w:rsidP="00487377">
      <w:pPr>
        <w:pStyle w:val="OpsommingSymbool"/>
        <w:numPr>
          <w:ilvl w:val="0"/>
          <w:numId w:val="0"/>
        </w:numPr>
        <w:ind w:left="1985" w:hanging="284"/>
        <w:rPr>
          <w:lang w:val="en-GB"/>
        </w:rPr>
      </w:pPr>
    </w:p>
    <w:p w14:paraId="215C1CDA" w14:textId="77777777" w:rsidR="005C25EA" w:rsidRPr="002605F8" w:rsidRDefault="005C25EA" w:rsidP="00194FFB">
      <w:pPr>
        <w:pStyle w:val="OpsommingSymbool"/>
        <w:rPr>
          <w:lang w:val="en-GB"/>
        </w:rPr>
      </w:pPr>
      <w:r w:rsidRPr="002605F8">
        <w:rPr>
          <w:lang w:val="en-GB"/>
        </w:rPr>
        <w:t>Research costs</w:t>
      </w:r>
    </w:p>
    <w:tbl>
      <w:tblPr>
        <w:tblW w:w="7540" w:type="dxa"/>
        <w:tblInd w:w="2124" w:type="dxa"/>
        <w:tblLook w:val="04A0" w:firstRow="1" w:lastRow="0" w:firstColumn="1" w:lastColumn="0" w:noHBand="0" w:noVBand="1"/>
      </w:tblPr>
      <w:tblGrid>
        <w:gridCol w:w="3231"/>
        <w:gridCol w:w="1361"/>
        <w:gridCol w:w="1474"/>
        <w:gridCol w:w="1474"/>
      </w:tblGrid>
      <w:tr w:rsidR="005C25EA" w:rsidRPr="0049591E" w14:paraId="3B0BAA8C" w14:textId="77777777" w:rsidTr="005C25EA">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65CB8D25"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Actions required </w:t>
            </w:r>
          </w:p>
        </w:tc>
        <w:tc>
          <w:tcPr>
            <w:tcW w:w="1361" w:type="dxa"/>
            <w:tcBorders>
              <w:top w:val="single" w:sz="4" w:space="0" w:color="auto"/>
              <w:left w:val="nil"/>
              <w:bottom w:val="single" w:sz="4" w:space="0" w:color="auto"/>
              <w:right w:val="single" w:sz="4" w:space="0" w:color="auto"/>
            </w:tcBorders>
            <w:shd w:val="clear" w:color="000000" w:fill="D8D8D8"/>
            <w:hideMark/>
          </w:tcPr>
          <w:p w14:paraId="4CF2ACE4"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14DF889D"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14:paraId="5E88A415"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2605F8" w14:paraId="55F81A48"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499A8C6F"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Research costs </w:t>
            </w:r>
          </w:p>
        </w:tc>
        <w:tc>
          <w:tcPr>
            <w:tcW w:w="1361" w:type="dxa"/>
            <w:tcBorders>
              <w:top w:val="nil"/>
              <w:left w:val="nil"/>
              <w:bottom w:val="single" w:sz="4" w:space="0" w:color="auto"/>
              <w:right w:val="single" w:sz="4" w:space="0" w:color="auto"/>
            </w:tcBorders>
            <w:shd w:val="clear" w:color="auto" w:fill="auto"/>
            <w:hideMark/>
          </w:tcPr>
          <w:p w14:paraId="490A546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2C555B6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61A01951"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1264C51A"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2A151E8A"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cost</w:t>
            </w:r>
          </w:p>
        </w:tc>
        <w:tc>
          <w:tcPr>
            <w:tcW w:w="1361" w:type="dxa"/>
            <w:tcBorders>
              <w:top w:val="nil"/>
              <w:left w:val="nil"/>
              <w:bottom w:val="single" w:sz="4" w:space="0" w:color="auto"/>
              <w:right w:val="single" w:sz="4" w:space="0" w:color="auto"/>
            </w:tcBorders>
            <w:shd w:val="clear" w:color="auto" w:fill="auto"/>
            <w:hideMark/>
          </w:tcPr>
          <w:p w14:paraId="07415A92"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713C3C9F"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noWrap/>
          </w:tcPr>
          <w:p w14:paraId="2EEE98B3" w14:textId="1CFCD493"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p>
        </w:tc>
      </w:tr>
    </w:tbl>
    <w:p w14:paraId="3EEA2128" w14:textId="5A9A9E9F" w:rsidR="005C25EA" w:rsidRDefault="005C25EA" w:rsidP="00AC41A1">
      <w:pPr>
        <w:numPr>
          <w:ilvl w:val="0"/>
          <w:numId w:val="17"/>
        </w:numPr>
        <w:rPr>
          <w:lang w:val="en-GB"/>
        </w:rPr>
      </w:pPr>
      <w:r w:rsidRPr="002605F8">
        <w:rPr>
          <w:lang w:val="en-GB"/>
        </w:rPr>
        <w:t>Alternative approach: cost</w:t>
      </w:r>
      <w:r w:rsidR="004C78E5">
        <w:rPr>
          <w:lang w:val="en-GB"/>
        </w:rPr>
        <w:t xml:space="preserve"> of similar research programmes</w:t>
      </w:r>
    </w:p>
    <w:p w14:paraId="6B46CB4B" w14:textId="77777777" w:rsidR="00487377" w:rsidRDefault="00487377" w:rsidP="00487377">
      <w:pPr>
        <w:pStyle w:val="OpsommingSymbool"/>
        <w:numPr>
          <w:ilvl w:val="0"/>
          <w:numId w:val="0"/>
        </w:numPr>
        <w:ind w:left="1985" w:hanging="284"/>
        <w:rPr>
          <w:lang w:val="en-GB"/>
        </w:rPr>
      </w:pPr>
    </w:p>
    <w:p w14:paraId="516483F2" w14:textId="77777777" w:rsidR="001918B1" w:rsidRDefault="001918B1" w:rsidP="00487377">
      <w:pPr>
        <w:pStyle w:val="OpsommingSymbool"/>
        <w:numPr>
          <w:ilvl w:val="0"/>
          <w:numId w:val="0"/>
        </w:numPr>
        <w:ind w:left="1985" w:hanging="284"/>
        <w:rPr>
          <w:lang w:val="en-GB"/>
        </w:rPr>
      </w:pPr>
    </w:p>
    <w:p w14:paraId="3706C38A" w14:textId="77777777" w:rsidR="005C25EA" w:rsidRPr="002605F8" w:rsidRDefault="005C25EA" w:rsidP="00194FFB">
      <w:pPr>
        <w:pStyle w:val="OpsommingSymbool"/>
        <w:rPr>
          <w:lang w:val="en-GB"/>
        </w:rPr>
      </w:pPr>
      <w:r w:rsidRPr="002605F8">
        <w:rPr>
          <w:lang w:val="en-GB"/>
        </w:rPr>
        <w:lastRenderedPageBreak/>
        <w:t>Implementation costs for a law, regulation, …</w:t>
      </w:r>
    </w:p>
    <w:tbl>
      <w:tblPr>
        <w:tblW w:w="7685" w:type="dxa"/>
        <w:tblInd w:w="2124" w:type="dxa"/>
        <w:tblLook w:val="04A0" w:firstRow="1" w:lastRow="0" w:firstColumn="1" w:lastColumn="0" w:noHBand="0" w:noVBand="1"/>
      </w:tblPr>
      <w:tblGrid>
        <w:gridCol w:w="3231"/>
        <w:gridCol w:w="1480"/>
        <w:gridCol w:w="1500"/>
        <w:gridCol w:w="1474"/>
      </w:tblGrid>
      <w:tr w:rsidR="005C25EA" w:rsidRPr="0049591E" w14:paraId="29E10E39" w14:textId="77777777" w:rsidTr="005C25EA">
        <w:trPr>
          <w:trHeight w:val="624"/>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19884DF7"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000000" w:fill="D8D8D8"/>
            <w:hideMark/>
          </w:tcPr>
          <w:p w14:paraId="1D23C57D"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500" w:type="dxa"/>
            <w:tcBorders>
              <w:top w:val="single" w:sz="4" w:space="0" w:color="auto"/>
              <w:left w:val="nil"/>
              <w:bottom w:val="single" w:sz="4" w:space="0" w:color="auto"/>
              <w:right w:val="single" w:sz="4" w:space="0" w:color="auto"/>
            </w:tcBorders>
            <w:shd w:val="clear" w:color="000000" w:fill="D8D8D8"/>
            <w:hideMark/>
          </w:tcPr>
          <w:p w14:paraId="005C0E34"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14:paraId="6699806F"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2605F8" w14:paraId="0B46C331"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39EB7826" w14:textId="33F67520"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Preparation (Planning,</w:t>
            </w:r>
            <w:r w:rsidR="00487377">
              <w:rPr>
                <w:rFonts w:eastAsia="Times New Roman" w:cs="Arial"/>
                <w:color w:val="000000"/>
                <w:sz w:val="18"/>
                <w:szCs w:val="20"/>
                <w:lang w:val="en-GB"/>
              </w:rPr>
              <w:t xml:space="preserve"> </w:t>
            </w:r>
            <w:r w:rsidRPr="002605F8">
              <w:rPr>
                <w:rFonts w:eastAsia="Times New Roman" w:cs="Arial"/>
                <w:color w:val="000000"/>
                <w:sz w:val="18"/>
                <w:szCs w:val="20"/>
                <w:lang w:val="en-GB"/>
              </w:rPr>
              <w:t xml:space="preserve">writing) </w:t>
            </w:r>
          </w:p>
        </w:tc>
        <w:tc>
          <w:tcPr>
            <w:tcW w:w="1480" w:type="dxa"/>
            <w:tcBorders>
              <w:top w:val="nil"/>
              <w:left w:val="nil"/>
              <w:bottom w:val="single" w:sz="4" w:space="0" w:color="auto"/>
              <w:right w:val="single" w:sz="4" w:space="0" w:color="auto"/>
            </w:tcBorders>
            <w:shd w:val="clear" w:color="auto" w:fill="auto"/>
            <w:hideMark/>
          </w:tcPr>
          <w:p w14:paraId="196D22A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0AD7E44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175DF9D9"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2466BBD3"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34BADB9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Consultation, Dealing with objections,</w:t>
            </w:r>
          </w:p>
        </w:tc>
        <w:tc>
          <w:tcPr>
            <w:tcW w:w="1480" w:type="dxa"/>
            <w:tcBorders>
              <w:top w:val="nil"/>
              <w:left w:val="nil"/>
              <w:bottom w:val="single" w:sz="4" w:space="0" w:color="auto"/>
              <w:right w:val="single" w:sz="4" w:space="0" w:color="auto"/>
            </w:tcBorders>
            <w:shd w:val="clear" w:color="auto" w:fill="auto"/>
            <w:hideMark/>
          </w:tcPr>
          <w:p w14:paraId="7F87BAF9"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151CD15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0D983CF2"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49591E" w14:paraId="299BFA09"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1440521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Finalisation (Approval and sign-off, advertising)</w:t>
            </w:r>
          </w:p>
        </w:tc>
        <w:tc>
          <w:tcPr>
            <w:tcW w:w="1480" w:type="dxa"/>
            <w:tcBorders>
              <w:top w:val="nil"/>
              <w:left w:val="nil"/>
              <w:bottom w:val="single" w:sz="4" w:space="0" w:color="auto"/>
              <w:right w:val="single" w:sz="4" w:space="0" w:color="auto"/>
            </w:tcBorders>
            <w:shd w:val="clear" w:color="auto" w:fill="auto"/>
            <w:hideMark/>
          </w:tcPr>
          <w:p w14:paraId="02990370"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4325881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11E21713"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31017983"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5FD405B5"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implementation cost</w:t>
            </w:r>
          </w:p>
        </w:tc>
        <w:tc>
          <w:tcPr>
            <w:tcW w:w="1480" w:type="dxa"/>
            <w:tcBorders>
              <w:top w:val="nil"/>
              <w:left w:val="nil"/>
              <w:bottom w:val="single" w:sz="4" w:space="0" w:color="auto"/>
              <w:right w:val="single" w:sz="4" w:space="0" w:color="auto"/>
            </w:tcBorders>
            <w:shd w:val="clear" w:color="auto" w:fill="auto"/>
            <w:hideMark/>
          </w:tcPr>
          <w:p w14:paraId="63EBD3CF"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69298AFB"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noWrap/>
          </w:tcPr>
          <w:p w14:paraId="79C5B6C4" w14:textId="77777777" w:rsidR="005C25EA" w:rsidRPr="002605F8" w:rsidRDefault="005C25EA" w:rsidP="005C25EA">
            <w:pPr>
              <w:spacing w:before="0" w:after="0" w:line="240" w:lineRule="auto"/>
              <w:jc w:val="right"/>
              <w:rPr>
                <w:rFonts w:eastAsia="Times New Roman" w:cs="Arial"/>
                <w:b/>
                <w:bCs/>
                <w:color w:val="000000"/>
                <w:sz w:val="18"/>
                <w:szCs w:val="20"/>
                <w:lang w:val="en-GB"/>
              </w:rPr>
            </w:pPr>
          </w:p>
        </w:tc>
      </w:tr>
    </w:tbl>
    <w:p w14:paraId="15F1F914" w14:textId="77777777" w:rsidR="00487377" w:rsidRDefault="00487377" w:rsidP="00487377">
      <w:pPr>
        <w:pStyle w:val="OpsommingSymbool"/>
        <w:numPr>
          <w:ilvl w:val="0"/>
          <w:numId w:val="0"/>
        </w:numPr>
        <w:ind w:left="1985" w:hanging="284"/>
        <w:rPr>
          <w:lang w:val="en-GB"/>
        </w:rPr>
      </w:pPr>
    </w:p>
    <w:p w14:paraId="72621C95" w14:textId="77777777" w:rsidR="004C78E5" w:rsidRPr="002605F8" w:rsidRDefault="004C78E5" w:rsidP="004C78E5">
      <w:pPr>
        <w:pStyle w:val="OpsommingSymbool"/>
        <w:rPr>
          <w:lang w:val="en-GB"/>
        </w:rPr>
      </w:pPr>
      <w:r w:rsidRPr="002605F8">
        <w:rPr>
          <w:lang w:val="en-GB"/>
        </w:rPr>
        <w:t>Sectoral costs</w:t>
      </w:r>
    </w:p>
    <w:tbl>
      <w:tblPr>
        <w:tblW w:w="6464" w:type="dxa"/>
        <w:tblInd w:w="2124" w:type="dxa"/>
        <w:tblLook w:val="04A0" w:firstRow="1" w:lastRow="0" w:firstColumn="1" w:lastColumn="0" w:noHBand="0" w:noVBand="1"/>
      </w:tblPr>
      <w:tblGrid>
        <w:gridCol w:w="3402"/>
        <w:gridCol w:w="1531"/>
        <w:gridCol w:w="1531"/>
      </w:tblGrid>
      <w:tr w:rsidR="004C78E5" w:rsidRPr="002605F8" w14:paraId="5728F87A" w14:textId="77777777" w:rsidTr="002719D9">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38EF83C7" w14:textId="77777777" w:rsidR="004C78E5" w:rsidRPr="002605F8" w:rsidRDefault="004C78E5" w:rsidP="002719D9">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14:paraId="579F48AD" w14:textId="77777777" w:rsidR="004C78E5" w:rsidRPr="002605F8" w:rsidRDefault="004C78E5" w:rsidP="002719D9">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14:paraId="14B3F775" w14:textId="77777777" w:rsidR="004C78E5" w:rsidRPr="002605F8" w:rsidRDefault="004C78E5" w:rsidP="002719D9">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cost per year (€)</w:t>
            </w:r>
          </w:p>
        </w:tc>
      </w:tr>
      <w:tr w:rsidR="004C78E5" w:rsidRPr="002605F8" w14:paraId="2D95C1FF" w14:textId="77777777" w:rsidTr="002719D9">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59D14A45"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shd w:val="clear" w:color="auto" w:fill="auto"/>
            <w:hideMark/>
          </w:tcPr>
          <w:p w14:paraId="4D1B0CC3"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000000" w:fill="D9D9D9"/>
            <w:hideMark/>
          </w:tcPr>
          <w:p w14:paraId="21C56A8F"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4C78E5" w:rsidRPr="002605F8" w14:paraId="78B6D43C" w14:textId="77777777" w:rsidTr="002719D9">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65402981"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Operational costs</w:t>
            </w:r>
          </w:p>
        </w:tc>
        <w:tc>
          <w:tcPr>
            <w:tcW w:w="1531" w:type="dxa"/>
            <w:tcBorders>
              <w:top w:val="nil"/>
              <w:left w:val="nil"/>
              <w:bottom w:val="single" w:sz="4" w:space="0" w:color="auto"/>
              <w:right w:val="single" w:sz="4" w:space="0" w:color="auto"/>
            </w:tcBorders>
            <w:shd w:val="clear" w:color="000000" w:fill="D9D9D9"/>
            <w:hideMark/>
          </w:tcPr>
          <w:p w14:paraId="698519D8"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323D6775"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4C78E5" w:rsidRPr="002605F8" w14:paraId="0F8A9546" w14:textId="77777777" w:rsidTr="002719D9">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18F8EEBF"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Loss of added value</w:t>
            </w:r>
          </w:p>
        </w:tc>
        <w:tc>
          <w:tcPr>
            <w:tcW w:w="1531" w:type="dxa"/>
            <w:tcBorders>
              <w:top w:val="nil"/>
              <w:left w:val="nil"/>
              <w:bottom w:val="single" w:sz="4" w:space="0" w:color="auto"/>
              <w:right w:val="single" w:sz="4" w:space="0" w:color="auto"/>
            </w:tcBorders>
            <w:shd w:val="clear" w:color="000000" w:fill="D9D9D9"/>
            <w:hideMark/>
          </w:tcPr>
          <w:p w14:paraId="20EBCD10"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112690B8" w14:textId="77777777" w:rsidR="004C78E5" w:rsidRPr="002605F8" w:rsidRDefault="004C78E5" w:rsidP="002719D9">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4C78E5" w:rsidRPr="002605F8" w14:paraId="59683E7A" w14:textId="77777777" w:rsidTr="002719D9">
        <w:trPr>
          <w:trHeight w:val="264"/>
        </w:trPr>
        <w:tc>
          <w:tcPr>
            <w:tcW w:w="3402" w:type="dxa"/>
            <w:tcBorders>
              <w:top w:val="nil"/>
              <w:left w:val="single" w:sz="4" w:space="0" w:color="auto"/>
              <w:bottom w:val="single" w:sz="4" w:space="0" w:color="auto"/>
              <w:right w:val="single" w:sz="4" w:space="0" w:color="auto"/>
            </w:tcBorders>
            <w:shd w:val="clear" w:color="auto" w:fill="auto"/>
          </w:tcPr>
          <w:p w14:paraId="528D5B45" w14:textId="77777777" w:rsidR="004C78E5" w:rsidRPr="002605F8" w:rsidRDefault="004C78E5" w:rsidP="002719D9">
            <w:pPr>
              <w:spacing w:before="0" w:after="0" w:line="240" w:lineRule="auto"/>
              <w:rPr>
                <w:rFonts w:eastAsia="Times New Roman" w:cs="Arial"/>
                <w:b/>
                <w:bCs/>
                <w:color w:val="000000"/>
                <w:sz w:val="18"/>
                <w:szCs w:val="20"/>
                <w:lang w:val="en-GB"/>
              </w:rPr>
            </w:pPr>
            <w:r w:rsidRPr="002605F8">
              <w:rPr>
                <w:rFonts w:eastAsia="Times New Roman" w:cs="Arial"/>
                <w:color w:val="000000"/>
                <w:sz w:val="18"/>
                <w:szCs w:val="20"/>
                <w:lang w:val="en-GB"/>
              </w:rPr>
              <w:t>Loss of employment</w:t>
            </w:r>
          </w:p>
        </w:tc>
        <w:tc>
          <w:tcPr>
            <w:tcW w:w="1531" w:type="dxa"/>
            <w:tcBorders>
              <w:top w:val="nil"/>
              <w:left w:val="nil"/>
              <w:bottom w:val="single" w:sz="4" w:space="0" w:color="auto"/>
              <w:right w:val="single" w:sz="4" w:space="0" w:color="auto"/>
            </w:tcBorders>
            <w:shd w:val="clear" w:color="auto" w:fill="auto"/>
            <w:noWrap/>
          </w:tcPr>
          <w:p w14:paraId="13F352CA" w14:textId="77777777" w:rsidR="004C78E5" w:rsidRPr="002605F8" w:rsidRDefault="004C78E5" w:rsidP="002719D9">
            <w:pPr>
              <w:spacing w:before="0" w:after="0" w:line="240" w:lineRule="auto"/>
              <w:jc w:val="right"/>
              <w:rPr>
                <w:rFonts w:eastAsia="Times New Roman" w:cs="Arial"/>
                <w:b/>
                <w:bCs/>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noWrap/>
          </w:tcPr>
          <w:p w14:paraId="78BBD85C" w14:textId="77777777" w:rsidR="004C78E5" w:rsidRPr="002605F8" w:rsidRDefault="004C78E5" w:rsidP="002719D9">
            <w:pPr>
              <w:spacing w:before="0" w:after="0" w:line="240" w:lineRule="auto"/>
              <w:jc w:val="right"/>
              <w:rPr>
                <w:rFonts w:eastAsia="Times New Roman" w:cs="Arial"/>
                <w:b/>
                <w:bCs/>
                <w:color w:val="000000"/>
                <w:sz w:val="18"/>
                <w:szCs w:val="20"/>
                <w:lang w:val="en-GB"/>
              </w:rPr>
            </w:pPr>
            <w:r w:rsidRPr="002605F8">
              <w:rPr>
                <w:rFonts w:eastAsia="Times New Roman" w:cs="Arial"/>
                <w:color w:val="000000"/>
                <w:sz w:val="18"/>
                <w:szCs w:val="20"/>
                <w:lang w:val="en-GB"/>
              </w:rPr>
              <w:t> </w:t>
            </w:r>
          </w:p>
        </w:tc>
      </w:tr>
      <w:tr w:rsidR="004C78E5" w:rsidRPr="002605F8" w14:paraId="01C23D1B" w14:textId="77777777" w:rsidTr="002719D9">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0F31AE4F" w14:textId="77777777" w:rsidR="004C78E5" w:rsidRPr="002605F8" w:rsidRDefault="004C78E5" w:rsidP="002719D9">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shd w:val="clear" w:color="auto" w:fill="auto"/>
            <w:noWrap/>
            <w:hideMark/>
          </w:tcPr>
          <w:p w14:paraId="7FF8B3F5" w14:textId="399BDF4D" w:rsidR="004C78E5" w:rsidRPr="002605F8" w:rsidRDefault="004C78E5" w:rsidP="002719D9">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c>
          <w:tcPr>
            <w:tcW w:w="1531" w:type="dxa"/>
            <w:tcBorders>
              <w:top w:val="nil"/>
              <w:left w:val="nil"/>
              <w:bottom w:val="single" w:sz="4" w:space="0" w:color="auto"/>
              <w:right w:val="single" w:sz="4" w:space="0" w:color="auto"/>
            </w:tcBorders>
            <w:shd w:val="clear" w:color="auto" w:fill="auto"/>
            <w:noWrap/>
            <w:hideMark/>
          </w:tcPr>
          <w:p w14:paraId="031CC51B" w14:textId="41E7496D" w:rsidR="004C78E5" w:rsidRPr="002605F8" w:rsidRDefault="004C78E5" w:rsidP="002719D9">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209F5741" w14:textId="030F0DF2" w:rsidR="00194FFB" w:rsidRDefault="00194FFB" w:rsidP="00194FFB">
      <w:pPr>
        <w:pStyle w:val="OpsommingSymbool"/>
        <w:numPr>
          <w:ilvl w:val="0"/>
          <w:numId w:val="0"/>
        </w:numPr>
        <w:ind w:left="1985"/>
        <w:rPr>
          <w:lang w:val="en-GB"/>
        </w:rPr>
      </w:pPr>
    </w:p>
    <w:p w14:paraId="34FDB121" w14:textId="77777777" w:rsidR="004C78E5" w:rsidRDefault="002605F8" w:rsidP="004C78E5">
      <w:pPr>
        <w:keepNext/>
        <w:ind w:left="1701"/>
        <w:outlineLvl w:val="4"/>
        <w:rPr>
          <w:bCs/>
          <w:iCs/>
          <w:color w:val="0079A2"/>
          <w:szCs w:val="26"/>
          <w:lang w:val="en-GB"/>
        </w:rPr>
      </w:pPr>
      <w:r w:rsidRPr="002605F8">
        <w:rPr>
          <w:bCs/>
          <w:iCs/>
          <w:color w:val="0079A2"/>
          <w:szCs w:val="26"/>
          <w:lang w:val="en-GB"/>
        </w:rPr>
        <w:t>Institutional measures</w:t>
      </w:r>
    </w:p>
    <w:p w14:paraId="74AC0DFA" w14:textId="03811922" w:rsidR="005C25EA" w:rsidRPr="002605F8" w:rsidRDefault="005C25EA" w:rsidP="004C78E5">
      <w:pPr>
        <w:pStyle w:val="OpsommingSymbool"/>
        <w:rPr>
          <w:lang w:val="en-GB"/>
        </w:rPr>
      </w:pPr>
      <w:r w:rsidRPr="002605F8">
        <w:rPr>
          <w:lang w:val="en-GB"/>
        </w:rPr>
        <w:t>Management costs</w:t>
      </w:r>
    </w:p>
    <w:tbl>
      <w:tblPr>
        <w:tblW w:w="7742" w:type="dxa"/>
        <w:tblInd w:w="2124" w:type="dxa"/>
        <w:tblLook w:val="04A0" w:firstRow="1" w:lastRow="0" w:firstColumn="1" w:lastColumn="0" w:noHBand="0" w:noVBand="1"/>
      </w:tblPr>
      <w:tblGrid>
        <w:gridCol w:w="3231"/>
        <w:gridCol w:w="1480"/>
        <w:gridCol w:w="1500"/>
        <w:gridCol w:w="1531"/>
      </w:tblGrid>
      <w:tr w:rsidR="005C25EA" w:rsidRPr="002605F8" w14:paraId="0B236258" w14:textId="77777777" w:rsidTr="005C25EA">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07A1199F"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480" w:type="dxa"/>
            <w:tcBorders>
              <w:top w:val="single" w:sz="4" w:space="0" w:color="auto"/>
              <w:left w:val="nil"/>
              <w:bottom w:val="single" w:sz="4" w:space="0" w:color="auto"/>
              <w:right w:val="single" w:sz="4" w:space="0" w:color="auto"/>
            </w:tcBorders>
            <w:shd w:val="clear" w:color="000000" w:fill="D8D8D8"/>
            <w:hideMark/>
          </w:tcPr>
          <w:p w14:paraId="4A60AE85"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roofErr w:type="spellStart"/>
            <w:r w:rsidRPr="002605F8">
              <w:rPr>
                <w:rFonts w:eastAsia="Times New Roman" w:cs="Arial"/>
                <w:b/>
                <w:bCs/>
                <w:color w:val="000000"/>
                <w:sz w:val="18"/>
                <w:szCs w:val="20"/>
                <w:lang w:val="en-GB"/>
              </w:rPr>
              <w:t>yr</w:t>
            </w:r>
            <w:proofErr w:type="spellEnd"/>
          </w:p>
        </w:tc>
        <w:tc>
          <w:tcPr>
            <w:tcW w:w="1500" w:type="dxa"/>
            <w:tcBorders>
              <w:top w:val="single" w:sz="4" w:space="0" w:color="auto"/>
              <w:left w:val="nil"/>
              <w:bottom w:val="single" w:sz="4" w:space="0" w:color="auto"/>
              <w:right w:val="single" w:sz="4" w:space="0" w:color="auto"/>
            </w:tcBorders>
            <w:shd w:val="clear" w:color="000000" w:fill="D8D8D8"/>
            <w:hideMark/>
          </w:tcPr>
          <w:p w14:paraId="7A140246"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531" w:type="dxa"/>
            <w:tcBorders>
              <w:top w:val="single" w:sz="4" w:space="0" w:color="auto"/>
              <w:left w:val="nil"/>
              <w:bottom w:val="single" w:sz="4" w:space="0" w:color="auto"/>
              <w:right w:val="single" w:sz="4" w:space="0" w:color="auto"/>
            </w:tcBorders>
            <w:shd w:val="clear" w:color="000000" w:fill="D8D8D8"/>
            <w:hideMark/>
          </w:tcPr>
          <w:p w14:paraId="6CA82F16"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cost per year €</w:t>
            </w:r>
          </w:p>
        </w:tc>
      </w:tr>
      <w:tr w:rsidR="005C25EA" w:rsidRPr="0049591E" w14:paraId="74679FE1"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67808D7A"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Staff time (preparation, follow up)</w:t>
            </w:r>
          </w:p>
        </w:tc>
        <w:tc>
          <w:tcPr>
            <w:tcW w:w="1480" w:type="dxa"/>
            <w:tcBorders>
              <w:top w:val="nil"/>
              <w:left w:val="nil"/>
              <w:bottom w:val="single" w:sz="4" w:space="0" w:color="auto"/>
              <w:right w:val="single" w:sz="4" w:space="0" w:color="auto"/>
            </w:tcBorders>
            <w:shd w:val="clear" w:color="auto" w:fill="auto"/>
            <w:hideMark/>
          </w:tcPr>
          <w:p w14:paraId="49C07469"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773EB9F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tcPr>
          <w:p w14:paraId="3C71CA38"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6EE51909"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466D7D43" w14:textId="418B8D5E"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Meetings with </w:t>
            </w:r>
            <w:r w:rsidR="00487377" w:rsidRPr="002605F8">
              <w:rPr>
                <w:rFonts w:eastAsia="Times New Roman" w:cs="Arial"/>
                <w:color w:val="000000"/>
                <w:sz w:val="18"/>
                <w:szCs w:val="20"/>
                <w:lang w:val="en-GB"/>
              </w:rPr>
              <w:t>neighbouring</w:t>
            </w:r>
            <w:r w:rsidRPr="002605F8">
              <w:rPr>
                <w:rFonts w:eastAsia="Times New Roman" w:cs="Arial"/>
                <w:color w:val="000000"/>
                <w:sz w:val="18"/>
                <w:szCs w:val="20"/>
                <w:lang w:val="en-GB"/>
              </w:rPr>
              <w:t xml:space="preserve"> MS</w:t>
            </w:r>
          </w:p>
        </w:tc>
        <w:tc>
          <w:tcPr>
            <w:tcW w:w="1480" w:type="dxa"/>
            <w:tcBorders>
              <w:top w:val="nil"/>
              <w:left w:val="nil"/>
              <w:bottom w:val="single" w:sz="4" w:space="0" w:color="auto"/>
              <w:right w:val="single" w:sz="4" w:space="0" w:color="auto"/>
            </w:tcBorders>
            <w:shd w:val="clear" w:color="auto" w:fill="auto"/>
            <w:hideMark/>
          </w:tcPr>
          <w:p w14:paraId="716B5D5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3EE9937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tcPr>
          <w:p w14:paraId="21CA7487"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3A7AD333"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65FE5EB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Travel &amp; other costs</w:t>
            </w:r>
          </w:p>
        </w:tc>
        <w:tc>
          <w:tcPr>
            <w:tcW w:w="1480" w:type="dxa"/>
            <w:tcBorders>
              <w:top w:val="nil"/>
              <w:left w:val="nil"/>
              <w:bottom w:val="single" w:sz="4" w:space="0" w:color="auto"/>
              <w:right w:val="single" w:sz="4" w:space="0" w:color="auto"/>
            </w:tcBorders>
            <w:shd w:val="clear" w:color="auto" w:fill="auto"/>
            <w:hideMark/>
          </w:tcPr>
          <w:p w14:paraId="6A8544D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15AFA1B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tcPr>
          <w:p w14:paraId="0DDB8B47"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45F72797"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15050C0B"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Total estimate: </w:t>
            </w:r>
          </w:p>
        </w:tc>
        <w:tc>
          <w:tcPr>
            <w:tcW w:w="1480" w:type="dxa"/>
            <w:tcBorders>
              <w:top w:val="nil"/>
              <w:left w:val="nil"/>
              <w:bottom w:val="single" w:sz="4" w:space="0" w:color="auto"/>
              <w:right w:val="single" w:sz="4" w:space="0" w:color="auto"/>
            </w:tcBorders>
            <w:shd w:val="clear" w:color="auto" w:fill="auto"/>
            <w:hideMark/>
          </w:tcPr>
          <w:p w14:paraId="7DABC487"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419F7AA2"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noWrap/>
            <w:hideMark/>
          </w:tcPr>
          <w:p w14:paraId="1E3081FA" w14:textId="588EB777"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22F830E8" w14:textId="77777777" w:rsidR="00487377" w:rsidRDefault="00487377" w:rsidP="00487377">
      <w:pPr>
        <w:pStyle w:val="OpsommingSymbool"/>
        <w:numPr>
          <w:ilvl w:val="0"/>
          <w:numId w:val="0"/>
        </w:numPr>
        <w:ind w:left="1985" w:hanging="284"/>
        <w:rPr>
          <w:lang w:val="en-GB"/>
        </w:rPr>
      </w:pPr>
    </w:p>
    <w:p w14:paraId="35B6A88B" w14:textId="77777777" w:rsidR="005C25EA" w:rsidRPr="002605F8" w:rsidRDefault="005C25EA" w:rsidP="00194FFB">
      <w:pPr>
        <w:pStyle w:val="OpsommingSymbool"/>
        <w:rPr>
          <w:lang w:val="en-GB"/>
        </w:rPr>
      </w:pPr>
      <w:r w:rsidRPr="002605F8">
        <w:rPr>
          <w:lang w:val="en-GB"/>
        </w:rPr>
        <w:t>Enforcement costs</w:t>
      </w:r>
    </w:p>
    <w:tbl>
      <w:tblPr>
        <w:tblW w:w="7742" w:type="dxa"/>
        <w:tblInd w:w="2124" w:type="dxa"/>
        <w:tblLook w:val="04A0" w:firstRow="1" w:lastRow="0" w:firstColumn="1" w:lastColumn="0" w:noHBand="0" w:noVBand="1"/>
      </w:tblPr>
      <w:tblGrid>
        <w:gridCol w:w="3231"/>
        <w:gridCol w:w="1480"/>
        <w:gridCol w:w="1500"/>
        <w:gridCol w:w="1531"/>
      </w:tblGrid>
      <w:tr w:rsidR="005C25EA" w:rsidRPr="002605F8" w14:paraId="494C0150" w14:textId="77777777" w:rsidTr="005C25EA">
        <w:trPr>
          <w:trHeight w:val="624"/>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3B6CAA6C"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480" w:type="dxa"/>
            <w:tcBorders>
              <w:top w:val="single" w:sz="4" w:space="0" w:color="auto"/>
              <w:left w:val="nil"/>
              <w:bottom w:val="single" w:sz="4" w:space="0" w:color="auto"/>
              <w:right w:val="single" w:sz="4" w:space="0" w:color="auto"/>
            </w:tcBorders>
            <w:shd w:val="clear" w:color="000000" w:fill="D8D8D8"/>
            <w:hideMark/>
          </w:tcPr>
          <w:p w14:paraId="52D2C77A"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controls/</w:t>
            </w:r>
            <w:proofErr w:type="spellStart"/>
            <w:r w:rsidRPr="002605F8">
              <w:rPr>
                <w:rFonts w:eastAsia="Times New Roman" w:cs="Arial"/>
                <w:b/>
                <w:bCs/>
                <w:color w:val="000000"/>
                <w:sz w:val="18"/>
                <w:szCs w:val="20"/>
                <w:lang w:val="en-GB"/>
              </w:rPr>
              <w:t>yr</w:t>
            </w:r>
            <w:proofErr w:type="spellEnd"/>
          </w:p>
        </w:tc>
        <w:tc>
          <w:tcPr>
            <w:tcW w:w="1500" w:type="dxa"/>
            <w:tcBorders>
              <w:top w:val="single" w:sz="4" w:space="0" w:color="auto"/>
              <w:left w:val="nil"/>
              <w:bottom w:val="single" w:sz="4" w:space="0" w:color="auto"/>
              <w:right w:val="single" w:sz="4" w:space="0" w:color="auto"/>
            </w:tcBorders>
            <w:shd w:val="clear" w:color="000000" w:fill="D8D8D8"/>
            <w:hideMark/>
          </w:tcPr>
          <w:p w14:paraId="7B3B6FC7"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cost per control (€)</w:t>
            </w:r>
          </w:p>
        </w:tc>
        <w:tc>
          <w:tcPr>
            <w:tcW w:w="1531" w:type="dxa"/>
            <w:tcBorders>
              <w:top w:val="single" w:sz="4" w:space="0" w:color="auto"/>
              <w:left w:val="nil"/>
              <w:bottom w:val="single" w:sz="4" w:space="0" w:color="auto"/>
              <w:right w:val="single" w:sz="4" w:space="0" w:color="auto"/>
            </w:tcBorders>
            <w:shd w:val="clear" w:color="000000" w:fill="D8D8D8"/>
            <w:hideMark/>
          </w:tcPr>
          <w:p w14:paraId="323C2B0B"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cost per year (€)</w:t>
            </w:r>
          </w:p>
        </w:tc>
      </w:tr>
      <w:tr w:rsidR="005C25EA" w:rsidRPr="002605F8" w14:paraId="7D8AAFFB"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03DB3C5F"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Surface surveillance </w:t>
            </w:r>
          </w:p>
        </w:tc>
        <w:tc>
          <w:tcPr>
            <w:tcW w:w="1480" w:type="dxa"/>
            <w:tcBorders>
              <w:top w:val="nil"/>
              <w:left w:val="nil"/>
              <w:bottom w:val="single" w:sz="4" w:space="0" w:color="auto"/>
              <w:right w:val="single" w:sz="4" w:space="0" w:color="auto"/>
            </w:tcBorders>
            <w:shd w:val="clear" w:color="auto" w:fill="auto"/>
            <w:hideMark/>
          </w:tcPr>
          <w:p w14:paraId="0CA7C7F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1BAF95E4"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tcPr>
          <w:p w14:paraId="3A161E06"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49591E" w14:paraId="25766665" w14:textId="77777777" w:rsidTr="005C25EA">
        <w:trPr>
          <w:trHeight w:val="252"/>
        </w:trPr>
        <w:tc>
          <w:tcPr>
            <w:tcW w:w="3231" w:type="dxa"/>
            <w:tcBorders>
              <w:top w:val="nil"/>
              <w:left w:val="single" w:sz="4" w:space="0" w:color="auto"/>
              <w:bottom w:val="single" w:sz="4" w:space="0" w:color="auto"/>
              <w:right w:val="single" w:sz="4" w:space="0" w:color="auto"/>
            </w:tcBorders>
            <w:shd w:val="clear" w:color="auto" w:fill="auto"/>
            <w:hideMark/>
          </w:tcPr>
          <w:p w14:paraId="4C8E2E4A"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Joint enforcement patrols with local officer</w:t>
            </w:r>
          </w:p>
        </w:tc>
        <w:tc>
          <w:tcPr>
            <w:tcW w:w="1480" w:type="dxa"/>
            <w:tcBorders>
              <w:top w:val="nil"/>
              <w:left w:val="nil"/>
              <w:bottom w:val="single" w:sz="4" w:space="0" w:color="auto"/>
              <w:right w:val="single" w:sz="4" w:space="0" w:color="auto"/>
            </w:tcBorders>
            <w:shd w:val="clear" w:color="auto" w:fill="auto"/>
            <w:hideMark/>
          </w:tcPr>
          <w:p w14:paraId="05929B5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645DEC89"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tcPr>
          <w:p w14:paraId="024829C0"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069E73C1"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4A42FAA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Aerial surveillance </w:t>
            </w:r>
          </w:p>
        </w:tc>
        <w:tc>
          <w:tcPr>
            <w:tcW w:w="1480" w:type="dxa"/>
            <w:tcBorders>
              <w:top w:val="nil"/>
              <w:left w:val="nil"/>
              <w:bottom w:val="single" w:sz="4" w:space="0" w:color="auto"/>
              <w:right w:val="single" w:sz="4" w:space="0" w:color="auto"/>
            </w:tcBorders>
            <w:shd w:val="clear" w:color="auto" w:fill="auto"/>
            <w:hideMark/>
          </w:tcPr>
          <w:p w14:paraId="0696878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57D9012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tcPr>
          <w:p w14:paraId="3B0D41B4"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6655783A"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07CB7308"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Investigations/prosecutions </w:t>
            </w:r>
          </w:p>
        </w:tc>
        <w:tc>
          <w:tcPr>
            <w:tcW w:w="1480" w:type="dxa"/>
            <w:tcBorders>
              <w:top w:val="nil"/>
              <w:left w:val="nil"/>
              <w:bottom w:val="single" w:sz="4" w:space="0" w:color="auto"/>
              <w:right w:val="single" w:sz="4" w:space="0" w:color="auto"/>
            </w:tcBorders>
            <w:shd w:val="clear" w:color="auto" w:fill="auto"/>
            <w:hideMark/>
          </w:tcPr>
          <w:p w14:paraId="2308AB10"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1E973E49"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tcPr>
          <w:p w14:paraId="2B3D3636"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68E31537"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77F23544"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surveillance cost</w:t>
            </w:r>
          </w:p>
        </w:tc>
        <w:tc>
          <w:tcPr>
            <w:tcW w:w="1480" w:type="dxa"/>
            <w:tcBorders>
              <w:top w:val="nil"/>
              <w:left w:val="nil"/>
              <w:bottom w:val="single" w:sz="4" w:space="0" w:color="auto"/>
              <w:right w:val="single" w:sz="4" w:space="0" w:color="auto"/>
            </w:tcBorders>
            <w:shd w:val="clear" w:color="auto" w:fill="auto"/>
            <w:hideMark/>
          </w:tcPr>
          <w:p w14:paraId="21F256A2"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500" w:type="dxa"/>
            <w:tcBorders>
              <w:top w:val="nil"/>
              <w:left w:val="nil"/>
              <w:bottom w:val="single" w:sz="4" w:space="0" w:color="auto"/>
              <w:right w:val="single" w:sz="4" w:space="0" w:color="auto"/>
            </w:tcBorders>
            <w:shd w:val="clear" w:color="auto" w:fill="auto"/>
            <w:hideMark/>
          </w:tcPr>
          <w:p w14:paraId="68F2521A"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noWrap/>
          </w:tcPr>
          <w:p w14:paraId="334493B3" w14:textId="77777777" w:rsidR="005C25EA" w:rsidRPr="002605F8" w:rsidRDefault="005C25EA" w:rsidP="005C25EA">
            <w:pPr>
              <w:spacing w:before="0" w:after="0" w:line="240" w:lineRule="auto"/>
              <w:jc w:val="right"/>
              <w:rPr>
                <w:rFonts w:eastAsia="Times New Roman" w:cs="Arial"/>
                <w:b/>
                <w:bCs/>
                <w:color w:val="000000"/>
                <w:sz w:val="18"/>
                <w:szCs w:val="20"/>
                <w:lang w:val="en-GB"/>
              </w:rPr>
            </w:pPr>
          </w:p>
        </w:tc>
      </w:tr>
    </w:tbl>
    <w:p w14:paraId="21BB2146" w14:textId="77777777" w:rsidR="00487377" w:rsidRDefault="00487377" w:rsidP="00487377">
      <w:pPr>
        <w:pStyle w:val="OpsommingSymbool"/>
        <w:numPr>
          <w:ilvl w:val="0"/>
          <w:numId w:val="0"/>
        </w:numPr>
        <w:ind w:left="1985" w:hanging="284"/>
        <w:rPr>
          <w:bCs/>
          <w:iCs/>
          <w:color w:val="0079A2"/>
          <w:szCs w:val="26"/>
          <w:lang w:val="en-GB"/>
        </w:rPr>
      </w:pPr>
    </w:p>
    <w:p w14:paraId="622F7548" w14:textId="77777777" w:rsidR="005C25EA" w:rsidRPr="002605F8" w:rsidRDefault="005C25EA" w:rsidP="005C25EA">
      <w:pPr>
        <w:keepNext/>
        <w:ind w:left="1701"/>
        <w:outlineLvl w:val="4"/>
        <w:rPr>
          <w:bCs/>
          <w:iCs/>
          <w:color w:val="0079A2"/>
          <w:szCs w:val="26"/>
          <w:lang w:val="en-GB"/>
        </w:rPr>
      </w:pPr>
      <w:r w:rsidRPr="002605F8">
        <w:rPr>
          <w:bCs/>
          <w:iCs/>
          <w:color w:val="0079A2"/>
          <w:szCs w:val="26"/>
          <w:lang w:val="en-GB"/>
        </w:rPr>
        <w:t>Policy instruments</w:t>
      </w:r>
    </w:p>
    <w:p w14:paraId="51B3261E" w14:textId="77777777" w:rsidR="005C25EA" w:rsidRPr="002605F8" w:rsidRDefault="005C25EA" w:rsidP="00194FFB">
      <w:pPr>
        <w:pStyle w:val="OpsommingSymbool"/>
        <w:rPr>
          <w:lang w:val="en-GB"/>
        </w:rPr>
      </w:pPr>
      <w:r w:rsidRPr="002605F8">
        <w:rPr>
          <w:lang w:val="en-GB"/>
        </w:rPr>
        <w:t>Negotiation costs</w:t>
      </w:r>
    </w:p>
    <w:tbl>
      <w:tblPr>
        <w:tblW w:w="7540" w:type="dxa"/>
        <w:tblInd w:w="2124" w:type="dxa"/>
        <w:tblLook w:val="04A0" w:firstRow="1" w:lastRow="0" w:firstColumn="1" w:lastColumn="0" w:noHBand="0" w:noVBand="1"/>
      </w:tblPr>
      <w:tblGrid>
        <w:gridCol w:w="3231"/>
        <w:gridCol w:w="1361"/>
        <w:gridCol w:w="1474"/>
        <w:gridCol w:w="1474"/>
      </w:tblGrid>
      <w:tr w:rsidR="005C25EA" w:rsidRPr="0049591E" w14:paraId="31B064AD" w14:textId="77777777" w:rsidTr="005C25EA">
        <w:trPr>
          <w:trHeight w:val="70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60CA3A5E"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492E1073"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0739DFA0"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14:paraId="5244BA6A"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2605F8" w14:paraId="77A5BB84"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57131777"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Planning &amp; preparation</w:t>
            </w:r>
          </w:p>
        </w:tc>
        <w:tc>
          <w:tcPr>
            <w:tcW w:w="1361" w:type="dxa"/>
            <w:tcBorders>
              <w:top w:val="nil"/>
              <w:left w:val="nil"/>
              <w:bottom w:val="single" w:sz="4" w:space="0" w:color="auto"/>
              <w:right w:val="single" w:sz="4" w:space="0" w:color="auto"/>
            </w:tcBorders>
            <w:shd w:val="clear" w:color="auto" w:fill="auto"/>
            <w:hideMark/>
          </w:tcPr>
          <w:p w14:paraId="1278092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2204A7C4"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27A4C852"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613BD45F"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2C17ACF7"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Drafting agreement &amp; Ratification</w:t>
            </w:r>
          </w:p>
        </w:tc>
        <w:tc>
          <w:tcPr>
            <w:tcW w:w="1361" w:type="dxa"/>
            <w:tcBorders>
              <w:top w:val="nil"/>
              <w:left w:val="nil"/>
              <w:bottom w:val="single" w:sz="4" w:space="0" w:color="auto"/>
              <w:right w:val="single" w:sz="4" w:space="0" w:color="auto"/>
            </w:tcBorders>
            <w:shd w:val="clear" w:color="auto" w:fill="auto"/>
            <w:hideMark/>
          </w:tcPr>
          <w:p w14:paraId="23535CDE"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501E8205"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3D6EDDB2"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7AC2C859"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4F4F3121" w14:textId="2307E93E"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Meetings with </w:t>
            </w:r>
            <w:r w:rsidR="00487377" w:rsidRPr="002605F8">
              <w:rPr>
                <w:rFonts w:eastAsia="Times New Roman" w:cs="Arial"/>
                <w:color w:val="000000"/>
                <w:sz w:val="18"/>
                <w:szCs w:val="20"/>
                <w:lang w:val="en-GB"/>
              </w:rPr>
              <w:t>neighbouring</w:t>
            </w:r>
            <w:r w:rsidRPr="002605F8">
              <w:rPr>
                <w:rFonts w:eastAsia="Times New Roman" w:cs="Arial"/>
                <w:color w:val="000000"/>
                <w:sz w:val="18"/>
                <w:szCs w:val="20"/>
                <w:lang w:val="en-GB"/>
              </w:rPr>
              <w:t xml:space="preserve"> MS</w:t>
            </w:r>
          </w:p>
        </w:tc>
        <w:tc>
          <w:tcPr>
            <w:tcW w:w="1361" w:type="dxa"/>
            <w:tcBorders>
              <w:top w:val="nil"/>
              <w:left w:val="nil"/>
              <w:bottom w:val="single" w:sz="4" w:space="0" w:color="auto"/>
              <w:right w:val="single" w:sz="4" w:space="0" w:color="auto"/>
            </w:tcBorders>
            <w:shd w:val="clear" w:color="auto" w:fill="auto"/>
            <w:hideMark/>
          </w:tcPr>
          <w:p w14:paraId="2C1C990E"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60286E4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0A1C4D01"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6A5D13A0"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1D8CE5E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Travel &amp; other costs</w:t>
            </w:r>
          </w:p>
        </w:tc>
        <w:tc>
          <w:tcPr>
            <w:tcW w:w="1361" w:type="dxa"/>
            <w:tcBorders>
              <w:top w:val="nil"/>
              <w:left w:val="nil"/>
              <w:bottom w:val="single" w:sz="4" w:space="0" w:color="auto"/>
              <w:right w:val="single" w:sz="4" w:space="0" w:color="auto"/>
            </w:tcBorders>
            <w:shd w:val="clear" w:color="auto" w:fill="auto"/>
            <w:hideMark/>
          </w:tcPr>
          <w:p w14:paraId="415BEA24"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7E32352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672DFD58"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0E613BAB" w14:textId="77777777" w:rsidTr="005C25E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0FC6C83B"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shd w:val="clear" w:color="auto" w:fill="auto"/>
            <w:hideMark/>
          </w:tcPr>
          <w:p w14:paraId="57FC3083"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00DDEA75"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noWrap/>
          </w:tcPr>
          <w:p w14:paraId="5C784E50" w14:textId="199D8C43"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p>
        </w:tc>
      </w:tr>
    </w:tbl>
    <w:p w14:paraId="018BC7DE" w14:textId="77777777" w:rsidR="00487377" w:rsidRDefault="00487377" w:rsidP="00487377">
      <w:pPr>
        <w:pStyle w:val="OpsommingSymbool"/>
        <w:numPr>
          <w:ilvl w:val="0"/>
          <w:numId w:val="0"/>
        </w:numPr>
        <w:ind w:left="1985" w:hanging="284"/>
        <w:rPr>
          <w:lang w:val="en-GB"/>
        </w:rPr>
      </w:pPr>
    </w:p>
    <w:p w14:paraId="433ABD94" w14:textId="77777777" w:rsidR="005C25EA" w:rsidRPr="002605F8" w:rsidRDefault="005C25EA" w:rsidP="00194FFB">
      <w:pPr>
        <w:pStyle w:val="OpsommingSymbool"/>
        <w:rPr>
          <w:lang w:val="en-GB"/>
        </w:rPr>
      </w:pPr>
      <w:r w:rsidRPr="002605F8">
        <w:rPr>
          <w:lang w:val="en-GB"/>
        </w:rPr>
        <w:t>Research costs</w:t>
      </w:r>
    </w:p>
    <w:tbl>
      <w:tblPr>
        <w:tblW w:w="7540" w:type="dxa"/>
        <w:tblInd w:w="2124" w:type="dxa"/>
        <w:tblLook w:val="04A0" w:firstRow="1" w:lastRow="0" w:firstColumn="1" w:lastColumn="0" w:noHBand="0" w:noVBand="1"/>
      </w:tblPr>
      <w:tblGrid>
        <w:gridCol w:w="3231"/>
        <w:gridCol w:w="1361"/>
        <w:gridCol w:w="1474"/>
        <w:gridCol w:w="1474"/>
      </w:tblGrid>
      <w:tr w:rsidR="005C25EA" w:rsidRPr="0049591E" w14:paraId="6BE4F5EA" w14:textId="77777777" w:rsidTr="005C25EA">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3F87A1EB"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Actions required </w:t>
            </w:r>
          </w:p>
        </w:tc>
        <w:tc>
          <w:tcPr>
            <w:tcW w:w="1361" w:type="dxa"/>
            <w:tcBorders>
              <w:top w:val="single" w:sz="4" w:space="0" w:color="auto"/>
              <w:left w:val="nil"/>
              <w:bottom w:val="single" w:sz="4" w:space="0" w:color="auto"/>
              <w:right w:val="single" w:sz="4" w:space="0" w:color="auto"/>
            </w:tcBorders>
            <w:shd w:val="clear" w:color="000000" w:fill="D8D8D8"/>
            <w:hideMark/>
          </w:tcPr>
          <w:p w14:paraId="515B9554"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417C930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14:paraId="63205EE2"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2605F8" w14:paraId="6474AB95"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49BB0ED7"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Research time </w:t>
            </w:r>
          </w:p>
        </w:tc>
        <w:tc>
          <w:tcPr>
            <w:tcW w:w="1361" w:type="dxa"/>
            <w:tcBorders>
              <w:top w:val="nil"/>
              <w:left w:val="nil"/>
              <w:bottom w:val="single" w:sz="4" w:space="0" w:color="auto"/>
              <w:right w:val="single" w:sz="4" w:space="0" w:color="auto"/>
            </w:tcBorders>
            <w:shd w:val="clear" w:color="auto" w:fill="auto"/>
            <w:hideMark/>
          </w:tcPr>
          <w:p w14:paraId="2835194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1816D9F0"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3FB38150"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77BBF706"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6AE764F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cost</w:t>
            </w:r>
          </w:p>
        </w:tc>
        <w:tc>
          <w:tcPr>
            <w:tcW w:w="1361" w:type="dxa"/>
            <w:tcBorders>
              <w:top w:val="nil"/>
              <w:left w:val="nil"/>
              <w:bottom w:val="single" w:sz="4" w:space="0" w:color="auto"/>
              <w:right w:val="single" w:sz="4" w:space="0" w:color="auto"/>
            </w:tcBorders>
            <w:shd w:val="clear" w:color="auto" w:fill="auto"/>
            <w:hideMark/>
          </w:tcPr>
          <w:p w14:paraId="4A186E62"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264F70C2"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noWrap/>
          </w:tcPr>
          <w:p w14:paraId="50A57D12" w14:textId="32C84165"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p>
        </w:tc>
      </w:tr>
    </w:tbl>
    <w:p w14:paraId="01009912" w14:textId="77777777" w:rsidR="005C25EA" w:rsidRPr="002605F8" w:rsidRDefault="005C25EA" w:rsidP="00AC41A1">
      <w:pPr>
        <w:numPr>
          <w:ilvl w:val="0"/>
          <w:numId w:val="17"/>
        </w:numPr>
        <w:rPr>
          <w:lang w:val="en-GB"/>
        </w:rPr>
      </w:pPr>
      <w:r w:rsidRPr="002605F8">
        <w:rPr>
          <w:lang w:val="en-GB"/>
        </w:rPr>
        <w:t xml:space="preserve">Alternative approach: cost of similar research projects </w:t>
      </w:r>
    </w:p>
    <w:p w14:paraId="6A7F490B" w14:textId="77777777" w:rsidR="00487377" w:rsidRDefault="00487377" w:rsidP="00487377">
      <w:pPr>
        <w:pStyle w:val="OpsommingSymbool"/>
        <w:numPr>
          <w:ilvl w:val="0"/>
          <w:numId w:val="0"/>
        </w:numPr>
        <w:ind w:left="1985" w:hanging="284"/>
        <w:rPr>
          <w:lang w:val="en-GB"/>
        </w:rPr>
      </w:pPr>
    </w:p>
    <w:p w14:paraId="180EB2F6" w14:textId="77777777" w:rsidR="005C25EA" w:rsidRPr="002605F8" w:rsidRDefault="005C25EA" w:rsidP="00194FFB">
      <w:pPr>
        <w:pStyle w:val="OpsommingSymbool"/>
        <w:rPr>
          <w:lang w:val="en-GB"/>
        </w:rPr>
      </w:pPr>
      <w:r w:rsidRPr="002605F8">
        <w:rPr>
          <w:lang w:val="en-GB"/>
        </w:rPr>
        <w:t>Costs for assistance with voluntary agreements</w:t>
      </w:r>
    </w:p>
    <w:tbl>
      <w:tblPr>
        <w:tblW w:w="7540" w:type="dxa"/>
        <w:tblInd w:w="2124" w:type="dxa"/>
        <w:tblLook w:val="04A0" w:firstRow="1" w:lastRow="0" w:firstColumn="1" w:lastColumn="0" w:noHBand="0" w:noVBand="1"/>
      </w:tblPr>
      <w:tblGrid>
        <w:gridCol w:w="3231"/>
        <w:gridCol w:w="1361"/>
        <w:gridCol w:w="1474"/>
        <w:gridCol w:w="1474"/>
      </w:tblGrid>
      <w:tr w:rsidR="005C25EA" w:rsidRPr="0049591E" w14:paraId="7171410E" w14:textId="77777777" w:rsidTr="005C25EA">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06F43783"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620257E5"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0EF2D056"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14:paraId="142F30D6"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49591E" w14:paraId="196CA512"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20D9A29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Staff time (preparation, follow up)</w:t>
            </w:r>
          </w:p>
        </w:tc>
        <w:tc>
          <w:tcPr>
            <w:tcW w:w="1361" w:type="dxa"/>
            <w:tcBorders>
              <w:top w:val="nil"/>
              <w:left w:val="nil"/>
              <w:bottom w:val="single" w:sz="4" w:space="0" w:color="auto"/>
              <w:right w:val="single" w:sz="4" w:space="0" w:color="auto"/>
            </w:tcBorders>
            <w:shd w:val="clear" w:color="auto" w:fill="auto"/>
            <w:hideMark/>
          </w:tcPr>
          <w:p w14:paraId="583F089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053885B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646F35B7"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0916E96E"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7805531E" w14:textId="2DF3BB3F"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Meetings with </w:t>
            </w:r>
            <w:r w:rsidR="00487377" w:rsidRPr="002605F8">
              <w:rPr>
                <w:rFonts w:eastAsia="Times New Roman" w:cs="Arial"/>
                <w:color w:val="000000"/>
                <w:sz w:val="18"/>
                <w:szCs w:val="20"/>
                <w:lang w:val="en-GB"/>
              </w:rPr>
              <w:t>neighbouring</w:t>
            </w:r>
            <w:r w:rsidRPr="002605F8">
              <w:rPr>
                <w:rFonts w:eastAsia="Times New Roman" w:cs="Arial"/>
                <w:color w:val="000000"/>
                <w:sz w:val="18"/>
                <w:szCs w:val="20"/>
                <w:lang w:val="en-GB"/>
              </w:rPr>
              <w:t xml:space="preserve"> MS</w:t>
            </w:r>
          </w:p>
        </w:tc>
        <w:tc>
          <w:tcPr>
            <w:tcW w:w="1361" w:type="dxa"/>
            <w:tcBorders>
              <w:top w:val="nil"/>
              <w:left w:val="nil"/>
              <w:bottom w:val="single" w:sz="4" w:space="0" w:color="auto"/>
              <w:right w:val="single" w:sz="4" w:space="0" w:color="auto"/>
            </w:tcBorders>
            <w:shd w:val="clear" w:color="auto" w:fill="auto"/>
            <w:hideMark/>
          </w:tcPr>
          <w:p w14:paraId="7F528CD9"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1CF250DA"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171483F4"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211EC2E9"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4F05E6DE"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Travel &amp; other costs</w:t>
            </w:r>
          </w:p>
        </w:tc>
        <w:tc>
          <w:tcPr>
            <w:tcW w:w="1361" w:type="dxa"/>
            <w:tcBorders>
              <w:top w:val="nil"/>
              <w:left w:val="nil"/>
              <w:bottom w:val="single" w:sz="4" w:space="0" w:color="auto"/>
              <w:right w:val="single" w:sz="4" w:space="0" w:color="auto"/>
            </w:tcBorders>
            <w:shd w:val="clear" w:color="auto" w:fill="auto"/>
            <w:hideMark/>
          </w:tcPr>
          <w:p w14:paraId="3076BE8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5678C9EA"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72E6F3AA"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1AC0E3B0" w14:textId="77777777" w:rsidTr="005C25EA">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34282BC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shd w:val="clear" w:color="auto" w:fill="auto"/>
            <w:hideMark/>
          </w:tcPr>
          <w:p w14:paraId="04234D0E"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594FBF9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noWrap/>
            <w:hideMark/>
          </w:tcPr>
          <w:p w14:paraId="63750154" w14:textId="7118890E"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30220A15" w14:textId="77777777" w:rsidR="00487377" w:rsidRDefault="00487377" w:rsidP="00487377">
      <w:pPr>
        <w:pStyle w:val="OpsommingSymbool"/>
        <w:numPr>
          <w:ilvl w:val="0"/>
          <w:numId w:val="0"/>
        </w:numPr>
        <w:ind w:left="1985" w:hanging="284"/>
        <w:rPr>
          <w:lang w:val="en-GB"/>
        </w:rPr>
      </w:pPr>
    </w:p>
    <w:p w14:paraId="110C9AC5" w14:textId="77777777" w:rsidR="005C25EA" w:rsidRPr="002605F8" w:rsidRDefault="005C25EA" w:rsidP="00194FFB">
      <w:pPr>
        <w:pStyle w:val="OpsommingSymbool"/>
        <w:rPr>
          <w:lang w:val="en-GB"/>
        </w:rPr>
      </w:pPr>
      <w:r w:rsidRPr="002605F8">
        <w:rPr>
          <w:lang w:val="en-GB"/>
        </w:rPr>
        <w:t>Sectoral costs</w:t>
      </w:r>
    </w:p>
    <w:tbl>
      <w:tblPr>
        <w:tblW w:w="6464" w:type="dxa"/>
        <w:tblInd w:w="2124" w:type="dxa"/>
        <w:tblLook w:val="04A0" w:firstRow="1" w:lastRow="0" w:firstColumn="1" w:lastColumn="0" w:noHBand="0" w:noVBand="1"/>
      </w:tblPr>
      <w:tblGrid>
        <w:gridCol w:w="3402"/>
        <w:gridCol w:w="1531"/>
        <w:gridCol w:w="1531"/>
      </w:tblGrid>
      <w:tr w:rsidR="005C25EA" w:rsidRPr="002605F8" w14:paraId="7FFBBFF0" w14:textId="77777777" w:rsidTr="005C25EA">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2B9A3EAD"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14:paraId="576334C9"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14:paraId="13ECD6DE"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cost per year (€)</w:t>
            </w:r>
          </w:p>
        </w:tc>
      </w:tr>
      <w:tr w:rsidR="005C25EA" w:rsidRPr="002605F8" w14:paraId="09B25DED"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77FF4A5A"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shd w:val="clear" w:color="auto" w:fill="auto"/>
            <w:hideMark/>
          </w:tcPr>
          <w:p w14:paraId="17D45BC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000000" w:fill="D9D9D9"/>
            <w:hideMark/>
          </w:tcPr>
          <w:p w14:paraId="48D0B4B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5C25EA" w:rsidRPr="002605F8" w14:paraId="3927E920"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1ACA0778"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Operational costs</w:t>
            </w:r>
          </w:p>
        </w:tc>
        <w:tc>
          <w:tcPr>
            <w:tcW w:w="1531" w:type="dxa"/>
            <w:tcBorders>
              <w:top w:val="nil"/>
              <w:left w:val="nil"/>
              <w:bottom w:val="single" w:sz="4" w:space="0" w:color="auto"/>
              <w:right w:val="single" w:sz="4" w:space="0" w:color="auto"/>
            </w:tcBorders>
            <w:shd w:val="clear" w:color="000000" w:fill="D9D9D9"/>
            <w:hideMark/>
          </w:tcPr>
          <w:p w14:paraId="538D4D2D"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6ED6953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5C25EA" w:rsidRPr="002605F8" w14:paraId="30D1BB64"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4B2751A8"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Loss of added value</w:t>
            </w:r>
          </w:p>
        </w:tc>
        <w:tc>
          <w:tcPr>
            <w:tcW w:w="1531" w:type="dxa"/>
            <w:tcBorders>
              <w:top w:val="nil"/>
              <w:left w:val="nil"/>
              <w:bottom w:val="single" w:sz="4" w:space="0" w:color="auto"/>
              <w:right w:val="single" w:sz="4" w:space="0" w:color="auto"/>
            </w:tcBorders>
            <w:shd w:val="clear" w:color="000000" w:fill="D9D9D9"/>
            <w:hideMark/>
          </w:tcPr>
          <w:p w14:paraId="3E747C7D"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15D894D0"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5C25EA" w:rsidRPr="002605F8" w14:paraId="148A9A88"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tcPr>
          <w:p w14:paraId="790EBE45"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color w:val="000000"/>
                <w:sz w:val="18"/>
                <w:szCs w:val="20"/>
                <w:lang w:val="en-GB"/>
              </w:rPr>
              <w:t>Loss of employment</w:t>
            </w:r>
          </w:p>
        </w:tc>
        <w:tc>
          <w:tcPr>
            <w:tcW w:w="1531" w:type="dxa"/>
            <w:tcBorders>
              <w:top w:val="nil"/>
              <w:left w:val="nil"/>
              <w:bottom w:val="single" w:sz="4" w:space="0" w:color="auto"/>
              <w:right w:val="single" w:sz="4" w:space="0" w:color="auto"/>
            </w:tcBorders>
            <w:shd w:val="clear" w:color="auto" w:fill="auto"/>
            <w:noWrap/>
          </w:tcPr>
          <w:p w14:paraId="45A66031" w14:textId="77777777"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noWrap/>
          </w:tcPr>
          <w:p w14:paraId="1AC50CD9" w14:textId="77777777"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color w:val="000000"/>
                <w:sz w:val="18"/>
                <w:szCs w:val="20"/>
                <w:lang w:val="en-GB"/>
              </w:rPr>
              <w:t> </w:t>
            </w:r>
          </w:p>
        </w:tc>
      </w:tr>
      <w:tr w:rsidR="005C25EA" w:rsidRPr="002605F8" w14:paraId="66A8FFD2"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245701A4"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shd w:val="clear" w:color="auto" w:fill="auto"/>
            <w:noWrap/>
            <w:hideMark/>
          </w:tcPr>
          <w:p w14:paraId="38E6A6D4" w14:textId="3CD611DB"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c>
          <w:tcPr>
            <w:tcW w:w="1531" w:type="dxa"/>
            <w:tcBorders>
              <w:top w:val="nil"/>
              <w:left w:val="nil"/>
              <w:bottom w:val="single" w:sz="4" w:space="0" w:color="auto"/>
              <w:right w:val="single" w:sz="4" w:space="0" w:color="auto"/>
            </w:tcBorders>
            <w:shd w:val="clear" w:color="auto" w:fill="auto"/>
            <w:noWrap/>
            <w:hideMark/>
          </w:tcPr>
          <w:p w14:paraId="039AD9FA" w14:textId="3EF21B85"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7C6AF75F" w14:textId="77777777" w:rsidR="005C25EA" w:rsidRPr="009F0649" w:rsidRDefault="005C25EA" w:rsidP="009F0649"/>
    <w:p w14:paraId="02605DA6" w14:textId="77777777" w:rsidR="00AF5E03" w:rsidRPr="002605F8" w:rsidRDefault="00AF5E03" w:rsidP="00AF5E03">
      <w:pPr>
        <w:keepNext/>
        <w:ind w:left="1701"/>
        <w:outlineLvl w:val="4"/>
        <w:rPr>
          <w:bCs/>
          <w:iCs/>
          <w:color w:val="0079A2"/>
          <w:szCs w:val="26"/>
          <w:lang w:val="en-GB"/>
        </w:rPr>
      </w:pPr>
      <w:r w:rsidRPr="002605F8">
        <w:rPr>
          <w:bCs/>
          <w:iCs/>
          <w:color w:val="0079A2"/>
          <w:szCs w:val="26"/>
          <w:lang w:val="en-GB"/>
        </w:rPr>
        <w:t>Technical measures:</w:t>
      </w:r>
    </w:p>
    <w:p w14:paraId="45F563AC" w14:textId="77777777" w:rsidR="00AF5E03" w:rsidRPr="002605F8" w:rsidRDefault="00AF5E03" w:rsidP="00AF5E03">
      <w:pPr>
        <w:pStyle w:val="OpsommingSymbool"/>
        <w:rPr>
          <w:lang w:val="en-GB"/>
        </w:rPr>
      </w:pPr>
      <w:r w:rsidRPr="002605F8">
        <w:rPr>
          <w:lang w:val="en-GB"/>
        </w:rPr>
        <w:t>Technical implementation costs</w:t>
      </w:r>
    </w:p>
    <w:tbl>
      <w:tblPr>
        <w:tblW w:w="6464" w:type="dxa"/>
        <w:tblInd w:w="2124" w:type="dxa"/>
        <w:tblLook w:val="04A0" w:firstRow="1" w:lastRow="0" w:firstColumn="1" w:lastColumn="0" w:noHBand="0" w:noVBand="1"/>
      </w:tblPr>
      <w:tblGrid>
        <w:gridCol w:w="3402"/>
        <w:gridCol w:w="1531"/>
        <w:gridCol w:w="1531"/>
      </w:tblGrid>
      <w:tr w:rsidR="00AF5E03" w:rsidRPr="002605F8" w14:paraId="5337E85C" w14:textId="77777777" w:rsidTr="00D07EF3">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71FDAA6E"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14:paraId="2B8032DA"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14:paraId="702B9675"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cost per year (€)</w:t>
            </w:r>
          </w:p>
        </w:tc>
      </w:tr>
      <w:tr w:rsidR="00AF5E03" w:rsidRPr="002605F8" w14:paraId="4F08836E"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22D9F3F4"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shd w:val="clear" w:color="auto" w:fill="auto"/>
            <w:hideMark/>
          </w:tcPr>
          <w:p w14:paraId="1E70AC03"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000000" w:fill="D9D9D9"/>
            <w:hideMark/>
          </w:tcPr>
          <w:p w14:paraId="6383B6CB"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AF5E03" w:rsidRPr="002605F8" w14:paraId="550481FB"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14A6EC34"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Operational costs</w:t>
            </w:r>
          </w:p>
        </w:tc>
        <w:tc>
          <w:tcPr>
            <w:tcW w:w="1531" w:type="dxa"/>
            <w:tcBorders>
              <w:top w:val="nil"/>
              <w:left w:val="nil"/>
              <w:bottom w:val="single" w:sz="4" w:space="0" w:color="auto"/>
              <w:right w:val="single" w:sz="4" w:space="0" w:color="auto"/>
            </w:tcBorders>
            <w:shd w:val="clear" w:color="000000" w:fill="D9D9D9"/>
            <w:hideMark/>
          </w:tcPr>
          <w:p w14:paraId="62C0472D"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057783B6"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AF5E03" w:rsidRPr="002605F8" w14:paraId="71B775D6"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28FB621C"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Maintenance costs</w:t>
            </w:r>
          </w:p>
        </w:tc>
        <w:tc>
          <w:tcPr>
            <w:tcW w:w="1531" w:type="dxa"/>
            <w:tcBorders>
              <w:top w:val="nil"/>
              <w:left w:val="nil"/>
              <w:bottom w:val="single" w:sz="4" w:space="0" w:color="auto"/>
              <w:right w:val="single" w:sz="4" w:space="0" w:color="auto"/>
            </w:tcBorders>
            <w:shd w:val="clear" w:color="000000" w:fill="D9D9D9"/>
            <w:hideMark/>
          </w:tcPr>
          <w:p w14:paraId="4EEFA38A"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5A61B707"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AF5E03" w:rsidRPr="002605F8" w14:paraId="4C455355"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26307AF8"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shd w:val="clear" w:color="auto" w:fill="auto"/>
            <w:noWrap/>
            <w:hideMark/>
          </w:tcPr>
          <w:p w14:paraId="2CEA490C" w14:textId="2466978C" w:rsidR="00AF5E03" w:rsidRPr="002605F8" w:rsidRDefault="00AF5E03" w:rsidP="00D07EF3">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c>
          <w:tcPr>
            <w:tcW w:w="1531" w:type="dxa"/>
            <w:tcBorders>
              <w:top w:val="nil"/>
              <w:left w:val="nil"/>
              <w:bottom w:val="single" w:sz="4" w:space="0" w:color="auto"/>
              <w:right w:val="single" w:sz="4" w:space="0" w:color="auto"/>
            </w:tcBorders>
            <w:shd w:val="clear" w:color="auto" w:fill="auto"/>
            <w:noWrap/>
            <w:hideMark/>
          </w:tcPr>
          <w:p w14:paraId="330119BE" w14:textId="74FD0E33" w:rsidR="00AF5E03" w:rsidRPr="002605F8" w:rsidRDefault="00AF5E03" w:rsidP="00D07EF3">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7A632E42" w14:textId="77777777" w:rsidR="00487377" w:rsidRDefault="00487377" w:rsidP="00487377">
      <w:pPr>
        <w:pStyle w:val="OpsommingSymbool"/>
        <w:numPr>
          <w:ilvl w:val="0"/>
          <w:numId w:val="0"/>
        </w:numPr>
        <w:ind w:left="1985" w:hanging="284"/>
        <w:rPr>
          <w:lang w:val="en-GB"/>
        </w:rPr>
      </w:pPr>
    </w:p>
    <w:p w14:paraId="1A9ABE65" w14:textId="77777777" w:rsidR="00AF5E03" w:rsidRPr="002605F8" w:rsidRDefault="00AF5E03" w:rsidP="00AF5E03">
      <w:pPr>
        <w:pStyle w:val="OpsommingSymbool"/>
        <w:rPr>
          <w:lang w:val="en-GB"/>
        </w:rPr>
      </w:pPr>
      <w:r w:rsidRPr="002605F8">
        <w:rPr>
          <w:lang w:val="en-GB"/>
        </w:rPr>
        <w:t>Sectoral costs</w:t>
      </w:r>
    </w:p>
    <w:tbl>
      <w:tblPr>
        <w:tblW w:w="6464" w:type="dxa"/>
        <w:tblInd w:w="2124" w:type="dxa"/>
        <w:tblLook w:val="04A0" w:firstRow="1" w:lastRow="0" w:firstColumn="1" w:lastColumn="0" w:noHBand="0" w:noVBand="1"/>
      </w:tblPr>
      <w:tblGrid>
        <w:gridCol w:w="3402"/>
        <w:gridCol w:w="1531"/>
        <w:gridCol w:w="1531"/>
      </w:tblGrid>
      <w:tr w:rsidR="00AF5E03" w:rsidRPr="002605F8" w14:paraId="29A5CC50" w14:textId="77777777" w:rsidTr="00D07EF3">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3D86EC5A"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14:paraId="7C26135B"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14:paraId="5BC18204"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cost per year (€)</w:t>
            </w:r>
          </w:p>
        </w:tc>
      </w:tr>
      <w:tr w:rsidR="00AF5E03" w:rsidRPr="002605F8" w14:paraId="584C40D7"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589BF260"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shd w:val="clear" w:color="auto" w:fill="auto"/>
            <w:hideMark/>
          </w:tcPr>
          <w:p w14:paraId="71AE3A7E"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000000" w:fill="D9D9D9"/>
            <w:hideMark/>
          </w:tcPr>
          <w:p w14:paraId="4406EA03"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AF5E03" w:rsidRPr="002605F8" w14:paraId="31046600"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00606A73"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Operational costs</w:t>
            </w:r>
          </w:p>
        </w:tc>
        <w:tc>
          <w:tcPr>
            <w:tcW w:w="1531" w:type="dxa"/>
            <w:tcBorders>
              <w:top w:val="nil"/>
              <w:left w:val="nil"/>
              <w:bottom w:val="single" w:sz="4" w:space="0" w:color="auto"/>
              <w:right w:val="single" w:sz="4" w:space="0" w:color="auto"/>
            </w:tcBorders>
            <w:shd w:val="clear" w:color="000000" w:fill="D9D9D9"/>
            <w:hideMark/>
          </w:tcPr>
          <w:p w14:paraId="0DE0784D"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7773D020"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AF5E03" w:rsidRPr="002605F8" w14:paraId="0EF2DB2C"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10C9DC27"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Loss of added value</w:t>
            </w:r>
          </w:p>
        </w:tc>
        <w:tc>
          <w:tcPr>
            <w:tcW w:w="1531" w:type="dxa"/>
            <w:tcBorders>
              <w:top w:val="nil"/>
              <w:left w:val="nil"/>
              <w:bottom w:val="single" w:sz="4" w:space="0" w:color="auto"/>
              <w:right w:val="single" w:sz="4" w:space="0" w:color="auto"/>
            </w:tcBorders>
            <w:shd w:val="clear" w:color="000000" w:fill="D9D9D9"/>
            <w:hideMark/>
          </w:tcPr>
          <w:p w14:paraId="2B0F88F4"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hideMark/>
          </w:tcPr>
          <w:p w14:paraId="0E05C8BE" w14:textId="77777777" w:rsidR="00AF5E03" w:rsidRPr="002605F8" w:rsidRDefault="00AF5E03" w:rsidP="00D07EF3">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r>
      <w:tr w:rsidR="00AF5E03" w:rsidRPr="002605F8" w14:paraId="25FE2B0A"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tcPr>
          <w:p w14:paraId="15CED8AA"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color w:val="000000"/>
                <w:sz w:val="18"/>
                <w:szCs w:val="20"/>
                <w:lang w:val="en-GB"/>
              </w:rPr>
              <w:t>Loss of employment</w:t>
            </w:r>
          </w:p>
        </w:tc>
        <w:tc>
          <w:tcPr>
            <w:tcW w:w="1531" w:type="dxa"/>
            <w:tcBorders>
              <w:top w:val="nil"/>
              <w:left w:val="nil"/>
              <w:bottom w:val="single" w:sz="4" w:space="0" w:color="auto"/>
              <w:right w:val="single" w:sz="4" w:space="0" w:color="auto"/>
            </w:tcBorders>
            <w:shd w:val="clear" w:color="auto" w:fill="auto"/>
            <w:noWrap/>
          </w:tcPr>
          <w:p w14:paraId="3B5AB5A5" w14:textId="77777777" w:rsidR="00AF5E03" w:rsidRPr="002605F8" w:rsidRDefault="00AF5E03" w:rsidP="00D07EF3">
            <w:pPr>
              <w:spacing w:before="0" w:after="0" w:line="240" w:lineRule="auto"/>
              <w:jc w:val="right"/>
              <w:rPr>
                <w:rFonts w:eastAsia="Times New Roman" w:cs="Arial"/>
                <w:b/>
                <w:bCs/>
                <w:color w:val="000000"/>
                <w:sz w:val="18"/>
                <w:szCs w:val="20"/>
                <w:lang w:val="en-GB"/>
              </w:rPr>
            </w:pPr>
            <w:r w:rsidRPr="002605F8">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shd w:val="clear" w:color="auto" w:fill="auto"/>
            <w:noWrap/>
          </w:tcPr>
          <w:p w14:paraId="21F74426" w14:textId="77777777" w:rsidR="00AF5E03" w:rsidRPr="002605F8" w:rsidRDefault="00AF5E03" w:rsidP="00D07EF3">
            <w:pPr>
              <w:spacing w:before="0" w:after="0" w:line="240" w:lineRule="auto"/>
              <w:jc w:val="right"/>
              <w:rPr>
                <w:rFonts w:eastAsia="Times New Roman" w:cs="Arial"/>
                <w:b/>
                <w:bCs/>
                <w:color w:val="000000"/>
                <w:sz w:val="18"/>
                <w:szCs w:val="20"/>
                <w:lang w:val="en-GB"/>
              </w:rPr>
            </w:pPr>
            <w:r w:rsidRPr="002605F8">
              <w:rPr>
                <w:rFonts w:eastAsia="Times New Roman" w:cs="Arial"/>
                <w:color w:val="000000"/>
                <w:sz w:val="18"/>
                <w:szCs w:val="20"/>
                <w:lang w:val="en-GB"/>
              </w:rPr>
              <w:t> </w:t>
            </w:r>
          </w:p>
        </w:tc>
      </w:tr>
      <w:tr w:rsidR="00AF5E03" w:rsidRPr="002605F8" w14:paraId="10DA4CEF" w14:textId="77777777" w:rsidTr="00D07EF3">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22C5F22E" w14:textId="77777777" w:rsidR="00AF5E03" w:rsidRPr="002605F8" w:rsidRDefault="00AF5E03" w:rsidP="00D07EF3">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shd w:val="clear" w:color="auto" w:fill="auto"/>
            <w:noWrap/>
            <w:hideMark/>
          </w:tcPr>
          <w:p w14:paraId="1EE8967F" w14:textId="202EFEE4" w:rsidR="00AF5E03" w:rsidRPr="002605F8" w:rsidRDefault="00AF5E03" w:rsidP="00D07EF3">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c>
          <w:tcPr>
            <w:tcW w:w="1531" w:type="dxa"/>
            <w:tcBorders>
              <w:top w:val="nil"/>
              <w:left w:val="nil"/>
              <w:bottom w:val="single" w:sz="4" w:space="0" w:color="auto"/>
              <w:right w:val="single" w:sz="4" w:space="0" w:color="auto"/>
            </w:tcBorders>
            <w:shd w:val="clear" w:color="auto" w:fill="auto"/>
            <w:noWrap/>
            <w:hideMark/>
          </w:tcPr>
          <w:p w14:paraId="5BE23A10" w14:textId="6D0501E3" w:rsidR="00AF5E03" w:rsidRPr="002605F8" w:rsidRDefault="00AF5E03" w:rsidP="00D07EF3">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39B225C9" w14:textId="77777777" w:rsidR="00AF5E03" w:rsidRDefault="00AF5E03" w:rsidP="00AF5E03">
      <w:pPr>
        <w:rPr>
          <w:lang w:val="en-GB"/>
        </w:rPr>
      </w:pPr>
    </w:p>
    <w:p w14:paraId="1826CB02" w14:textId="77777777" w:rsidR="001918B1" w:rsidRDefault="001918B1" w:rsidP="00AF5E03">
      <w:pPr>
        <w:rPr>
          <w:lang w:val="en-GB"/>
        </w:rPr>
      </w:pPr>
    </w:p>
    <w:p w14:paraId="2346DB61" w14:textId="77777777" w:rsidR="001918B1" w:rsidRDefault="001918B1" w:rsidP="00AF5E03">
      <w:pPr>
        <w:rPr>
          <w:lang w:val="en-GB"/>
        </w:rPr>
      </w:pPr>
    </w:p>
    <w:p w14:paraId="705ACEEF" w14:textId="77777777" w:rsidR="001918B1" w:rsidRPr="002605F8" w:rsidRDefault="001918B1" w:rsidP="00AF5E03">
      <w:pPr>
        <w:rPr>
          <w:lang w:val="en-GB"/>
        </w:rPr>
      </w:pPr>
    </w:p>
    <w:p w14:paraId="2EA100C8" w14:textId="77777777" w:rsidR="005C25EA" w:rsidRPr="002605F8" w:rsidRDefault="005C25EA" w:rsidP="005C25EA">
      <w:pPr>
        <w:keepNext/>
        <w:ind w:left="1701"/>
        <w:outlineLvl w:val="4"/>
        <w:rPr>
          <w:bCs/>
          <w:iCs/>
          <w:color w:val="0079A2"/>
          <w:szCs w:val="26"/>
          <w:lang w:val="en-GB"/>
        </w:rPr>
      </w:pPr>
      <w:r w:rsidRPr="002605F8">
        <w:rPr>
          <w:bCs/>
          <w:iCs/>
          <w:color w:val="0079A2"/>
          <w:szCs w:val="26"/>
          <w:lang w:val="en-GB"/>
        </w:rPr>
        <w:lastRenderedPageBreak/>
        <w:t>Capacity building and awareness raising measures</w:t>
      </w:r>
    </w:p>
    <w:p w14:paraId="71A7C980" w14:textId="77777777" w:rsidR="005C25EA" w:rsidRPr="002605F8" w:rsidRDefault="005C25EA" w:rsidP="00194FFB">
      <w:pPr>
        <w:pStyle w:val="OpsommingSymbool"/>
        <w:rPr>
          <w:lang w:val="en-GB"/>
        </w:rPr>
      </w:pPr>
      <w:r w:rsidRPr="002605F8">
        <w:rPr>
          <w:lang w:val="en-GB"/>
        </w:rPr>
        <w:t>Costs of stakeholder consultations</w:t>
      </w:r>
    </w:p>
    <w:tbl>
      <w:tblPr>
        <w:tblW w:w="7598" w:type="dxa"/>
        <w:tblInd w:w="2124" w:type="dxa"/>
        <w:tblLook w:val="04A0" w:firstRow="1" w:lastRow="0" w:firstColumn="1" w:lastColumn="0" w:noHBand="0" w:noVBand="1"/>
      </w:tblPr>
      <w:tblGrid>
        <w:gridCol w:w="3402"/>
        <w:gridCol w:w="1361"/>
        <w:gridCol w:w="1474"/>
        <w:gridCol w:w="1361"/>
      </w:tblGrid>
      <w:tr w:rsidR="005C25EA" w:rsidRPr="0049591E" w14:paraId="3C4A5C36" w14:textId="77777777" w:rsidTr="005C25EA">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4CEA3354"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4FBFF2DC"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11D4B77E"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361" w:type="dxa"/>
            <w:tcBorders>
              <w:top w:val="single" w:sz="4" w:space="0" w:color="auto"/>
              <w:left w:val="nil"/>
              <w:bottom w:val="single" w:sz="4" w:space="0" w:color="auto"/>
              <w:right w:val="single" w:sz="4" w:space="0" w:color="auto"/>
            </w:tcBorders>
            <w:shd w:val="clear" w:color="000000" w:fill="D8D8D8"/>
            <w:hideMark/>
          </w:tcPr>
          <w:p w14:paraId="289020E3"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49591E" w14:paraId="5C5A20A8"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0BC062D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Staff time (preparation, follow up)</w:t>
            </w:r>
          </w:p>
        </w:tc>
        <w:tc>
          <w:tcPr>
            <w:tcW w:w="1361" w:type="dxa"/>
            <w:tcBorders>
              <w:top w:val="nil"/>
              <w:left w:val="nil"/>
              <w:bottom w:val="single" w:sz="4" w:space="0" w:color="auto"/>
              <w:right w:val="single" w:sz="4" w:space="0" w:color="auto"/>
            </w:tcBorders>
            <w:shd w:val="clear" w:color="auto" w:fill="auto"/>
            <w:hideMark/>
          </w:tcPr>
          <w:p w14:paraId="6E9D19DD"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1BF616DE"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361" w:type="dxa"/>
            <w:tcBorders>
              <w:top w:val="nil"/>
              <w:left w:val="nil"/>
              <w:bottom w:val="single" w:sz="4" w:space="0" w:color="auto"/>
              <w:right w:val="single" w:sz="4" w:space="0" w:color="auto"/>
            </w:tcBorders>
            <w:shd w:val="clear" w:color="auto" w:fill="auto"/>
          </w:tcPr>
          <w:p w14:paraId="4AD8058F"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5C36B130"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08A3A17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shd w:val="clear" w:color="auto" w:fill="auto"/>
            <w:hideMark/>
          </w:tcPr>
          <w:p w14:paraId="08769400"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48186CD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361" w:type="dxa"/>
            <w:tcBorders>
              <w:top w:val="nil"/>
              <w:left w:val="nil"/>
              <w:bottom w:val="single" w:sz="4" w:space="0" w:color="auto"/>
              <w:right w:val="single" w:sz="4" w:space="0" w:color="auto"/>
            </w:tcBorders>
            <w:shd w:val="clear" w:color="auto" w:fill="auto"/>
          </w:tcPr>
          <w:p w14:paraId="6C14275B"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7BBF8CB3"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39386444"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Meeting costs </w:t>
            </w:r>
          </w:p>
        </w:tc>
        <w:tc>
          <w:tcPr>
            <w:tcW w:w="1361" w:type="dxa"/>
            <w:tcBorders>
              <w:top w:val="nil"/>
              <w:left w:val="nil"/>
              <w:bottom w:val="single" w:sz="4" w:space="0" w:color="auto"/>
              <w:right w:val="single" w:sz="4" w:space="0" w:color="auto"/>
            </w:tcBorders>
            <w:shd w:val="clear" w:color="auto" w:fill="auto"/>
            <w:hideMark/>
          </w:tcPr>
          <w:p w14:paraId="436B58C6"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0839762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361" w:type="dxa"/>
            <w:tcBorders>
              <w:top w:val="nil"/>
              <w:left w:val="nil"/>
              <w:bottom w:val="single" w:sz="4" w:space="0" w:color="auto"/>
              <w:right w:val="single" w:sz="4" w:space="0" w:color="auto"/>
            </w:tcBorders>
            <w:shd w:val="clear" w:color="auto" w:fill="auto"/>
          </w:tcPr>
          <w:p w14:paraId="1F758D6F"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40976DB5"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7E85A3C3"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shd w:val="clear" w:color="auto" w:fill="auto"/>
            <w:hideMark/>
          </w:tcPr>
          <w:p w14:paraId="67E8700A"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5B1F27BE"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361" w:type="dxa"/>
            <w:tcBorders>
              <w:top w:val="nil"/>
              <w:left w:val="nil"/>
              <w:bottom w:val="single" w:sz="4" w:space="0" w:color="auto"/>
              <w:right w:val="single" w:sz="4" w:space="0" w:color="auto"/>
            </w:tcBorders>
            <w:shd w:val="clear" w:color="auto" w:fill="auto"/>
            <w:noWrap/>
          </w:tcPr>
          <w:p w14:paraId="55448461" w14:textId="7DC022D6"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p>
        </w:tc>
      </w:tr>
    </w:tbl>
    <w:p w14:paraId="49F29A07" w14:textId="77777777" w:rsidR="00487377" w:rsidRDefault="00487377" w:rsidP="00487377">
      <w:pPr>
        <w:pStyle w:val="OpsommingSymbool"/>
        <w:numPr>
          <w:ilvl w:val="0"/>
          <w:numId w:val="0"/>
        </w:numPr>
        <w:ind w:left="1985" w:hanging="284"/>
        <w:rPr>
          <w:lang w:val="en-GB"/>
        </w:rPr>
      </w:pPr>
    </w:p>
    <w:p w14:paraId="0C5884E2" w14:textId="77777777" w:rsidR="005C25EA" w:rsidRPr="002605F8" w:rsidRDefault="005C25EA" w:rsidP="00194FFB">
      <w:pPr>
        <w:pStyle w:val="OpsommingSymbool"/>
        <w:rPr>
          <w:lang w:val="en-GB"/>
        </w:rPr>
      </w:pPr>
      <w:r w:rsidRPr="002605F8">
        <w:rPr>
          <w:lang w:val="en-GB"/>
        </w:rPr>
        <w:t>Communication costs</w:t>
      </w:r>
    </w:p>
    <w:tbl>
      <w:tblPr>
        <w:tblW w:w="7654" w:type="dxa"/>
        <w:tblInd w:w="2124" w:type="dxa"/>
        <w:tblLook w:val="04A0" w:firstRow="1" w:lastRow="0" w:firstColumn="1" w:lastColumn="0" w:noHBand="0" w:noVBand="1"/>
      </w:tblPr>
      <w:tblGrid>
        <w:gridCol w:w="3402"/>
        <w:gridCol w:w="1361"/>
        <w:gridCol w:w="1474"/>
        <w:gridCol w:w="1417"/>
      </w:tblGrid>
      <w:tr w:rsidR="005C25EA" w:rsidRPr="0049591E" w14:paraId="513C57B7" w14:textId="77777777" w:rsidTr="005C25EA">
        <w:trPr>
          <w:trHeight w:val="528"/>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3AEE9A8F"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6EAC2C39"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5E298376"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000000" w:fill="D8D8D8"/>
            <w:hideMark/>
          </w:tcPr>
          <w:p w14:paraId="79A53056"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2605F8" w14:paraId="27BDD336" w14:textId="77777777" w:rsidTr="005C25EA">
        <w:trPr>
          <w:trHeight w:val="352"/>
        </w:trPr>
        <w:tc>
          <w:tcPr>
            <w:tcW w:w="3402" w:type="dxa"/>
            <w:tcBorders>
              <w:top w:val="nil"/>
              <w:left w:val="single" w:sz="4" w:space="0" w:color="auto"/>
              <w:bottom w:val="single" w:sz="4" w:space="0" w:color="auto"/>
              <w:right w:val="single" w:sz="4" w:space="0" w:color="auto"/>
            </w:tcBorders>
            <w:shd w:val="clear" w:color="auto" w:fill="auto"/>
            <w:hideMark/>
          </w:tcPr>
          <w:p w14:paraId="12FDE6B8"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Advertisement </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3188CF27"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687FC862"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tcPr>
          <w:p w14:paraId="093740CE"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35B58BF2" w14:textId="77777777" w:rsidTr="005C25EA">
        <w:trPr>
          <w:trHeight w:val="352"/>
        </w:trPr>
        <w:tc>
          <w:tcPr>
            <w:tcW w:w="3402" w:type="dxa"/>
            <w:tcBorders>
              <w:top w:val="nil"/>
              <w:left w:val="single" w:sz="4" w:space="0" w:color="auto"/>
              <w:bottom w:val="single" w:sz="4" w:space="0" w:color="auto"/>
              <w:right w:val="single" w:sz="4" w:space="0" w:color="auto"/>
            </w:tcBorders>
            <w:shd w:val="clear" w:color="auto" w:fill="auto"/>
            <w:hideMark/>
          </w:tcPr>
          <w:p w14:paraId="385C972F"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Staff time</w:t>
            </w:r>
          </w:p>
        </w:tc>
        <w:tc>
          <w:tcPr>
            <w:tcW w:w="1361" w:type="dxa"/>
            <w:tcBorders>
              <w:top w:val="nil"/>
              <w:left w:val="nil"/>
              <w:bottom w:val="single" w:sz="4" w:space="0" w:color="auto"/>
              <w:right w:val="single" w:sz="4" w:space="0" w:color="auto"/>
            </w:tcBorders>
            <w:shd w:val="clear" w:color="auto" w:fill="auto"/>
            <w:hideMark/>
          </w:tcPr>
          <w:p w14:paraId="5320B460"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28B49999"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tcPr>
          <w:p w14:paraId="33754A70"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3E08A9B9" w14:textId="77777777" w:rsidTr="005C25EA">
        <w:trPr>
          <w:trHeight w:val="352"/>
        </w:trPr>
        <w:tc>
          <w:tcPr>
            <w:tcW w:w="3402" w:type="dxa"/>
            <w:tcBorders>
              <w:top w:val="nil"/>
              <w:left w:val="single" w:sz="4" w:space="0" w:color="auto"/>
              <w:bottom w:val="single" w:sz="4" w:space="0" w:color="auto"/>
              <w:right w:val="single" w:sz="4" w:space="0" w:color="auto"/>
            </w:tcBorders>
            <w:shd w:val="clear" w:color="auto" w:fill="auto"/>
            <w:hideMark/>
          </w:tcPr>
          <w:p w14:paraId="10C693EA"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2D25390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080A4E5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tcPr>
          <w:p w14:paraId="0E6B1B72"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792CA0B4"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6D63F8B8"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shd w:val="clear" w:color="auto" w:fill="auto"/>
            <w:hideMark/>
          </w:tcPr>
          <w:p w14:paraId="2F4994DE"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34E0E363"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noWrap/>
            <w:hideMark/>
          </w:tcPr>
          <w:p w14:paraId="32802588" w14:textId="49F83991"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7B0BE8B7" w14:textId="77777777" w:rsidR="00487377" w:rsidRDefault="00487377" w:rsidP="00487377">
      <w:pPr>
        <w:pStyle w:val="OpsommingSymbool"/>
        <w:numPr>
          <w:ilvl w:val="0"/>
          <w:numId w:val="0"/>
        </w:numPr>
        <w:ind w:left="1985" w:hanging="284"/>
        <w:rPr>
          <w:lang w:val="en-GB"/>
        </w:rPr>
      </w:pPr>
    </w:p>
    <w:p w14:paraId="401E127A" w14:textId="77777777" w:rsidR="005C25EA" w:rsidRPr="002605F8" w:rsidRDefault="005C25EA" w:rsidP="00194FFB">
      <w:pPr>
        <w:pStyle w:val="OpsommingSymbool"/>
        <w:rPr>
          <w:lang w:val="en-GB"/>
        </w:rPr>
      </w:pPr>
      <w:r w:rsidRPr="002605F8">
        <w:rPr>
          <w:lang w:val="en-GB"/>
        </w:rPr>
        <w:t>Training costs</w:t>
      </w:r>
    </w:p>
    <w:tbl>
      <w:tblPr>
        <w:tblW w:w="7654" w:type="dxa"/>
        <w:tblInd w:w="2124" w:type="dxa"/>
        <w:tblLook w:val="04A0" w:firstRow="1" w:lastRow="0" w:firstColumn="1" w:lastColumn="0" w:noHBand="0" w:noVBand="1"/>
      </w:tblPr>
      <w:tblGrid>
        <w:gridCol w:w="3402"/>
        <w:gridCol w:w="1361"/>
        <w:gridCol w:w="1474"/>
        <w:gridCol w:w="1417"/>
      </w:tblGrid>
      <w:tr w:rsidR="005C25EA" w:rsidRPr="0049591E" w14:paraId="7362729C" w14:textId="77777777" w:rsidTr="005C25EA">
        <w:trPr>
          <w:trHeight w:val="528"/>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5CB79A2D"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0AA2919C"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19B8B84F"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000000" w:fill="D8D8D8"/>
            <w:hideMark/>
          </w:tcPr>
          <w:p w14:paraId="5E836FBC"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2605F8" w14:paraId="1011AB01"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22D3B96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Preparation</w:t>
            </w:r>
          </w:p>
        </w:tc>
        <w:tc>
          <w:tcPr>
            <w:tcW w:w="1361" w:type="dxa"/>
            <w:tcBorders>
              <w:top w:val="nil"/>
              <w:left w:val="nil"/>
              <w:bottom w:val="single" w:sz="4" w:space="0" w:color="auto"/>
              <w:right w:val="single" w:sz="4" w:space="0" w:color="auto"/>
            </w:tcBorders>
            <w:shd w:val="clear" w:color="auto" w:fill="auto"/>
            <w:hideMark/>
          </w:tcPr>
          <w:p w14:paraId="2F7D0355"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69F595F7"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tcPr>
          <w:p w14:paraId="0D870684"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3D4A14E0"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10DA0FE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Training material (courses)</w:t>
            </w:r>
          </w:p>
        </w:tc>
        <w:tc>
          <w:tcPr>
            <w:tcW w:w="1361" w:type="dxa"/>
            <w:tcBorders>
              <w:top w:val="nil"/>
              <w:left w:val="nil"/>
              <w:bottom w:val="single" w:sz="4" w:space="0" w:color="auto"/>
              <w:right w:val="single" w:sz="4" w:space="0" w:color="auto"/>
            </w:tcBorders>
            <w:shd w:val="clear" w:color="000000" w:fill="D9D9D9"/>
            <w:hideMark/>
          </w:tcPr>
          <w:p w14:paraId="18A179F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000000" w:fill="D9D9D9"/>
            <w:hideMark/>
          </w:tcPr>
          <w:p w14:paraId="05D00F0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tcPr>
          <w:p w14:paraId="19DC8E41"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2A3B8016"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5E0FB73B"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xml:space="preserve">Giving training </w:t>
            </w:r>
          </w:p>
        </w:tc>
        <w:tc>
          <w:tcPr>
            <w:tcW w:w="1361" w:type="dxa"/>
            <w:tcBorders>
              <w:top w:val="nil"/>
              <w:left w:val="nil"/>
              <w:bottom w:val="single" w:sz="4" w:space="0" w:color="auto"/>
              <w:right w:val="single" w:sz="4" w:space="0" w:color="auto"/>
            </w:tcBorders>
            <w:shd w:val="clear" w:color="auto" w:fill="auto"/>
            <w:hideMark/>
          </w:tcPr>
          <w:p w14:paraId="1BF534D1"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28F7FC5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tcPr>
          <w:p w14:paraId="4C99255F"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184B0167"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47AD85E9"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shd w:val="clear" w:color="auto" w:fill="auto"/>
            <w:hideMark/>
          </w:tcPr>
          <w:p w14:paraId="66F72524"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3258CCB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noWrap/>
            <w:hideMark/>
          </w:tcPr>
          <w:p w14:paraId="13B16A63" w14:textId="74ADC99D"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 xml:space="preserve"> €</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12EB9D15" w14:textId="77777777" w:rsidR="00487377" w:rsidRDefault="00487377" w:rsidP="00487377">
      <w:pPr>
        <w:pStyle w:val="OpsommingSymbool"/>
        <w:numPr>
          <w:ilvl w:val="0"/>
          <w:numId w:val="0"/>
        </w:numPr>
        <w:ind w:left="1985" w:hanging="284"/>
        <w:rPr>
          <w:lang w:val="en-GB"/>
        </w:rPr>
      </w:pPr>
    </w:p>
    <w:p w14:paraId="73F5F7FB" w14:textId="77777777" w:rsidR="00487377" w:rsidRDefault="00487377" w:rsidP="00487377">
      <w:pPr>
        <w:pStyle w:val="OpsommingSymbool"/>
        <w:numPr>
          <w:ilvl w:val="0"/>
          <w:numId w:val="0"/>
        </w:numPr>
        <w:ind w:left="1985" w:hanging="284"/>
        <w:rPr>
          <w:lang w:val="en-GB"/>
        </w:rPr>
      </w:pPr>
    </w:p>
    <w:p w14:paraId="1081910E" w14:textId="77777777" w:rsidR="005C25EA" w:rsidRPr="002605F8" w:rsidRDefault="005C25EA" w:rsidP="00194FFB">
      <w:pPr>
        <w:pStyle w:val="OpsommingSymbool"/>
        <w:rPr>
          <w:lang w:val="en-GB"/>
        </w:rPr>
      </w:pPr>
      <w:r w:rsidRPr="002605F8">
        <w:rPr>
          <w:lang w:val="en-GB"/>
        </w:rPr>
        <w:t>Cost for awareness raising</w:t>
      </w:r>
    </w:p>
    <w:tbl>
      <w:tblPr>
        <w:tblW w:w="7711" w:type="dxa"/>
        <w:tblInd w:w="2124" w:type="dxa"/>
        <w:tblLook w:val="04A0" w:firstRow="1" w:lastRow="0" w:firstColumn="1" w:lastColumn="0" w:noHBand="0" w:noVBand="1"/>
      </w:tblPr>
      <w:tblGrid>
        <w:gridCol w:w="3402"/>
        <w:gridCol w:w="1361"/>
        <w:gridCol w:w="1474"/>
        <w:gridCol w:w="1474"/>
      </w:tblGrid>
      <w:tr w:rsidR="005C25EA" w:rsidRPr="0049591E" w14:paraId="154E4188" w14:textId="77777777" w:rsidTr="005C25EA">
        <w:trPr>
          <w:trHeight w:val="528"/>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55A6883F"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70C5C1A2"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Estimated </w:t>
            </w:r>
            <w:proofErr w:type="spellStart"/>
            <w:r w:rsidRPr="002605F8">
              <w:rPr>
                <w:rFonts w:eastAsia="Times New Roman" w:cs="Arial"/>
                <w:b/>
                <w:bCs/>
                <w:color w:val="000000"/>
                <w:sz w:val="18"/>
                <w:szCs w:val="20"/>
                <w:lang w:val="en-GB"/>
              </w:rPr>
              <w:t>nr</w:t>
            </w:r>
            <w:proofErr w:type="spellEnd"/>
            <w:r w:rsidRPr="002605F8">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6DA2618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14:paraId="0983833C"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Estimated one-off cost per action, €</w:t>
            </w:r>
          </w:p>
        </w:tc>
      </w:tr>
      <w:tr w:rsidR="005C25EA" w:rsidRPr="0049591E" w14:paraId="73CF2A1E"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7634C2BD"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Staff time (preparation, follow up)</w:t>
            </w:r>
          </w:p>
        </w:tc>
        <w:tc>
          <w:tcPr>
            <w:tcW w:w="1361" w:type="dxa"/>
            <w:tcBorders>
              <w:top w:val="nil"/>
              <w:left w:val="nil"/>
              <w:bottom w:val="single" w:sz="4" w:space="0" w:color="auto"/>
              <w:right w:val="single" w:sz="4" w:space="0" w:color="auto"/>
            </w:tcBorders>
            <w:shd w:val="clear" w:color="auto" w:fill="auto"/>
            <w:hideMark/>
          </w:tcPr>
          <w:p w14:paraId="611FBFA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1A0922CC"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6B88A281"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571F5561" w14:textId="77777777" w:rsidTr="005C25EA">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6D8FB975"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Awareness raising material</w:t>
            </w:r>
          </w:p>
        </w:tc>
        <w:tc>
          <w:tcPr>
            <w:tcW w:w="1361" w:type="dxa"/>
            <w:tcBorders>
              <w:top w:val="nil"/>
              <w:left w:val="nil"/>
              <w:bottom w:val="single" w:sz="4" w:space="0" w:color="auto"/>
              <w:right w:val="single" w:sz="4" w:space="0" w:color="auto"/>
            </w:tcBorders>
            <w:shd w:val="clear" w:color="000000" w:fill="D9D9D9"/>
            <w:hideMark/>
          </w:tcPr>
          <w:p w14:paraId="3DCAA162"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000000" w:fill="D9D9D9"/>
            <w:hideMark/>
          </w:tcPr>
          <w:p w14:paraId="219E0B63" w14:textId="77777777" w:rsidR="005C25EA" w:rsidRPr="002605F8" w:rsidRDefault="005C25EA" w:rsidP="005C25EA">
            <w:pPr>
              <w:spacing w:before="0" w:after="0" w:line="240" w:lineRule="auto"/>
              <w:rPr>
                <w:rFonts w:eastAsia="Times New Roman" w:cs="Arial"/>
                <w:color w:val="000000"/>
                <w:sz w:val="18"/>
                <w:szCs w:val="20"/>
                <w:lang w:val="en-GB"/>
              </w:rPr>
            </w:pPr>
            <w:r w:rsidRPr="002605F8">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tcPr>
          <w:p w14:paraId="4727A630" w14:textId="77777777" w:rsidR="005C25EA" w:rsidRPr="002605F8" w:rsidRDefault="005C25EA" w:rsidP="005C25EA">
            <w:pPr>
              <w:spacing w:before="0" w:after="0" w:line="240" w:lineRule="auto"/>
              <w:jc w:val="right"/>
              <w:rPr>
                <w:rFonts w:eastAsia="Times New Roman" w:cs="Arial"/>
                <w:color w:val="000000"/>
                <w:sz w:val="18"/>
                <w:szCs w:val="20"/>
                <w:lang w:val="en-GB"/>
              </w:rPr>
            </w:pPr>
          </w:p>
        </w:tc>
      </w:tr>
      <w:tr w:rsidR="005C25EA" w:rsidRPr="002605F8" w14:paraId="0B6E289B" w14:textId="77777777" w:rsidTr="005C25EA">
        <w:trPr>
          <w:trHeight w:val="272"/>
        </w:trPr>
        <w:tc>
          <w:tcPr>
            <w:tcW w:w="3402" w:type="dxa"/>
            <w:tcBorders>
              <w:top w:val="nil"/>
              <w:left w:val="single" w:sz="4" w:space="0" w:color="auto"/>
              <w:bottom w:val="single" w:sz="4" w:space="0" w:color="auto"/>
              <w:right w:val="single" w:sz="4" w:space="0" w:color="auto"/>
            </w:tcBorders>
            <w:shd w:val="clear" w:color="auto" w:fill="auto"/>
            <w:hideMark/>
          </w:tcPr>
          <w:p w14:paraId="681B5130"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shd w:val="clear" w:color="auto" w:fill="auto"/>
            <w:hideMark/>
          </w:tcPr>
          <w:p w14:paraId="7B068E4D"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458E2771" w14:textId="77777777" w:rsidR="005C25EA" w:rsidRPr="002605F8" w:rsidRDefault="005C25EA" w:rsidP="005C25EA">
            <w:pPr>
              <w:spacing w:before="0" w:after="0" w:line="240" w:lineRule="auto"/>
              <w:rPr>
                <w:rFonts w:eastAsia="Times New Roman" w:cs="Arial"/>
                <w:b/>
                <w:bCs/>
                <w:color w:val="000000"/>
                <w:sz w:val="18"/>
                <w:szCs w:val="20"/>
                <w:lang w:val="en-GB"/>
              </w:rPr>
            </w:pPr>
            <w:r w:rsidRPr="002605F8">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noWrap/>
            <w:hideMark/>
          </w:tcPr>
          <w:p w14:paraId="798C0379" w14:textId="44EC29F1" w:rsidR="005C25EA" w:rsidRPr="002605F8" w:rsidRDefault="005C25EA" w:rsidP="005C25EA">
            <w:pPr>
              <w:spacing w:before="0" w:after="0" w:line="240" w:lineRule="auto"/>
              <w:jc w:val="right"/>
              <w:rPr>
                <w:rFonts w:eastAsia="Times New Roman" w:cs="Arial"/>
                <w:b/>
                <w:bCs/>
                <w:color w:val="000000"/>
                <w:sz w:val="18"/>
                <w:szCs w:val="20"/>
                <w:lang w:val="en-GB"/>
              </w:rPr>
            </w:pPr>
            <w:r w:rsidRPr="002605F8">
              <w:rPr>
                <w:rFonts w:eastAsia="Times New Roman" w:cs="Arial"/>
                <w:b/>
                <w:bCs/>
                <w:color w:val="000000"/>
                <w:sz w:val="18"/>
                <w:szCs w:val="20"/>
                <w:lang w:val="en-GB"/>
              </w:rPr>
              <w:t>€</w:t>
            </w:r>
            <w:r w:rsidR="002719D9">
              <w:rPr>
                <w:rFonts w:eastAsia="Times New Roman" w:cs="Arial"/>
                <w:b/>
                <w:bCs/>
                <w:color w:val="000000"/>
                <w:sz w:val="18"/>
                <w:szCs w:val="20"/>
                <w:lang w:val="en-GB"/>
              </w:rPr>
              <w:t xml:space="preserve"> </w:t>
            </w:r>
            <w:r w:rsidRPr="002605F8">
              <w:rPr>
                <w:rFonts w:eastAsia="Times New Roman" w:cs="Arial"/>
                <w:b/>
                <w:bCs/>
                <w:color w:val="000000"/>
                <w:sz w:val="18"/>
                <w:szCs w:val="20"/>
                <w:lang w:val="en-GB"/>
              </w:rPr>
              <w:t xml:space="preserve">- </w:t>
            </w:r>
          </w:p>
        </w:tc>
      </w:tr>
    </w:tbl>
    <w:p w14:paraId="1C18684D" w14:textId="77777777" w:rsidR="005C25EA" w:rsidRPr="002605F8" w:rsidRDefault="005C25EA" w:rsidP="005C25EA">
      <w:pPr>
        <w:spacing w:line="360" w:lineRule="auto"/>
        <w:ind w:left="1701"/>
        <w:jc w:val="both"/>
        <w:rPr>
          <w:lang w:val="en-GB"/>
        </w:rPr>
      </w:pPr>
    </w:p>
    <w:p w14:paraId="6F6608F8" w14:textId="77777777" w:rsidR="005C25EA" w:rsidRPr="002605F8" w:rsidRDefault="005C25EA" w:rsidP="00487377">
      <w:pPr>
        <w:pStyle w:val="Kop3"/>
        <w:rPr>
          <w:lang w:val="en-GB"/>
        </w:rPr>
      </w:pPr>
      <w:bookmarkStart w:id="3" w:name="_Ref435688625"/>
      <w:r w:rsidRPr="002605F8">
        <w:rPr>
          <w:lang w:val="en-GB"/>
        </w:rPr>
        <w:t>Interpretation of the results</w:t>
      </w:r>
      <w:bookmarkEnd w:id="3"/>
    </w:p>
    <w:p w14:paraId="3872F85F" w14:textId="77777777" w:rsidR="005C25EA" w:rsidRPr="002605F8" w:rsidRDefault="005C25EA" w:rsidP="005C25EA">
      <w:pPr>
        <w:ind w:left="1701"/>
        <w:rPr>
          <w:b/>
          <w:lang w:val="en-GB"/>
        </w:rPr>
      </w:pPr>
      <w:r w:rsidRPr="002605F8">
        <w:rPr>
          <w:b/>
          <w:lang w:val="en-GB"/>
        </w:rPr>
        <w:t>Time period in the frame of Cost effectiveness analysis</w:t>
      </w:r>
    </w:p>
    <w:p w14:paraId="2DAF2C1B" w14:textId="72146B96" w:rsidR="005C25EA" w:rsidRPr="002605F8" w:rsidRDefault="005C25EA" w:rsidP="005C25EA">
      <w:pPr>
        <w:ind w:left="1701"/>
        <w:rPr>
          <w:lang w:val="en-GB"/>
        </w:rPr>
      </w:pPr>
      <w:r w:rsidRPr="002605F8">
        <w:rPr>
          <w:lang w:val="en-GB"/>
        </w:rPr>
        <w:t>Costs will be assessed over a timescale of 6</w:t>
      </w:r>
      <w:r w:rsidRPr="002605F8">
        <w:rPr>
          <w:u w:val="single"/>
          <w:lang w:val="en-GB"/>
        </w:rPr>
        <w:t xml:space="preserve"> years, correspondingly to the MSFD planning cycle</w:t>
      </w:r>
      <w:r w:rsidRPr="002605F8">
        <w:rPr>
          <w:lang w:val="en-GB"/>
        </w:rPr>
        <w:t>. The decision to use this timeframe was based on various factors</w:t>
      </w:r>
      <w:r w:rsidR="00234FA4" w:rsidRPr="002605F8">
        <w:rPr>
          <w:lang w:val="en-GB"/>
        </w:rPr>
        <w:t>:</w:t>
      </w:r>
    </w:p>
    <w:p w14:paraId="343BC83F" w14:textId="28DEB8AA" w:rsidR="005C25EA" w:rsidRPr="002605F8" w:rsidRDefault="005C25EA" w:rsidP="00234FA4">
      <w:pPr>
        <w:pStyle w:val="OpsommingSymbool"/>
        <w:rPr>
          <w:lang w:val="en-GB"/>
        </w:rPr>
      </w:pPr>
      <w:r w:rsidRPr="002605F8">
        <w:rPr>
          <w:lang w:val="en-GB"/>
        </w:rPr>
        <w:t>time period in line with the policy cycle and its time horizon for budgeting</w:t>
      </w:r>
      <w:r w:rsidR="00234FA4" w:rsidRPr="002605F8">
        <w:rPr>
          <w:lang w:val="en-GB"/>
        </w:rPr>
        <w:t>;</w:t>
      </w:r>
    </w:p>
    <w:p w14:paraId="747DFAD1" w14:textId="708F1280" w:rsidR="005C25EA" w:rsidRPr="002605F8" w:rsidRDefault="005C25EA" w:rsidP="00234FA4">
      <w:pPr>
        <w:pStyle w:val="OpsommingSymbool"/>
        <w:rPr>
          <w:lang w:val="en-GB"/>
        </w:rPr>
      </w:pPr>
      <w:r w:rsidRPr="002605F8">
        <w:rPr>
          <w:lang w:val="en-GB"/>
        </w:rPr>
        <w:t>increased acceptance by stakeholders (e.g. businesses adjust their activities rather in the medium than in the long term,</w:t>
      </w:r>
      <w:r w:rsidR="00234FA4" w:rsidRPr="002605F8">
        <w:rPr>
          <w:lang w:val="en-GB"/>
        </w:rPr>
        <w:t xml:space="preserve"> based on e.g. 5 years budgets);</w:t>
      </w:r>
    </w:p>
    <w:p w14:paraId="200C0D47" w14:textId="27C50BBF" w:rsidR="005C25EA" w:rsidRPr="002605F8" w:rsidRDefault="005C25EA" w:rsidP="00234FA4">
      <w:pPr>
        <w:pStyle w:val="OpsommingSymbool"/>
        <w:rPr>
          <w:lang w:val="en-GB"/>
        </w:rPr>
      </w:pPr>
      <w:r w:rsidRPr="002605F8">
        <w:rPr>
          <w:lang w:val="en-GB"/>
        </w:rPr>
        <w:t>room for evaluatio</w:t>
      </w:r>
      <w:r w:rsidR="00234FA4" w:rsidRPr="002605F8">
        <w:rPr>
          <w:lang w:val="en-GB"/>
        </w:rPr>
        <w:t>n and adjustment of measures;</w:t>
      </w:r>
    </w:p>
    <w:p w14:paraId="09661F42" w14:textId="085E8157" w:rsidR="005C25EA" w:rsidRPr="002605F8" w:rsidRDefault="005C25EA" w:rsidP="00234FA4">
      <w:pPr>
        <w:pStyle w:val="OpsommingSymbool"/>
        <w:rPr>
          <w:lang w:val="en-GB"/>
        </w:rPr>
      </w:pPr>
      <w:r w:rsidRPr="002605F8">
        <w:rPr>
          <w:lang w:val="en-GB"/>
        </w:rPr>
        <w:t>a time frame that can be reflected in the state</w:t>
      </w:r>
      <w:r w:rsidR="00234FA4" w:rsidRPr="002605F8">
        <w:rPr>
          <w:lang w:val="en-GB"/>
        </w:rPr>
        <w:t xml:space="preserve"> </w:t>
      </w:r>
      <w:r w:rsidRPr="002605F8">
        <w:rPr>
          <w:lang w:val="en-GB"/>
        </w:rPr>
        <w:t>budget</w:t>
      </w:r>
      <w:r w:rsidR="00234FA4" w:rsidRPr="002605F8">
        <w:rPr>
          <w:lang w:val="en-GB"/>
        </w:rPr>
        <w:t>.</w:t>
      </w:r>
    </w:p>
    <w:p w14:paraId="7E6EE2DF" w14:textId="77777777" w:rsidR="00487377" w:rsidRDefault="00487377" w:rsidP="00487377">
      <w:pPr>
        <w:ind w:left="1701"/>
        <w:rPr>
          <w:b/>
          <w:lang w:val="en-GB"/>
        </w:rPr>
      </w:pPr>
    </w:p>
    <w:p w14:paraId="3477FE2F" w14:textId="7F027E3E" w:rsidR="005C25EA" w:rsidRPr="002605F8" w:rsidRDefault="00487377" w:rsidP="00487377">
      <w:pPr>
        <w:ind w:left="1701"/>
        <w:rPr>
          <w:b/>
          <w:lang w:val="en-GB"/>
        </w:rPr>
      </w:pPr>
      <w:r>
        <w:rPr>
          <w:b/>
          <w:lang w:val="en-GB"/>
        </w:rPr>
        <w:lastRenderedPageBreak/>
        <w:t>D</w:t>
      </w:r>
      <w:r w:rsidR="005C25EA" w:rsidRPr="002605F8">
        <w:rPr>
          <w:b/>
          <w:lang w:val="en-GB"/>
        </w:rPr>
        <w:t>iscount rate</w:t>
      </w:r>
    </w:p>
    <w:p w14:paraId="7A5F1D7F" w14:textId="3AA6A779" w:rsidR="005C25EA" w:rsidRPr="002605F8" w:rsidRDefault="005C25EA" w:rsidP="005C25EA">
      <w:pPr>
        <w:ind w:left="1701"/>
        <w:rPr>
          <w:lang w:val="en-GB"/>
        </w:rPr>
      </w:pPr>
      <w:r w:rsidRPr="002605F8">
        <w:rPr>
          <w:lang w:val="en-GB"/>
        </w:rPr>
        <w:t>Costs and benefits are calculated over the period using a discount rate of 4%, conform the EC Impact Assessment Guidelines (2009)</w:t>
      </w:r>
      <w:r w:rsidR="00F609B6" w:rsidRPr="002605F8">
        <w:rPr>
          <w:rStyle w:val="Voetnootmarkering"/>
          <w:lang w:val="en-GB"/>
        </w:rPr>
        <w:footnoteReference w:id="2"/>
      </w:r>
      <w:r w:rsidRPr="002605F8">
        <w:rPr>
          <w:lang w:val="en-GB"/>
        </w:rPr>
        <w:t>. The NPV that can be calculated based on the discounted rate allows decision makers to get insight in the total costs over the analysed time period.</w:t>
      </w:r>
    </w:p>
    <w:p w14:paraId="2DFB9BD5" w14:textId="77777777" w:rsidR="005C25EA" w:rsidRPr="002605F8" w:rsidRDefault="005C25EA" w:rsidP="005C25EA">
      <w:pPr>
        <w:ind w:left="1701"/>
        <w:rPr>
          <w:lang w:val="en-GB"/>
        </w:rPr>
      </w:pPr>
    </w:p>
    <w:p w14:paraId="2895F640" w14:textId="77777777" w:rsidR="005C25EA" w:rsidRPr="002605F8" w:rsidRDefault="005C25EA" w:rsidP="005C25EA">
      <w:pPr>
        <w:ind w:left="1701"/>
        <w:rPr>
          <w:b/>
          <w:lang w:val="en-GB"/>
        </w:rPr>
      </w:pPr>
      <w:r w:rsidRPr="002605F8">
        <w:rPr>
          <w:b/>
          <w:lang w:val="en-GB"/>
        </w:rPr>
        <w:t>Approach to assign certainty</w:t>
      </w:r>
    </w:p>
    <w:p w14:paraId="1C14ADC0" w14:textId="77777777" w:rsidR="005C25EA" w:rsidRPr="002605F8" w:rsidRDefault="005C25EA" w:rsidP="005C25EA">
      <w:pPr>
        <w:ind w:left="1701"/>
        <w:rPr>
          <w:strike/>
          <w:lang w:val="en-GB"/>
        </w:rPr>
      </w:pPr>
      <w:r w:rsidRPr="002605F8">
        <w:rPr>
          <w:lang w:val="en-GB"/>
        </w:rPr>
        <w:t>The certainty of attributing costs to the different cost components at this stage of the Programme of Measures is varying. Some components, such as sectoral cost to fisheries are not yet possible to estimate where others, such as awareness raising measures, can rely on known budgets for similar projects from the past. In order to include uncertainty in the cost estimation, the following 3 scale of likelihood will be included previous to the scoring</w:t>
      </w:r>
      <w:r w:rsidRPr="002605F8">
        <w:rPr>
          <w:sz w:val="16"/>
          <w:vertAlign w:val="superscript"/>
          <w:lang w:val="en-GB"/>
        </w:rPr>
        <w:footnoteReference w:id="3"/>
      </w:r>
      <w:r w:rsidRPr="002605F8">
        <w:rPr>
          <w:lang w:val="en-GB"/>
        </w:rPr>
        <w:t xml:space="preserve">. </w:t>
      </w:r>
    </w:p>
    <w:p w14:paraId="605A5093" w14:textId="77777777" w:rsidR="005C25EA" w:rsidRPr="002605F8" w:rsidRDefault="005C25EA" w:rsidP="00194FFB">
      <w:pPr>
        <w:pStyle w:val="OpsommingSymbool"/>
        <w:rPr>
          <w:lang w:val="en-GB"/>
        </w:rPr>
      </w:pPr>
      <w:r w:rsidRPr="002605F8">
        <w:rPr>
          <w:highlight w:val="green"/>
          <w:lang w:val="en-GB"/>
        </w:rPr>
        <w:t>Green</w:t>
      </w:r>
      <w:r w:rsidRPr="002605F8">
        <w:rPr>
          <w:lang w:val="en-GB"/>
        </w:rPr>
        <w:t>: Certain (&gt;66% probability)</w:t>
      </w:r>
    </w:p>
    <w:p w14:paraId="03D20F97" w14:textId="77777777" w:rsidR="005C25EA" w:rsidRPr="002605F8" w:rsidRDefault="005C25EA" w:rsidP="00194FFB">
      <w:pPr>
        <w:pStyle w:val="OpsommingSymbool"/>
        <w:rPr>
          <w:lang w:val="en-GB"/>
        </w:rPr>
      </w:pPr>
      <w:r w:rsidRPr="002605F8">
        <w:rPr>
          <w:highlight w:val="yellow"/>
          <w:lang w:val="en-GB"/>
        </w:rPr>
        <w:t>Yellow:</w:t>
      </w:r>
      <w:r w:rsidRPr="002605F8">
        <w:rPr>
          <w:lang w:val="en-GB"/>
        </w:rPr>
        <w:t xml:space="preserve"> Medium uncertainty (&gt;33–66% probability)</w:t>
      </w:r>
    </w:p>
    <w:p w14:paraId="2CACD4D2" w14:textId="77777777" w:rsidR="005C25EA" w:rsidRPr="002605F8" w:rsidRDefault="005C25EA" w:rsidP="00194FFB">
      <w:pPr>
        <w:pStyle w:val="OpsommingSymbool"/>
        <w:rPr>
          <w:lang w:val="en-GB"/>
        </w:rPr>
      </w:pPr>
      <w:r w:rsidRPr="002605F8">
        <w:rPr>
          <w:highlight w:val="red"/>
          <w:lang w:val="en-GB"/>
        </w:rPr>
        <w:t>Red</w:t>
      </w:r>
      <w:r w:rsidRPr="002605F8">
        <w:rPr>
          <w:lang w:val="en-GB"/>
        </w:rPr>
        <w:t>: Uncertain (&lt;33% probability)</w:t>
      </w:r>
    </w:p>
    <w:p w14:paraId="7D6D4245" w14:textId="77777777" w:rsidR="005C25EA" w:rsidRPr="002605F8" w:rsidRDefault="005C25EA" w:rsidP="005C25EA">
      <w:pPr>
        <w:ind w:left="1701"/>
        <w:rPr>
          <w:lang w:val="en-GB"/>
        </w:rPr>
      </w:pPr>
      <w:r w:rsidRPr="002605F8">
        <w:rPr>
          <w:lang w:val="en-GB"/>
        </w:rPr>
        <w:t>Estimates of certainty are derived from expert judgment and existing literature examined for this assessment. They give an indication on certainty and do not influence the calculated total discounted costs.</w:t>
      </w:r>
    </w:p>
    <w:p w14:paraId="639443EE" w14:textId="77777777" w:rsidR="005C25EA" w:rsidRPr="002605F8" w:rsidRDefault="005C25EA" w:rsidP="005C25EA">
      <w:pPr>
        <w:spacing w:line="360" w:lineRule="auto"/>
        <w:ind w:left="1701"/>
        <w:jc w:val="both"/>
        <w:rPr>
          <w:lang w:val="en-GB"/>
        </w:rPr>
      </w:pPr>
    </w:p>
    <w:p w14:paraId="49FEECD5" w14:textId="77777777" w:rsidR="005C25EA" w:rsidRPr="002605F8" w:rsidRDefault="005C25EA" w:rsidP="005C25EA">
      <w:pPr>
        <w:ind w:left="1701"/>
        <w:rPr>
          <w:b/>
          <w:lang w:val="en-GB"/>
        </w:rPr>
      </w:pPr>
      <w:r w:rsidRPr="002605F8">
        <w:rPr>
          <w:b/>
          <w:lang w:val="en-GB"/>
        </w:rPr>
        <w:t xml:space="preserve">Scoring of the costs </w:t>
      </w:r>
    </w:p>
    <w:p w14:paraId="53D08C62" w14:textId="0BFBA358" w:rsidR="005C25EA" w:rsidRPr="002605F8" w:rsidRDefault="005C25EA" w:rsidP="005C25EA">
      <w:pPr>
        <w:spacing w:line="360" w:lineRule="auto"/>
        <w:ind w:left="1701"/>
        <w:jc w:val="both"/>
        <w:rPr>
          <w:lang w:val="en-GB"/>
        </w:rPr>
      </w:pPr>
      <w:r w:rsidRPr="002605F8">
        <w:rPr>
          <w:lang w:val="en-GB"/>
        </w:rPr>
        <w:t xml:space="preserve">The </w:t>
      </w:r>
      <w:r w:rsidRPr="002605F8">
        <w:rPr>
          <w:b/>
          <w:lang w:val="en-GB"/>
        </w:rPr>
        <w:t>evaluation of costs</w:t>
      </w:r>
      <w:r w:rsidRPr="002605F8">
        <w:rPr>
          <w:lang w:val="en-GB"/>
        </w:rPr>
        <w:t>, in the frame of cost effectiveness analysis, will be done in a semi-quantitative manner using size classes, which are converted into scores of 1 to 5</w:t>
      </w:r>
      <w:r w:rsidRPr="002605F8">
        <w:rPr>
          <w:vertAlign w:val="superscript"/>
          <w:lang w:val="en-GB"/>
        </w:rPr>
        <w:footnoteReference w:id="4"/>
      </w:r>
      <w:r w:rsidRPr="002605F8">
        <w:rPr>
          <w:lang w:val="en-GB"/>
        </w:rPr>
        <w:t>, as shown in the table below (illustrative ex</w:t>
      </w:r>
      <w:r w:rsidR="004E3D5A">
        <w:rPr>
          <w:lang w:val="en-GB"/>
        </w:rPr>
        <w:t>ample).</w:t>
      </w:r>
    </w:p>
    <w:p w14:paraId="28FF83B3" w14:textId="77777777" w:rsidR="004C78E5" w:rsidRPr="002605F8" w:rsidRDefault="004C78E5" w:rsidP="00194FFB">
      <w:pPr>
        <w:spacing w:line="360" w:lineRule="auto"/>
        <w:ind w:left="1701"/>
        <w:jc w:val="both"/>
        <w:rPr>
          <w:lang w:val="en-GB"/>
        </w:rPr>
      </w:pPr>
    </w:p>
    <w:p w14:paraId="59D7DC61" w14:textId="1DB20CD5" w:rsidR="00AD035B" w:rsidRPr="002605F8" w:rsidRDefault="00AD035B" w:rsidP="00AD035B">
      <w:pPr>
        <w:pStyle w:val="Bijschrift"/>
        <w:rPr>
          <w:lang w:val="en-GB"/>
        </w:rPr>
      </w:pPr>
      <w:r w:rsidRPr="002605F8">
        <w:rPr>
          <w:lang w:val="en-GB"/>
        </w:rPr>
        <w:t xml:space="preserve">Table </w:t>
      </w:r>
      <w:r w:rsidRPr="002605F8">
        <w:rPr>
          <w:lang w:val="en-GB"/>
        </w:rPr>
        <w:fldChar w:fldCharType="begin"/>
      </w:r>
      <w:r w:rsidRPr="002605F8">
        <w:rPr>
          <w:lang w:val="en-GB"/>
        </w:rPr>
        <w:instrText xml:space="preserve"> SEQ Table \* ARABIC </w:instrText>
      </w:r>
      <w:r w:rsidRPr="002605F8">
        <w:rPr>
          <w:lang w:val="en-GB"/>
        </w:rPr>
        <w:fldChar w:fldCharType="separate"/>
      </w:r>
      <w:r w:rsidR="00677009" w:rsidRPr="002605F8">
        <w:rPr>
          <w:noProof/>
          <w:lang w:val="en-GB"/>
        </w:rPr>
        <w:t>3</w:t>
      </w:r>
      <w:r w:rsidRPr="002605F8">
        <w:rPr>
          <w:lang w:val="en-GB"/>
        </w:rPr>
        <w:fldChar w:fldCharType="end"/>
      </w:r>
      <w:r w:rsidRPr="002605F8">
        <w:rPr>
          <w:lang w:val="en-GB"/>
        </w:rPr>
        <w:t> : Proposed size classes for cost assessment of potentially coordinated measures in the</w:t>
      </w:r>
      <w:r w:rsidR="002719D9">
        <w:rPr>
          <w:lang w:val="en-GB"/>
        </w:rPr>
        <w:t xml:space="preserve"> Black</w:t>
      </w:r>
      <w:r w:rsidRPr="002605F8">
        <w:rPr>
          <w:lang w:val="en-GB"/>
        </w:rPr>
        <w:t xml:space="preserve"> Sea Region </w:t>
      </w:r>
    </w:p>
    <w:tbl>
      <w:tblPr>
        <w:tblW w:w="5500" w:type="dxa"/>
        <w:tblInd w:w="2124" w:type="dxa"/>
        <w:tblLayout w:type="fixed"/>
        <w:tblLook w:val="04A0" w:firstRow="1" w:lastRow="0" w:firstColumn="1" w:lastColumn="0" w:noHBand="0" w:noVBand="1"/>
      </w:tblPr>
      <w:tblGrid>
        <w:gridCol w:w="976"/>
        <w:gridCol w:w="2262"/>
        <w:gridCol w:w="2262"/>
      </w:tblGrid>
      <w:tr w:rsidR="004E3D5A" w:rsidRPr="00C83DEA" w14:paraId="3BBB22A4" w14:textId="77777777" w:rsidTr="004E3D5A">
        <w:trPr>
          <w:trHeight w:val="300"/>
        </w:trPr>
        <w:tc>
          <w:tcPr>
            <w:tcW w:w="976" w:type="dxa"/>
            <w:tcBorders>
              <w:top w:val="single" w:sz="4" w:space="0" w:color="auto"/>
              <w:bottom w:val="single" w:sz="4" w:space="0" w:color="auto"/>
            </w:tcBorders>
            <w:shd w:val="clear" w:color="auto" w:fill="0079A3"/>
            <w:noWrap/>
            <w:hideMark/>
          </w:tcPr>
          <w:p w14:paraId="29A00D7F" w14:textId="77777777" w:rsidR="004E3D5A" w:rsidRPr="009640CB" w:rsidRDefault="004E3D5A" w:rsidP="004E3D5A">
            <w:pPr>
              <w:spacing w:after="0" w:line="240" w:lineRule="auto"/>
              <w:jc w:val="center"/>
              <w:rPr>
                <w:rFonts w:cs="Arial"/>
                <w:b/>
                <w:color w:val="FFFFFF" w:themeColor="background1"/>
                <w:lang w:val="en-GB" w:eastAsia="fr-BE"/>
              </w:rPr>
            </w:pPr>
            <w:r w:rsidRPr="009640CB">
              <w:rPr>
                <w:rFonts w:cs="Arial"/>
                <w:b/>
                <w:color w:val="FFFFFF" w:themeColor="background1"/>
                <w:lang w:val="en-GB" w:eastAsia="fr-BE"/>
              </w:rPr>
              <w:t>Score</w:t>
            </w:r>
          </w:p>
        </w:tc>
        <w:tc>
          <w:tcPr>
            <w:tcW w:w="2262" w:type="dxa"/>
            <w:tcBorders>
              <w:top w:val="single" w:sz="4" w:space="0" w:color="auto"/>
              <w:bottom w:val="single" w:sz="4" w:space="0" w:color="auto"/>
            </w:tcBorders>
            <w:shd w:val="clear" w:color="auto" w:fill="0079A3"/>
          </w:tcPr>
          <w:p w14:paraId="4B268CA1" w14:textId="47EADBBF" w:rsidR="004E3D5A" w:rsidRPr="009640CB" w:rsidRDefault="004E3D5A" w:rsidP="004E3D5A">
            <w:pPr>
              <w:spacing w:after="0" w:line="240" w:lineRule="auto"/>
              <w:jc w:val="center"/>
              <w:rPr>
                <w:rFonts w:cs="Arial"/>
                <w:b/>
                <w:color w:val="FFFFFF" w:themeColor="background1"/>
                <w:lang w:val="en-GB" w:eastAsia="fr-BE"/>
              </w:rPr>
            </w:pPr>
            <w:r>
              <w:rPr>
                <w:rFonts w:cs="Arial"/>
                <w:b/>
                <w:color w:val="FFFFFF" w:themeColor="background1"/>
                <w:lang w:val="en-GB" w:eastAsia="fr-BE"/>
              </w:rPr>
              <w:t xml:space="preserve">Cost </w:t>
            </w:r>
            <w:proofErr w:type="spellStart"/>
            <w:r>
              <w:rPr>
                <w:rFonts w:cs="Arial"/>
                <w:b/>
                <w:color w:val="FFFFFF" w:themeColor="background1"/>
                <w:lang w:val="en-GB" w:eastAsia="fr-BE"/>
              </w:rPr>
              <w:t>categorie</w:t>
            </w:r>
            <w:proofErr w:type="spellEnd"/>
          </w:p>
        </w:tc>
        <w:tc>
          <w:tcPr>
            <w:tcW w:w="2262" w:type="dxa"/>
            <w:tcBorders>
              <w:top w:val="single" w:sz="4" w:space="0" w:color="auto"/>
              <w:bottom w:val="single" w:sz="4" w:space="0" w:color="auto"/>
            </w:tcBorders>
            <w:shd w:val="clear" w:color="auto" w:fill="0079A3"/>
          </w:tcPr>
          <w:p w14:paraId="7C329640" w14:textId="269AA198" w:rsidR="004E3D5A" w:rsidRPr="009640CB" w:rsidRDefault="004E3D5A" w:rsidP="004E3D5A">
            <w:pPr>
              <w:spacing w:after="0" w:line="240" w:lineRule="auto"/>
              <w:jc w:val="center"/>
              <w:rPr>
                <w:rFonts w:cs="Arial"/>
                <w:b/>
                <w:color w:val="FFFFFF" w:themeColor="background1"/>
                <w:lang w:val="en-GB" w:eastAsia="fr-BE"/>
              </w:rPr>
            </w:pPr>
            <w:r>
              <w:rPr>
                <w:rFonts w:cs="Arial"/>
                <w:b/>
                <w:color w:val="FFFFFF" w:themeColor="background1"/>
                <w:lang w:val="en-GB" w:eastAsia="fr-BE"/>
              </w:rPr>
              <w:t>T</w:t>
            </w:r>
            <w:r w:rsidRPr="009640CB">
              <w:rPr>
                <w:rFonts w:cs="Arial"/>
                <w:b/>
                <w:color w:val="FFFFFF" w:themeColor="background1"/>
                <w:lang w:val="en-GB" w:eastAsia="fr-BE"/>
              </w:rPr>
              <w:t>otal cost</w:t>
            </w:r>
            <w:r>
              <w:rPr>
                <w:rFonts w:cs="Arial"/>
                <w:b/>
                <w:color w:val="FFFFFF" w:themeColor="background1"/>
                <w:lang w:val="en-GB" w:eastAsia="fr-BE"/>
              </w:rPr>
              <w:t>s</w:t>
            </w:r>
          </w:p>
        </w:tc>
      </w:tr>
      <w:tr w:rsidR="004E3D5A" w:rsidRPr="00C83DEA" w14:paraId="7AF0D471" w14:textId="77777777" w:rsidTr="004E3D5A">
        <w:trPr>
          <w:trHeight w:val="300"/>
        </w:trPr>
        <w:tc>
          <w:tcPr>
            <w:tcW w:w="976" w:type="dxa"/>
            <w:tcBorders>
              <w:bottom w:val="single" w:sz="4" w:space="0" w:color="auto"/>
            </w:tcBorders>
            <w:shd w:val="clear" w:color="auto" w:fill="FF0000"/>
            <w:noWrap/>
            <w:hideMark/>
          </w:tcPr>
          <w:p w14:paraId="152CBE21" w14:textId="0186ACAA" w:rsidR="004E3D5A" w:rsidRPr="004E3D5A" w:rsidRDefault="004E3D5A" w:rsidP="004E3D5A">
            <w:pPr>
              <w:spacing w:after="0" w:line="240" w:lineRule="auto"/>
              <w:jc w:val="center"/>
              <w:rPr>
                <w:rFonts w:cs="Arial"/>
                <w:color w:val="000000"/>
                <w:lang w:val="en-GB" w:eastAsia="fr-BE"/>
              </w:rPr>
            </w:pPr>
            <w:r w:rsidRPr="004E3D5A">
              <w:rPr>
                <w:rFonts w:cs="Arial"/>
                <w:color w:val="000000"/>
                <w:lang w:val="en-GB" w:eastAsia="fr-BE"/>
              </w:rPr>
              <w:t>1</w:t>
            </w:r>
          </w:p>
        </w:tc>
        <w:tc>
          <w:tcPr>
            <w:tcW w:w="2262" w:type="dxa"/>
            <w:tcBorders>
              <w:bottom w:val="single" w:sz="4" w:space="0" w:color="auto"/>
            </w:tcBorders>
            <w:shd w:val="clear" w:color="auto" w:fill="FF0000"/>
          </w:tcPr>
          <w:p w14:paraId="5D55BC6E" w14:textId="52045B2D" w:rsidR="004E3D5A" w:rsidRPr="004E3D5A" w:rsidRDefault="004E3D5A" w:rsidP="004E3D5A">
            <w:pPr>
              <w:spacing w:after="0" w:line="240" w:lineRule="auto"/>
              <w:jc w:val="center"/>
              <w:rPr>
                <w:rFonts w:cs="Arial"/>
                <w:color w:val="000000"/>
                <w:lang w:val="en-GB" w:eastAsia="fr-BE"/>
              </w:rPr>
            </w:pPr>
            <w:r w:rsidRPr="004E3D5A">
              <w:rPr>
                <w:rFonts w:cs="Arial"/>
                <w:color w:val="000000"/>
                <w:lang w:val="en-GB" w:eastAsia="fr-BE"/>
              </w:rPr>
              <w:t>High</w:t>
            </w:r>
          </w:p>
        </w:tc>
        <w:tc>
          <w:tcPr>
            <w:tcW w:w="2262" w:type="dxa"/>
            <w:tcBorders>
              <w:bottom w:val="single" w:sz="4" w:space="0" w:color="auto"/>
            </w:tcBorders>
            <w:shd w:val="clear" w:color="auto" w:fill="FF0000"/>
          </w:tcPr>
          <w:p w14:paraId="7086B594" w14:textId="20EDC971" w:rsidR="004E3D5A" w:rsidRPr="004E3D5A" w:rsidRDefault="004E3D5A" w:rsidP="004E3D5A">
            <w:pPr>
              <w:spacing w:after="0" w:line="240" w:lineRule="auto"/>
              <w:jc w:val="right"/>
              <w:rPr>
                <w:rFonts w:cs="Arial"/>
                <w:color w:val="000000"/>
                <w:lang w:val="en-GB" w:eastAsia="fr-BE"/>
              </w:rPr>
            </w:pPr>
            <w:r w:rsidRPr="004E3D5A">
              <w:rPr>
                <w:rFonts w:cs="Arial"/>
                <w:color w:val="000000"/>
                <w:lang w:val="en-GB" w:eastAsia="fr-BE"/>
              </w:rPr>
              <w:t xml:space="preserve">&gt; </w:t>
            </w:r>
            <w:r w:rsidRPr="004E3D5A">
              <w:rPr>
                <w:lang w:val="en-GB"/>
              </w:rPr>
              <w:t xml:space="preserve">€ </w:t>
            </w:r>
            <w:r w:rsidRPr="004E3D5A">
              <w:rPr>
                <w:rFonts w:cs="Arial"/>
                <w:color w:val="000000"/>
                <w:lang w:val="en-GB" w:eastAsia="fr-BE"/>
              </w:rPr>
              <w:t>1 million</w:t>
            </w:r>
          </w:p>
        </w:tc>
      </w:tr>
      <w:tr w:rsidR="004E3D5A" w:rsidRPr="00C83DEA" w14:paraId="6CBE086C" w14:textId="77777777" w:rsidTr="004E3D5A">
        <w:trPr>
          <w:trHeight w:val="300"/>
        </w:trPr>
        <w:tc>
          <w:tcPr>
            <w:tcW w:w="976" w:type="dxa"/>
            <w:tcBorders>
              <w:bottom w:val="single" w:sz="4" w:space="0" w:color="auto"/>
            </w:tcBorders>
            <w:shd w:val="clear" w:color="auto" w:fill="FF9933"/>
            <w:noWrap/>
            <w:hideMark/>
          </w:tcPr>
          <w:p w14:paraId="0412DFA0" w14:textId="77777777" w:rsidR="004E3D5A" w:rsidRPr="00A03A5E" w:rsidRDefault="004E3D5A" w:rsidP="004E3D5A">
            <w:pPr>
              <w:spacing w:after="0" w:line="240" w:lineRule="auto"/>
              <w:jc w:val="center"/>
              <w:rPr>
                <w:rFonts w:cs="Arial"/>
                <w:color w:val="000000"/>
                <w:lang w:val="en-GB" w:eastAsia="fr-BE"/>
              </w:rPr>
            </w:pPr>
            <w:r w:rsidRPr="00A03A5E">
              <w:rPr>
                <w:rFonts w:cs="Arial"/>
                <w:color w:val="000000"/>
                <w:lang w:val="en-GB" w:eastAsia="fr-BE"/>
              </w:rPr>
              <w:t>2</w:t>
            </w:r>
          </w:p>
        </w:tc>
        <w:tc>
          <w:tcPr>
            <w:tcW w:w="2262" w:type="dxa"/>
            <w:tcBorders>
              <w:bottom w:val="single" w:sz="4" w:space="0" w:color="auto"/>
            </w:tcBorders>
            <w:shd w:val="clear" w:color="auto" w:fill="FF9933"/>
          </w:tcPr>
          <w:p w14:paraId="2A3A285E" w14:textId="702F18DA" w:rsidR="004E3D5A" w:rsidRPr="00A03A5E" w:rsidRDefault="004E3D5A" w:rsidP="004E3D5A">
            <w:pPr>
              <w:spacing w:after="0" w:line="240" w:lineRule="auto"/>
              <w:jc w:val="center"/>
              <w:rPr>
                <w:lang w:val="en-GB"/>
              </w:rPr>
            </w:pPr>
            <w:r>
              <w:rPr>
                <w:lang w:val="en-GB"/>
              </w:rPr>
              <w:t>High</w:t>
            </w:r>
          </w:p>
        </w:tc>
        <w:tc>
          <w:tcPr>
            <w:tcW w:w="2262" w:type="dxa"/>
            <w:tcBorders>
              <w:bottom w:val="single" w:sz="4" w:space="0" w:color="auto"/>
            </w:tcBorders>
            <w:shd w:val="clear" w:color="auto" w:fill="FF9933"/>
          </w:tcPr>
          <w:p w14:paraId="6319B83E" w14:textId="3D2AB3A2" w:rsidR="004E3D5A" w:rsidRPr="00A03A5E" w:rsidRDefault="004E3D5A" w:rsidP="004E3D5A">
            <w:pPr>
              <w:spacing w:after="0" w:line="240" w:lineRule="auto"/>
              <w:jc w:val="right"/>
              <w:rPr>
                <w:rFonts w:cs="Arial"/>
                <w:color w:val="000000"/>
                <w:lang w:val="en-GB" w:eastAsia="fr-BE"/>
              </w:rPr>
            </w:pPr>
            <w:r w:rsidRPr="00A03A5E">
              <w:rPr>
                <w:lang w:val="en-GB"/>
              </w:rPr>
              <w:t xml:space="preserve">€ </w:t>
            </w:r>
            <w:r>
              <w:rPr>
                <w:lang w:val="en-GB"/>
              </w:rPr>
              <w:t>500.</w:t>
            </w:r>
            <w:r w:rsidRPr="00A03A5E">
              <w:rPr>
                <w:rFonts w:cs="Arial"/>
                <w:color w:val="000000"/>
                <w:lang w:val="en-GB" w:eastAsia="fr-BE"/>
              </w:rPr>
              <w:t>000 - 1 million</w:t>
            </w:r>
          </w:p>
        </w:tc>
      </w:tr>
      <w:tr w:rsidR="004E3D5A" w:rsidRPr="00C83DEA" w14:paraId="52B421EF" w14:textId="77777777" w:rsidTr="004E3D5A">
        <w:trPr>
          <w:trHeight w:val="300"/>
        </w:trPr>
        <w:tc>
          <w:tcPr>
            <w:tcW w:w="976" w:type="dxa"/>
            <w:tcBorders>
              <w:bottom w:val="single" w:sz="4" w:space="0" w:color="auto"/>
            </w:tcBorders>
            <w:shd w:val="clear" w:color="auto" w:fill="FFFF00"/>
            <w:noWrap/>
            <w:hideMark/>
          </w:tcPr>
          <w:p w14:paraId="515618A3" w14:textId="77777777" w:rsidR="004E3D5A" w:rsidRPr="00C83DEA" w:rsidRDefault="004E3D5A" w:rsidP="004E3D5A">
            <w:pPr>
              <w:spacing w:after="0" w:line="240" w:lineRule="auto"/>
              <w:jc w:val="center"/>
              <w:rPr>
                <w:rFonts w:cs="Arial"/>
                <w:color w:val="000000"/>
                <w:lang w:val="en-GB" w:eastAsia="fr-BE"/>
              </w:rPr>
            </w:pPr>
            <w:r w:rsidRPr="00C83DEA">
              <w:rPr>
                <w:rFonts w:cs="Arial"/>
                <w:color w:val="000000"/>
                <w:lang w:val="en-GB" w:eastAsia="fr-BE"/>
              </w:rPr>
              <w:t>3</w:t>
            </w:r>
          </w:p>
        </w:tc>
        <w:tc>
          <w:tcPr>
            <w:tcW w:w="2262" w:type="dxa"/>
            <w:tcBorders>
              <w:bottom w:val="single" w:sz="4" w:space="0" w:color="auto"/>
            </w:tcBorders>
            <w:shd w:val="clear" w:color="auto" w:fill="FFFF00"/>
          </w:tcPr>
          <w:p w14:paraId="5F541CDC" w14:textId="44E07A16" w:rsidR="004E3D5A" w:rsidRPr="00C704BF" w:rsidRDefault="004E3D5A" w:rsidP="004E3D5A">
            <w:pPr>
              <w:spacing w:after="0" w:line="240" w:lineRule="auto"/>
              <w:jc w:val="center"/>
              <w:rPr>
                <w:lang w:val="en-GB"/>
              </w:rPr>
            </w:pPr>
            <w:r>
              <w:rPr>
                <w:lang w:val="en-GB"/>
              </w:rPr>
              <w:t xml:space="preserve">Moderate </w:t>
            </w:r>
          </w:p>
        </w:tc>
        <w:tc>
          <w:tcPr>
            <w:tcW w:w="2262" w:type="dxa"/>
            <w:tcBorders>
              <w:bottom w:val="single" w:sz="4" w:space="0" w:color="auto"/>
            </w:tcBorders>
            <w:shd w:val="clear" w:color="auto" w:fill="FFFF00"/>
          </w:tcPr>
          <w:p w14:paraId="6EFBF35D" w14:textId="142B61D0" w:rsidR="004E3D5A" w:rsidRPr="002572AC" w:rsidRDefault="004E3D5A" w:rsidP="004E3D5A">
            <w:pPr>
              <w:spacing w:after="0" w:line="240" w:lineRule="auto"/>
              <w:jc w:val="right"/>
              <w:rPr>
                <w:rFonts w:cs="Arial"/>
                <w:color w:val="000000"/>
                <w:lang w:val="en-GB" w:eastAsia="fr-BE"/>
              </w:rPr>
            </w:pPr>
            <w:r w:rsidRPr="00C704BF">
              <w:rPr>
                <w:lang w:val="en-GB"/>
              </w:rPr>
              <w:t xml:space="preserve">€ </w:t>
            </w:r>
            <w:r>
              <w:rPr>
                <w:lang w:val="en-GB"/>
              </w:rPr>
              <w:t>200.</w:t>
            </w:r>
            <w:r w:rsidRPr="00C704BF">
              <w:rPr>
                <w:rFonts w:cs="Arial"/>
                <w:color w:val="000000"/>
                <w:lang w:val="en-GB" w:eastAsia="fr-BE"/>
              </w:rPr>
              <w:t xml:space="preserve">000 - </w:t>
            </w:r>
            <w:r>
              <w:rPr>
                <w:rFonts w:cs="Arial"/>
                <w:color w:val="000000"/>
                <w:lang w:val="en-GB" w:eastAsia="fr-BE"/>
              </w:rPr>
              <w:t>500.</w:t>
            </w:r>
            <w:r w:rsidRPr="002572AC">
              <w:rPr>
                <w:rFonts w:cs="Arial"/>
                <w:color w:val="000000"/>
                <w:lang w:val="en-GB" w:eastAsia="fr-BE"/>
              </w:rPr>
              <w:t>000</w:t>
            </w:r>
          </w:p>
        </w:tc>
      </w:tr>
      <w:tr w:rsidR="004E3D5A" w:rsidRPr="00C83DEA" w14:paraId="2AF7C159" w14:textId="77777777" w:rsidTr="004E3D5A">
        <w:trPr>
          <w:trHeight w:val="300"/>
        </w:trPr>
        <w:tc>
          <w:tcPr>
            <w:tcW w:w="976" w:type="dxa"/>
            <w:tcBorders>
              <w:bottom w:val="single" w:sz="4" w:space="0" w:color="auto"/>
            </w:tcBorders>
            <w:shd w:val="clear" w:color="auto" w:fill="92D050"/>
            <w:noWrap/>
            <w:hideMark/>
          </w:tcPr>
          <w:p w14:paraId="63869E12" w14:textId="77777777" w:rsidR="004E3D5A" w:rsidRPr="00C83DEA" w:rsidRDefault="004E3D5A" w:rsidP="004E3D5A">
            <w:pPr>
              <w:spacing w:after="0" w:line="240" w:lineRule="auto"/>
              <w:jc w:val="center"/>
              <w:rPr>
                <w:rFonts w:cs="Arial"/>
                <w:color w:val="000000"/>
                <w:lang w:val="en-GB" w:eastAsia="fr-BE"/>
              </w:rPr>
            </w:pPr>
            <w:r w:rsidRPr="00C83DEA">
              <w:rPr>
                <w:rFonts w:cs="Arial"/>
                <w:color w:val="000000"/>
                <w:lang w:val="en-GB" w:eastAsia="fr-BE"/>
              </w:rPr>
              <w:t>4</w:t>
            </w:r>
          </w:p>
        </w:tc>
        <w:tc>
          <w:tcPr>
            <w:tcW w:w="2262" w:type="dxa"/>
            <w:tcBorders>
              <w:bottom w:val="single" w:sz="4" w:space="0" w:color="auto"/>
            </w:tcBorders>
            <w:shd w:val="clear" w:color="auto" w:fill="92D050"/>
          </w:tcPr>
          <w:p w14:paraId="220E7F86" w14:textId="658AE450" w:rsidR="004E3D5A" w:rsidRPr="00C704BF" w:rsidRDefault="004E3D5A" w:rsidP="004E3D5A">
            <w:pPr>
              <w:spacing w:after="0" w:line="240" w:lineRule="auto"/>
              <w:jc w:val="center"/>
              <w:rPr>
                <w:lang w:val="en-GB"/>
              </w:rPr>
            </w:pPr>
            <w:r>
              <w:rPr>
                <w:lang w:val="en-GB"/>
              </w:rPr>
              <w:t>Moderate</w:t>
            </w:r>
          </w:p>
        </w:tc>
        <w:tc>
          <w:tcPr>
            <w:tcW w:w="2262" w:type="dxa"/>
            <w:tcBorders>
              <w:bottom w:val="single" w:sz="4" w:space="0" w:color="auto"/>
            </w:tcBorders>
            <w:shd w:val="clear" w:color="auto" w:fill="92D050"/>
          </w:tcPr>
          <w:p w14:paraId="3E6B06FC" w14:textId="38E41BE2" w:rsidR="004E3D5A" w:rsidRPr="002572AC" w:rsidRDefault="004E3D5A" w:rsidP="004E3D5A">
            <w:pPr>
              <w:spacing w:after="0" w:line="240" w:lineRule="auto"/>
              <w:jc w:val="right"/>
              <w:rPr>
                <w:rFonts w:cs="Arial"/>
                <w:color w:val="000000"/>
                <w:lang w:val="en-GB" w:eastAsia="fr-BE"/>
              </w:rPr>
            </w:pPr>
            <w:r w:rsidRPr="00C704BF">
              <w:rPr>
                <w:lang w:val="en-GB"/>
              </w:rPr>
              <w:t xml:space="preserve">€ </w:t>
            </w:r>
            <w:r>
              <w:rPr>
                <w:lang w:val="en-GB"/>
              </w:rPr>
              <w:t>50.</w:t>
            </w:r>
            <w:r w:rsidRPr="00C704BF">
              <w:rPr>
                <w:rFonts w:cs="Arial"/>
                <w:color w:val="000000"/>
                <w:lang w:val="en-GB" w:eastAsia="fr-BE"/>
              </w:rPr>
              <w:t xml:space="preserve">000 - </w:t>
            </w:r>
            <w:r>
              <w:rPr>
                <w:rFonts w:cs="Arial"/>
                <w:color w:val="000000"/>
                <w:lang w:val="en-GB" w:eastAsia="fr-BE"/>
              </w:rPr>
              <w:t>200.</w:t>
            </w:r>
            <w:r w:rsidRPr="002572AC">
              <w:rPr>
                <w:rFonts w:cs="Arial"/>
                <w:color w:val="000000"/>
                <w:lang w:val="en-GB" w:eastAsia="fr-BE"/>
              </w:rPr>
              <w:t>000</w:t>
            </w:r>
          </w:p>
        </w:tc>
      </w:tr>
      <w:tr w:rsidR="004E3D5A" w:rsidRPr="00C83DEA" w14:paraId="50909170" w14:textId="77777777" w:rsidTr="004E3D5A">
        <w:trPr>
          <w:trHeight w:val="58"/>
        </w:trPr>
        <w:tc>
          <w:tcPr>
            <w:tcW w:w="976" w:type="dxa"/>
            <w:shd w:val="clear" w:color="auto" w:fill="00B050"/>
            <w:noWrap/>
            <w:hideMark/>
          </w:tcPr>
          <w:p w14:paraId="7DC137F7" w14:textId="77777777" w:rsidR="004E3D5A" w:rsidRPr="00C83DEA" w:rsidRDefault="004E3D5A" w:rsidP="004E3D5A">
            <w:pPr>
              <w:spacing w:after="0" w:line="240" w:lineRule="auto"/>
              <w:jc w:val="center"/>
              <w:rPr>
                <w:rFonts w:cs="Arial"/>
                <w:color w:val="000000"/>
                <w:lang w:val="en-GB" w:eastAsia="fr-BE"/>
              </w:rPr>
            </w:pPr>
            <w:r w:rsidRPr="00C83DEA">
              <w:rPr>
                <w:rFonts w:cs="Arial"/>
                <w:color w:val="000000"/>
                <w:lang w:val="en-GB" w:eastAsia="fr-BE"/>
              </w:rPr>
              <w:t>5</w:t>
            </w:r>
          </w:p>
        </w:tc>
        <w:tc>
          <w:tcPr>
            <w:tcW w:w="2262" w:type="dxa"/>
            <w:shd w:val="clear" w:color="auto" w:fill="00B050"/>
          </w:tcPr>
          <w:p w14:paraId="0A7079ED" w14:textId="56E0CE7B" w:rsidR="004E3D5A" w:rsidRPr="00C704BF" w:rsidRDefault="004E3D5A" w:rsidP="004E3D5A">
            <w:pPr>
              <w:spacing w:after="0" w:line="240" w:lineRule="auto"/>
              <w:jc w:val="center"/>
              <w:rPr>
                <w:rFonts w:cs="Arial"/>
                <w:color w:val="000000"/>
                <w:lang w:val="en-GB" w:eastAsia="fr-BE"/>
              </w:rPr>
            </w:pPr>
            <w:r>
              <w:rPr>
                <w:rFonts w:cs="Arial"/>
                <w:color w:val="000000"/>
                <w:lang w:val="en-GB" w:eastAsia="fr-BE"/>
              </w:rPr>
              <w:t>Low</w:t>
            </w:r>
          </w:p>
        </w:tc>
        <w:tc>
          <w:tcPr>
            <w:tcW w:w="2262" w:type="dxa"/>
            <w:shd w:val="clear" w:color="auto" w:fill="00B050"/>
          </w:tcPr>
          <w:p w14:paraId="788CE741" w14:textId="213F0A07" w:rsidR="004E3D5A" w:rsidRPr="002572AC" w:rsidRDefault="004E3D5A" w:rsidP="004E3D5A">
            <w:pPr>
              <w:spacing w:after="0" w:line="240" w:lineRule="auto"/>
              <w:jc w:val="right"/>
              <w:rPr>
                <w:rFonts w:cs="Arial"/>
                <w:color w:val="000000"/>
                <w:lang w:val="en-GB" w:eastAsia="fr-BE"/>
              </w:rPr>
            </w:pPr>
            <w:r w:rsidRPr="00C704BF">
              <w:rPr>
                <w:rFonts w:cs="Arial"/>
                <w:color w:val="000000"/>
                <w:lang w:val="en-GB" w:eastAsia="fr-BE"/>
              </w:rPr>
              <w:t xml:space="preserve">&lt; </w:t>
            </w:r>
            <w:r w:rsidRPr="00C704BF">
              <w:rPr>
                <w:lang w:val="en-GB"/>
              </w:rPr>
              <w:t xml:space="preserve">€ </w:t>
            </w:r>
            <w:r>
              <w:rPr>
                <w:rFonts w:cs="Arial"/>
                <w:color w:val="000000"/>
                <w:lang w:val="en-GB" w:eastAsia="fr-BE"/>
              </w:rPr>
              <w:t>50.</w:t>
            </w:r>
            <w:r w:rsidRPr="002572AC">
              <w:rPr>
                <w:rFonts w:cs="Arial"/>
                <w:color w:val="000000"/>
                <w:lang w:val="en-GB" w:eastAsia="fr-BE"/>
              </w:rPr>
              <w:t>000</w:t>
            </w:r>
          </w:p>
        </w:tc>
      </w:tr>
    </w:tbl>
    <w:p w14:paraId="36A9C2B9" w14:textId="77777777" w:rsidR="004E3D5A" w:rsidRPr="002605F8" w:rsidRDefault="004E3D5A" w:rsidP="005D21D3">
      <w:pPr>
        <w:pStyle w:val="OpsommingSymbool"/>
        <w:numPr>
          <w:ilvl w:val="0"/>
          <w:numId w:val="0"/>
        </w:numPr>
        <w:ind w:left="2268"/>
        <w:rPr>
          <w:lang w:val="en-GB"/>
        </w:rPr>
      </w:pPr>
    </w:p>
    <w:p w14:paraId="2748A50A" w14:textId="12BBEF6C" w:rsidR="009A45A0" w:rsidRPr="00812FEA" w:rsidRDefault="004E3D5A" w:rsidP="00982A6C">
      <w:pPr>
        <w:pStyle w:val="Kop3"/>
        <w:rPr>
          <w:lang w:val="en-GB"/>
        </w:rPr>
      </w:pPr>
      <w:r w:rsidRPr="00812FEA">
        <w:rPr>
          <w:lang w:val="en-GB"/>
        </w:rPr>
        <w:br w:type="page"/>
      </w:r>
    </w:p>
    <w:p w14:paraId="447F5DB0" w14:textId="1C65CDE5" w:rsidR="005C25EA" w:rsidRPr="002605F8" w:rsidRDefault="005C25EA" w:rsidP="005C25EA">
      <w:pPr>
        <w:pStyle w:val="Kop1"/>
        <w:numPr>
          <w:ilvl w:val="0"/>
          <w:numId w:val="2"/>
        </w:numPr>
        <w:rPr>
          <w:lang w:val="en-GB"/>
        </w:rPr>
      </w:pPr>
      <w:r w:rsidRPr="002605F8">
        <w:rPr>
          <w:lang w:val="en-GB"/>
        </w:rPr>
        <w:lastRenderedPageBreak/>
        <w:t>Benefit assessment</w:t>
      </w:r>
    </w:p>
    <w:p w14:paraId="6539FAAF" w14:textId="77777777" w:rsidR="005C25EA" w:rsidRPr="002605F8" w:rsidRDefault="005C25EA" w:rsidP="005C25EA">
      <w:pPr>
        <w:pStyle w:val="Kop2"/>
        <w:numPr>
          <w:ilvl w:val="1"/>
          <w:numId w:val="2"/>
        </w:numPr>
        <w:rPr>
          <w:lang w:val="en-GB"/>
        </w:rPr>
      </w:pPr>
      <w:r w:rsidRPr="002605F8">
        <w:rPr>
          <w:lang w:val="en-GB"/>
        </w:rPr>
        <w:t>Proposed approach</w:t>
      </w:r>
    </w:p>
    <w:p w14:paraId="7C52EBEE" w14:textId="77777777" w:rsidR="005C25EA" w:rsidRPr="002605F8" w:rsidRDefault="005C25EA" w:rsidP="005C25EA">
      <w:pPr>
        <w:pStyle w:val="ARCADISStandaard"/>
        <w:rPr>
          <w:lang w:val="en-GB"/>
        </w:rPr>
      </w:pPr>
      <w:r w:rsidRPr="002605F8">
        <w:rPr>
          <w:lang w:val="en-GB"/>
        </w:rPr>
        <w:t>To be able to carry out a CBA (cost benefit analysis) there is a need to assess the benefits. For each measure information is needed on:</w:t>
      </w:r>
    </w:p>
    <w:p w14:paraId="1431F9EE" w14:textId="7943EFA1" w:rsidR="005C25EA" w:rsidRPr="002605F8" w:rsidRDefault="004C78E5" w:rsidP="00AC41A1">
      <w:pPr>
        <w:pStyle w:val="ARCADISStandaard"/>
        <w:numPr>
          <w:ilvl w:val="0"/>
          <w:numId w:val="15"/>
        </w:numPr>
        <w:rPr>
          <w:lang w:val="en-GB"/>
        </w:rPr>
      </w:pPr>
      <w:r>
        <w:rPr>
          <w:lang w:val="en-GB"/>
        </w:rPr>
        <w:t>T</w:t>
      </w:r>
      <w:r w:rsidR="005C25EA" w:rsidRPr="002605F8">
        <w:rPr>
          <w:lang w:val="en-GB"/>
        </w:rPr>
        <w:t>he challenge (the gap between the status and the GES) that the measure is target at – is it small, medium, large? As the measures will cause a marginal change to the status, knowledge on the gap is needed to assess the potential benefits of the specific m</w:t>
      </w:r>
      <w:r>
        <w:rPr>
          <w:lang w:val="en-GB"/>
        </w:rPr>
        <w:t>easure (with belonging actions).</w:t>
      </w:r>
    </w:p>
    <w:p w14:paraId="5C4DEBA9" w14:textId="2884069B" w:rsidR="005C25EA" w:rsidRPr="002605F8" w:rsidRDefault="004C78E5" w:rsidP="00AC41A1">
      <w:pPr>
        <w:pStyle w:val="ARCADISStandaard"/>
        <w:numPr>
          <w:ilvl w:val="0"/>
          <w:numId w:val="15"/>
        </w:numPr>
        <w:rPr>
          <w:lang w:val="en-GB"/>
        </w:rPr>
      </w:pPr>
      <w:r>
        <w:rPr>
          <w:lang w:val="en-GB"/>
        </w:rPr>
        <w:t>T</w:t>
      </w:r>
      <w:r w:rsidR="005C25EA" w:rsidRPr="002605F8">
        <w:rPr>
          <w:lang w:val="en-GB"/>
        </w:rPr>
        <w:t>he impact of the measure towards the environment and the society. What are the impacts caused by the implementation of the measure in the short and long run?</w:t>
      </w:r>
    </w:p>
    <w:p w14:paraId="3456A82F" w14:textId="105CCA19" w:rsidR="005C25EA" w:rsidRPr="002605F8" w:rsidRDefault="004C78E5" w:rsidP="00AC41A1">
      <w:pPr>
        <w:pStyle w:val="ARCADISStandaard"/>
        <w:numPr>
          <w:ilvl w:val="0"/>
          <w:numId w:val="15"/>
        </w:numPr>
        <w:rPr>
          <w:lang w:val="en-GB"/>
        </w:rPr>
      </w:pPr>
      <w:r>
        <w:rPr>
          <w:lang w:val="en-GB"/>
        </w:rPr>
        <w:t>T</w:t>
      </w:r>
      <w:r w:rsidR="005C25EA" w:rsidRPr="002605F8">
        <w:rPr>
          <w:lang w:val="en-GB"/>
        </w:rPr>
        <w:t>he importance of the measure (towards environmental/society). Does it represent a high value? Either for use / non-use, a specific sector, prioritized policy? Which co benefits can be identified related to the specific measures? Are there positive or negative spill over due to the implementation of the measure?</w:t>
      </w:r>
    </w:p>
    <w:p w14:paraId="7B7EDB3A" w14:textId="77777777" w:rsidR="005C25EA" w:rsidRPr="002605F8" w:rsidRDefault="005C25EA" w:rsidP="005C25EA">
      <w:pPr>
        <w:pStyle w:val="ARCADISStandaard"/>
        <w:ind w:left="2421"/>
        <w:rPr>
          <w:lang w:val="en-GB"/>
        </w:rPr>
      </w:pPr>
      <w:r w:rsidRPr="002605F8">
        <w:rPr>
          <w:lang w:val="en-GB"/>
        </w:rPr>
        <w:t>Monetary valuation estimates will allow to translate the physical impacts into monetary terms (if enough data is available for a monetary CBA)</w:t>
      </w:r>
    </w:p>
    <w:p w14:paraId="4CAD3D33" w14:textId="714F0042" w:rsidR="005C25EA" w:rsidRPr="002605F8" w:rsidRDefault="004C78E5" w:rsidP="00AC41A1">
      <w:pPr>
        <w:pStyle w:val="ARCADISStandaard"/>
        <w:numPr>
          <w:ilvl w:val="0"/>
          <w:numId w:val="15"/>
        </w:numPr>
        <w:rPr>
          <w:lang w:val="en-GB"/>
        </w:rPr>
      </w:pPr>
      <w:r>
        <w:rPr>
          <w:lang w:val="en-GB"/>
        </w:rPr>
        <w:t>S</w:t>
      </w:r>
      <w:r w:rsidR="005C25EA" w:rsidRPr="002605F8">
        <w:rPr>
          <w:lang w:val="en-GB"/>
        </w:rPr>
        <w:t>takeholder acceptance (potential for realizing the full benefit of the measure). This information is also relevant to assess the effectiveness of the measure and informs the discussion of the probability that the measure will be effectively implemented and, consequently, the full benefits included. E.g. if measures are assessed ex ante, the potential benefits are likely to be higher than the benefits monitored later.</w:t>
      </w:r>
      <w:r w:rsidR="005C25EA" w:rsidRPr="002605F8">
        <w:rPr>
          <w:rStyle w:val="Verwijzingopmerking"/>
          <w:lang w:val="en-GB"/>
        </w:rPr>
        <w:t xml:space="preserve"> </w:t>
      </w:r>
    </w:p>
    <w:p w14:paraId="2D11B48E" w14:textId="77777777" w:rsidR="005C25EA" w:rsidRPr="002605F8" w:rsidRDefault="005C25EA" w:rsidP="005C25EA">
      <w:pPr>
        <w:pStyle w:val="ARCADISStandaard"/>
        <w:ind w:left="2421"/>
        <w:rPr>
          <w:lang w:val="en-GB"/>
        </w:rPr>
      </w:pPr>
    </w:p>
    <w:p w14:paraId="1B487C10" w14:textId="1DA33FBE" w:rsidR="005C25EA" w:rsidRPr="002605F8" w:rsidRDefault="005C25EA" w:rsidP="005C25EA">
      <w:pPr>
        <w:pStyle w:val="ARCADISStandaard"/>
        <w:rPr>
          <w:lang w:val="en-GB"/>
        </w:rPr>
      </w:pPr>
      <w:r w:rsidRPr="002605F8">
        <w:rPr>
          <w:lang w:val="en-GB"/>
        </w:rPr>
        <w:t xml:space="preserve">The benefits are to be described in qualitative terms and they will be assessed by scoring the time scale and the benefits over the </w:t>
      </w:r>
      <w:r w:rsidR="004C78E5" w:rsidRPr="002605F8">
        <w:rPr>
          <w:lang w:val="en-GB"/>
        </w:rPr>
        <w:t>analysed</w:t>
      </w:r>
      <w:r w:rsidRPr="002605F8">
        <w:rPr>
          <w:lang w:val="en-GB"/>
        </w:rPr>
        <w:t xml:space="preserve"> time period. </w:t>
      </w:r>
    </w:p>
    <w:p w14:paraId="46CC286F" w14:textId="77777777" w:rsidR="005C25EA" w:rsidRPr="002605F8" w:rsidRDefault="005C25EA" w:rsidP="005C25EA">
      <w:pPr>
        <w:pStyle w:val="OpsommingSymbool"/>
        <w:rPr>
          <w:lang w:val="en-GB"/>
        </w:rPr>
      </w:pPr>
      <w:r w:rsidRPr="002605F8">
        <w:rPr>
          <w:lang w:val="en-GB"/>
        </w:rPr>
        <w:t xml:space="preserve">The time scale is scored as: </w:t>
      </w:r>
    </w:p>
    <w:p w14:paraId="21381420" w14:textId="77777777" w:rsidR="005C25EA" w:rsidRPr="002605F8" w:rsidRDefault="005C25EA" w:rsidP="00AC41A1">
      <w:pPr>
        <w:pStyle w:val="OpsommingSymbool"/>
        <w:numPr>
          <w:ilvl w:val="1"/>
          <w:numId w:val="7"/>
        </w:numPr>
        <w:rPr>
          <w:lang w:val="en-GB"/>
        </w:rPr>
      </w:pPr>
      <w:r w:rsidRPr="002605F8">
        <w:rPr>
          <w:lang w:val="en-GB"/>
        </w:rPr>
        <w:t>1 long</w:t>
      </w:r>
    </w:p>
    <w:p w14:paraId="7F68D561" w14:textId="77777777" w:rsidR="005C25EA" w:rsidRPr="002605F8" w:rsidRDefault="005C25EA" w:rsidP="00AC41A1">
      <w:pPr>
        <w:pStyle w:val="OpsommingSymbool"/>
        <w:numPr>
          <w:ilvl w:val="1"/>
          <w:numId w:val="7"/>
        </w:numPr>
        <w:rPr>
          <w:lang w:val="en-GB"/>
        </w:rPr>
      </w:pPr>
      <w:r w:rsidRPr="002605F8">
        <w:rPr>
          <w:lang w:val="en-GB"/>
        </w:rPr>
        <w:t>3 intermediate</w:t>
      </w:r>
    </w:p>
    <w:p w14:paraId="73CEEE8F" w14:textId="77777777" w:rsidR="005C25EA" w:rsidRPr="002605F8" w:rsidRDefault="005C25EA" w:rsidP="00AC41A1">
      <w:pPr>
        <w:pStyle w:val="OpsommingSymbool"/>
        <w:numPr>
          <w:ilvl w:val="1"/>
          <w:numId w:val="7"/>
        </w:numPr>
        <w:rPr>
          <w:lang w:val="en-GB"/>
        </w:rPr>
      </w:pPr>
      <w:r w:rsidRPr="002605F8">
        <w:rPr>
          <w:lang w:val="en-GB"/>
        </w:rPr>
        <w:t>5 short</w:t>
      </w:r>
    </w:p>
    <w:p w14:paraId="1AD11FFC" w14:textId="77777777" w:rsidR="004C78E5" w:rsidRDefault="004C78E5" w:rsidP="005C25EA">
      <w:pPr>
        <w:pStyle w:val="ARCADISStandaard"/>
        <w:rPr>
          <w:lang w:val="en-GB"/>
        </w:rPr>
      </w:pPr>
    </w:p>
    <w:p w14:paraId="64A2DBC2" w14:textId="77777777" w:rsidR="005C25EA" w:rsidRPr="002605F8" w:rsidRDefault="005C25EA" w:rsidP="005C25EA">
      <w:pPr>
        <w:pStyle w:val="ARCADISStandaard"/>
        <w:rPr>
          <w:lang w:val="en-GB"/>
        </w:rPr>
      </w:pPr>
      <w:r w:rsidRPr="002605F8">
        <w:rPr>
          <w:lang w:val="en-GB"/>
        </w:rPr>
        <w:t xml:space="preserve">If a measure is estimated to have a quick positive impact on the marine environment, it gets a high score and when it takes a long time, the score is low. </w:t>
      </w:r>
    </w:p>
    <w:p w14:paraId="56D58C66" w14:textId="77777777" w:rsidR="005C25EA" w:rsidRPr="002605F8" w:rsidRDefault="005C25EA" w:rsidP="005C25EA">
      <w:pPr>
        <w:pStyle w:val="OpsommingSymbool"/>
        <w:rPr>
          <w:lang w:val="en-GB"/>
        </w:rPr>
      </w:pPr>
      <w:r w:rsidRPr="002605F8">
        <w:rPr>
          <w:lang w:val="en-GB"/>
        </w:rPr>
        <w:t>The scoring of the benefits is categorized as follows:</w:t>
      </w:r>
    </w:p>
    <w:p w14:paraId="5978069C" w14:textId="77777777" w:rsidR="005C25EA" w:rsidRPr="002605F8" w:rsidRDefault="005C25EA" w:rsidP="009F0649">
      <w:pPr>
        <w:pStyle w:val="OpsommingSymbool"/>
        <w:numPr>
          <w:ilvl w:val="1"/>
          <w:numId w:val="7"/>
        </w:numPr>
        <w:rPr>
          <w:lang w:val="en-GB"/>
        </w:rPr>
      </w:pPr>
      <w:r w:rsidRPr="002605F8">
        <w:rPr>
          <w:lang w:val="en-GB"/>
        </w:rPr>
        <w:t xml:space="preserve">1 low </w:t>
      </w:r>
    </w:p>
    <w:p w14:paraId="6CA27B8A" w14:textId="77777777" w:rsidR="005C25EA" w:rsidRPr="002605F8" w:rsidRDefault="005C25EA" w:rsidP="009F0649">
      <w:pPr>
        <w:pStyle w:val="OpsommingSymbool"/>
        <w:numPr>
          <w:ilvl w:val="1"/>
          <w:numId w:val="7"/>
        </w:numPr>
        <w:rPr>
          <w:lang w:val="en-GB"/>
        </w:rPr>
      </w:pPr>
      <w:r w:rsidRPr="002605F8">
        <w:rPr>
          <w:lang w:val="en-GB"/>
        </w:rPr>
        <w:t>3 medium</w:t>
      </w:r>
    </w:p>
    <w:p w14:paraId="306A5A6A" w14:textId="77777777" w:rsidR="005C25EA" w:rsidRPr="002605F8" w:rsidRDefault="005C25EA" w:rsidP="009F0649">
      <w:pPr>
        <w:pStyle w:val="OpsommingSymbool"/>
        <w:numPr>
          <w:ilvl w:val="1"/>
          <w:numId w:val="7"/>
        </w:numPr>
        <w:rPr>
          <w:lang w:val="en-GB"/>
        </w:rPr>
      </w:pPr>
      <w:r w:rsidRPr="002605F8">
        <w:rPr>
          <w:lang w:val="en-GB"/>
        </w:rPr>
        <w:t>5 high</w:t>
      </w:r>
    </w:p>
    <w:p w14:paraId="7B1B62F4" w14:textId="77777777" w:rsidR="005C25EA" w:rsidRPr="002605F8" w:rsidRDefault="005C25EA" w:rsidP="005C25EA">
      <w:pPr>
        <w:pStyle w:val="ARCADISStandaard"/>
        <w:rPr>
          <w:lang w:val="en-GB"/>
        </w:rPr>
      </w:pPr>
      <w:r w:rsidRPr="002605F8">
        <w:rPr>
          <w:lang w:val="en-GB"/>
        </w:rPr>
        <w:t xml:space="preserve">This general scoring is based on the qualitative description of the measure and the type of actions taken to implement the measures. </w:t>
      </w:r>
    </w:p>
    <w:p w14:paraId="64B031A9" w14:textId="77777777" w:rsidR="005C25EA" w:rsidRPr="002605F8" w:rsidRDefault="005C25EA" w:rsidP="005C25EA">
      <w:pPr>
        <w:pStyle w:val="ARCADISStandaard"/>
        <w:rPr>
          <w:lang w:val="en-GB"/>
        </w:rPr>
      </w:pPr>
    </w:p>
    <w:p w14:paraId="566E0685" w14:textId="77777777" w:rsidR="005C25EA" w:rsidRPr="002605F8" w:rsidRDefault="005C25EA" w:rsidP="005C25EA">
      <w:pPr>
        <w:pStyle w:val="ARCADISStandaard"/>
        <w:rPr>
          <w:lang w:val="en-GB"/>
        </w:rPr>
      </w:pPr>
      <w:r w:rsidRPr="002605F8">
        <w:rPr>
          <w:lang w:val="en-GB"/>
        </w:rPr>
        <w:t xml:space="preserve">Based on the two scores, a </w:t>
      </w:r>
      <w:r w:rsidR="0088037F" w:rsidRPr="002605F8">
        <w:rPr>
          <w:lang w:val="en-GB"/>
        </w:rPr>
        <w:t>weighted</w:t>
      </w:r>
      <w:r w:rsidRPr="002605F8">
        <w:rPr>
          <w:lang w:val="en-GB"/>
        </w:rPr>
        <w:t xml:space="preserve"> average is calculated and used as a total benefit score, to be used in the C/B ratio calculation. </w:t>
      </w:r>
    </w:p>
    <w:p w14:paraId="55FD0C42" w14:textId="77777777" w:rsidR="005C25EA" w:rsidRPr="002605F8" w:rsidRDefault="005C25EA" w:rsidP="005C25EA">
      <w:pPr>
        <w:pStyle w:val="ARCADISStandaard"/>
        <w:rPr>
          <w:lang w:val="en-GB"/>
        </w:rPr>
      </w:pPr>
    </w:p>
    <w:p w14:paraId="1E296007" w14:textId="77777777" w:rsidR="005C25EA" w:rsidRPr="002605F8" w:rsidRDefault="005C25EA" w:rsidP="005C25EA">
      <w:pPr>
        <w:pStyle w:val="Kop2"/>
        <w:numPr>
          <w:ilvl w:val="1"/>
          <w:numId w:val="2"/>
        </w:numPr>
        <w:rPr>
          <w:lang w:val="en-GB"/>
        </w:rPr>
      </w:pPr>
      <w:r w:rsidRPr="002605F8">
        <w:rPr>
          <w:lang w:val="en-GB"/>
        </w:rPr>
        <w:lastRenderedPageBreak/>
        <w:t>Interpretation of the results</w:t>
      </w:r>
    </w:p>
    <w:p w14:paraId="3455B633" w14:textId="77777777" w:rsidR="005C25EA" w:rsidRPr="002605F8" w:rsidRDefault="005C25EA" w:rsidP="005C25EA">
      <w:pPr>
        <w:pStyle w:val="ARCADISStandaard"/>
        <w:rPr>
          <w:b/>
          <w:lang w:val="en-GB"/>
        </w:rPr>
      </w:pPr>
      <w:r w:rsidRPr="002605F8">
        <w:rPr>
          <w:b/>
          <w:lang w:val="en-GB"/>
        </w:rPr>
        <w:t>Time period in the frame of Cost Benefit analysis</w:t>
      </w:r>
    </w:p>
    <w:p w14:paraId="573B8B35" w14:textId="77777777" w:rsidR="005C25EA" w:rsidRPr="002605F8" w:rsidRDefault="005C25EA" w:rsidP="005C25EA">
      <w:pPr>
        <w:pStyle w:val="ARCADISStandaard"/>
        <w:rPr>
          <w:lang w:val="en-GB"/>
        </w:rPr>
      </w:pPr>
      <w:r w:rsidRPr="002605F8">
        <w:rPr>
          <w:lang w:val="en-GB"/>
        </w:rPr>
        <w:t xml:space="preserve">The costs and benefits of the options for GES targets are compared to the baseline scenario. Costs and benefits are recommended to be assessed over a timescale of </w:t>
      </w:r>
      <w:r w:rsidRPr="002605F8">
        <w:rPr>
          <w:u w:val="single"/>
          <w:lang w:val="en-GB"/>
        </w:rPr>
        <w:t>20 or 30 years</w:t>
      </w:r>
      <w:r w:rsidRPr="002605F8">
        <w:rPr>
          <w:lang w:val="en-GB"/>
        </w:rPr>
        <w:t xml:space="preserve">. It provides a sufficiently long period over which environmental benefits may arise and the MSFD measures may be implemented. Assessment of the impacts beyond this recommended time period becomes more uncertain. However, the analysis assumes that all the environmental benefits accrue within this time period. In reality benefits are likely to be realised over a longer time horizon. </w:t>
      </w:r>
    </w:p>
    <w:p w14:paraId="22585170" w14:textId="77777777" w:rsidR="005C25EA" w:rsidRPr="002605F8" w:rsidRDefault="005C25EA" w:rsidP="005C25EA">
      <w:pPr>
        <w:pStyle w:val="ARCADISStandaard"/>
        <w:rPr>
          <w:lang w:val="en-GB"/>
        </w:rPr>
      </w:pPr>
    </w:p>
    <w:p w14:paraId="3138FFB8" w14:textId="77777777" w:rsidR="005C25EA" w:rsidRPr="002605F8" w:rsidRDefault="005C25EA" w:rsidP="005C25EA">
      <w:pPr>
        <w:pStyle w:val="ARCADISStandaard"/>
        <w:rPr>
          <w:b/>
          <w:lang w:val="en-GB"/>
        </w:rPr>
      </w:pPr>
      <w:r w:rsidRPr="002605F8">
        <w:rPr>
          <w:b/>
          <w:lang w:val="en-GB"/>
        </w:rPr>
        <w:t>Discount rate</w:t>
      </w:r>
    </w:p>
    <w:p w14:paraId="72B6FB00" w14:textId="77777777" w:rsidR="005C25EA" w:rsidRPr="002605F8" w:rsidRDefault="005C25EA" w:rsidP="005C25EA">
      <w:pPr>
        <w:pStyle w:val="ARCADISStandaard"/>
        <w:rPr>
          <w:lang w:val="en-GB"/>
        </w:rPr>
      </w:pPr>
      <w:r w:rsidRPr="002605F8">
        <w:rPr>
          <w:lang w:val="en-GB"/>
        </w:rPr>
        <w:t>Costs and benefits are calculated over the period using a discount rate of 4%, conform the EC Impact Assessment Guidelines (2009).</w:t>
      </w:r>
    </w:p>
    <w:p w14:paraId="70C821F0" w14:textId="77777777" w:rsidR="005C25EA" w:rsidRPr="002605F8" w:rsidRDefault="005C25EA" w:rsidP="005C25EA">
      <w:pPr>
        <w:pStyle w:val="ARCADISStandaard"/>
        <w:rPr>
          <w:lang w:val="en-GB"/>
        </w:rPr>
      </w:pPr>
    </w:p>
    <w:p w14:paraId="48CAE69A" w14:textId="77777777" w:rsidR="005C25EA" w:rsidRPr="002605F8" w:rsidRDefault="005C25EA" w:rsidP="005C25EA">
      <w:pPr>
        <w:pStyle w:val="ARCADISStandaard"/>
        <w:rPr>
          <w:b/>
          <w:lang w:val="en-GB"/>
        </w:rPr>
      </w:pPr>
      <w:r w:rsidRPr="002605F8">
        <w:rPr>
          <w:b/>
          <w:lang w:val="en-GB"/>
        </w:rPr>
        <w:t>Approach to assign certainty</w:t>
      </w:r>
    </w:p>
    <w:p w14:paraId="4EDCAAEB" w14:textId="77777777" w:rsidR="00812FEA" w:rsidRDefault="005C25EA" w:rsidP="005C25EA">
      <w:pPr>
        <w:pStyle w:val="ARCADISStandaard"/>
        <w:rPr>
          <w:lang w:val="en-GB"/>
        </w:rPr>
      </w:pPr>
      <w:r w:rsidRPr="002605F8">
        <w:rPr>
          <w:lang w:val="en-GB"/>
        </w:rPr>
        <w:t>In order to include uncertainty, it is recommended to assess benefits within a wide range (minimum and maximum values) due to scientific uncertainty and to work with both a pessimistic and optimistic scenario. Also, the sources of uncertainty within the analysis should be identified, and the analysis should test the assumptions used in order to reflect some of this uncertainty.</w:t>
      </w:r>
    </w:p>
    <w:p w14:paraId="4C750684" w14:textId="77777777" w:rsidR="00812FEA" w:rsidRDefault="00812FEA" w:rsidP="005C25EA">
      <w:pPr>
        <w:pStyle w:val="ARCADISStandaard"/>
        <w:rPr>
          <w:lang w:val="en-GB"/>
        </w:rPr>
      </w:pPr>
    </w:p>
    <w:p w14:paraId="42E46767" w14:textId="77777777" w:rsidR="00812FEA" w:rsidRDefault="00812FEA">
      <w:pPr>
        <w:spacing w:before="0" w:after="200" w:line="276" w:lineRule="auto"/>
        <w:rPr>
          <w:rFonts w:cs="Arial"/>
          <w:b/>
          <w:bCs/>
          <w:color w:val="0079A2"/>
          <w:kern w:val="32"/>
          <w:sz w:val="28"/>
          <w:szCs w:val="32"/>
          <w:lang w:val="en-GB"/>
        </w:rPr>
      </w:pPr>
      <w:r>
        <w:rPr>
          <w:lang w:val="en-GB"/>
        </w:rPr>
        <w:br w:type="page"/>
      </w:r>
    </w:p>
    <w:p w14:paraId="5B9F0760" w14:textId="726C617A" w:rsidR="00746E24" w:rsidRPr="002605F8" w:rsidRDefault="00746E24" w:rsidP="00746E24">
      <w:pPr>
        <w:pStyle w:val="Kop1"/>
        <w:rPr>
          <w:lang w:val="en-GB"/>
        </w:rPr>
      </w:pPr>
      <w:r w:rsidRPr="002605F8">
        <w:rPr>
          <w:lang w:val="en-GB"/>
        </w:rPr>
        <w:lastRenderedPageBreak/>
        <w:t>Relevant literature</w:t>
      </w:r>
    </w:p>
    <w:p w14:paraId="7EEAE622" w14:textId="77777777" w:rsidR="00442871" w:rsidRPr="002605F8" w:rsidRDefault="00442871" w:rsidP="00746E24">
      <w:pPr>
        <w:pStyle w:val="ARCADISStandaard"/>
        <w:rPr>
          <w:lang w:val="en-GB"/>
        </w:rPr>
      </w:pPr>
      <w:proofErr w:type="spellStart"/>
      <w:r w:rsidRPr="002605F8">
        <w:rPr>
          <w:lang w:val="en-GB"/>
        </w:rPr>
        <w:t>Arcadis</w:t>
      </w:r>
      <w:proofErr w:type="spellEnd"/>
      <w:r w:rsidRPr="002605F8">
        <w:rPr>
          <w:lang w:val="en-GB"/>
        </w:rPr>
        <w:t>, Bath University, EUCC (2012a). Economic assessment of policy measures for the implementation of the MSFD. Final report of a study for the EC DG ENV (Project No 11601).</w:t>
      </w:r>
    </w:p>
    <w:p w14:paraId="148B94A6" w14:textId="77777777" w:rsidR="00442871" w:rsidRPr="002605F8" w:rsidRDefault="00442871" w:rsidP="00442871">
      <w:pPr>
        <w:tabs>
          <w:tab w:val="left" w:pos="1418"/>
        </w:tabs>
        <w:ind w:left="1985"/>
        <w:rPr>
          <w:rFonts w:eastAsia="Calibri" w:cs="Times New Roman"/>
          <w:sz w:val="18"/>
          <w:lang w:val="en-GB"/>
        </w:rPr>
      </w:pPr>
    </w:p>
    <w:p w14:paraId="49D2662B" w14:textId="77777777" w:rsidR="00442871" w:rsidRPr="002605F8" w:rsidRDefault="00442871" w:rsidP="00442871">
      <w:pPr>
        <w:pStyle w:val="ARCADISStandaard"/>
        <w:rPr>
          <w:lang w:val="en-GB"/>
        </w:rPr>
      </w:pPr>
      <w:r w:rsidRPr="002605F8">
        <w:rPr>
          <w:lang w:val="en-GB"/>
        </w:rPr>
        <w:t>DEFRA.(2011). Impact Assessment of MSFD – targets and indicators for Good Environmental Status. Department for Environment, Food and Rural Affairs. London</w:t>
      </w:r>
    </w:p>
    <w:p w14:paraId="27A64C80" w14:textId="77777777" w:rsidR="00442871" w:rsidRPr="002605F8" w:rsidRDefault="00442871" w:rsidP="00746E24">
      <w:pPr>
        <w:pStyle w:val="ARCADISStandaard"/>
        <w:rPr>
          <w:lang w:val="en-GB"/>
        </w:rPr>
      </w:pPr>
    </w:p>
    <w:p w14:paraId="31D18BEA" w14:textId="77777777" w:rsidR="00442871" w:rsidRPr="002605F8" w:rsidRDefault="00442871" w:rsidP="00442871">
      <w:pPr>
        <w:pStyle w:val="ARCADISStandaard"/>
        <w:rPr>
          <w:lang w:val="en-GB"/>
        </w:rPr>
      </w:pPr>
      <w:r w:rsidRPr="002605F8">
        <w:rPr>
          <w:lang w:val="en-GB"/>
        </w:rPr>
        <w:t>DHV (2011). Measures for the Marine Strategy Framework Directive. First overview of potential measures, related costs and effects of implementing the Marine strategy</w:t>
      </w:r>
    </w:p>
    <w:p w14:paraId="4EF15970" w14:textId="77777777" w:rsidR="00442871" w:rsidRPr="002605F8" w:rsidRDefault="00442871" w:rsidP="00442871">
      <w:pPr>
        <w:pStyle w:val="ARCADISStandaard"/>
        <w:rPr>
          <w:lang w:val="en-GB"/>
        </w:rPr>
      </w:pPr>
    </w:p>
    <w:p w14:paraId="1C00F7D4" w14:textId="77777777" w:rsidR="00442871" w:rsidRPr="002605F8" w:rsidRDefault="00442871" w:rsidP="00442871">
      <w:pPr>
        <w:pStyle w:val="ARCADISStandaard"/>
        <w:rPr>
          <w:lang w:val="en-GB"/>
        </w:rPr>
      </w:pPr>
      <w:r w:rsidRPr="002605F8">
        <w:rPr>
          <w:lang w:val="en-GB"/>
        </w:rPr>
        <w:t xml:space="preserve">European Commission. (2009). Impact assessment guidelines. Available online: </w:t>
      </w:r>
      <w:hyperlink r:id="rId9" w:history="1">
        <w:r w:rsidR="003D65E7" w:rsidRPr="002605F8">
          <w:rPr>
            <w:rStyle w:val="Hyperlink"/>
            <w:lang w:val="en-GB"/>
          </w:rPr>
          <w:t>http://ec.europa.eu/smart-regulation/impact/commission_guidelines/docs/iag_2009_en.pdf</w:t>
        </w:r>
      </w:hyperlink>
      <w:r w:rsidR="003D65E7" w:rsidRPr="002605F8">
        <w:rPr>
          <w:lang w:val="en-GB"/>
        </w:rPr>
        <w:t xml:space="preserve">. </w:t>
      </w:r>
    </w:p>
    <w:p w14:paraId="6C304732" w14:textId="77777777" w:rsidR="00442871" w:rsidRPr="002605F8" w:rsidRDefault="00442871" w:rsidP="00746E24">
      <w:pPr>
        <w:pStyle w:val="ARCADISStandaard"/>
        <w:rPr>
          <w:lang w:val="en-GB"/>
        </w:rPr>
      </w:pPr>
    </w:p>
    <w:p w14:paraId="13283870" w14:textId="77777777" w:rsidR="00746E24" w:rsidRPr="002605F8" w:rsidRDefault="00746E24" w:rsidP="00746E24">
      <w:pPr>
        <w:pStyle w:val="ARCADISStandaard"/>
        <w:rPr>
          <w:lang w:val="en-GB"/>
        </w:rPr>
      </w:pPr>
      <w:r w:rsidRPr="002605F8">
        <w:rPr>
          <w:lang w:val="en-GB"/>
        </w:rPr>
        <w:t>Finding Sanctuary, Irish Seas Conservation Zones, Net Gain and Balanced Seas. 2012. Impact Assessment materials in support of the Regional Marine Conservation Zone Projects' Recommendations.</w:t>
      </w:r>
      <w:r w:rsidRPr="002605F8">
        <w:rPr>
          <w:lang w:val="en-GB"/>
        </w:rPr>
        <w:tab/>
      </w:r>
      <w:r w:rsidRPr="002605F8">
        <w:rPr>
          <w:lang w:val="en-GB"/>
        </w:rPr>
        <w:tab/>
      </w:r>
      <w:r w:rsidRPr="002605F8">
        <w:rPr>
          <w:lang w:val="en-GB"/>
        </w:rPr>
        <w:tab/>
      </w:r>
      <w:r w:rsidRPr="002605F8">
        <w:rPr>
          <w:lang w:val="en-GB"/>
        </w:rPr>
        <w:tab/>
      </w:r>
    </w:p>
    <w:p w14:paraId="0909CA20" w14:textId="77777777" w:rsidR="00442871" w:rsidRPr="002605F8" w:rsidRDefault="00442871" w:rsidP="00442871">
      <w:pPr>
        <w:pStyle w:val="ARCADISStandaard"/>
        <w:rPr>
          <w:lang w:val="en-GB"/>
        </w:rPr>
      </w:pPr>
    </w:p>
    <w:p w14:paraId="579BF242" w14:textId="77777777" w:rsidR="00442871" w:rsidRPr="002605F8" w:rsidRDefault="00442871" w:rsidP="00442871">
      <w:pPr>
        <w:pStyle w:val="ARCADISStandaard"/>
        <w:rPr>
          <w:lang w:val="en-GB"/>
        </w:rPr>
      </w:pPr>
      <w:proofErr w:type="spellStart"/>
      <w:r w:rsidRPr="002605F8">
        <w:rPr>
          <w:lang w:val="en-GB"/>
        </w:rPr>
        <w:t>Halkos</w:t>
      </w:r>
      <w:proofErr w:type="spellEnd"/>
      <w:r w:rsidRPr="002605F8">
        <w:rPr>
          <w:lang w:val="en-GB"/>
        </w:rPr>
        <w:t>, George (2013): Cost-effectiveness analysis in reducing nutrient loading in Baltic and Black Seas: A review. http://mpra.ub.uni-muenchen.de/52296/</w:t>
      </w:r>
    </w:p>
    <w:p w14:paraId="14A9B681" w14:textId="77777777" w:rsidR="00442871" w:rsidRPr="002605F8" w:rsidRDefault="00442871" w:rsidP="00442871">
      <w:pPr>
        <w:pStyle w:val="ARCADISStandaard"/>
        <w:rPr>
          <w:lang w:val="en-GB"/>
        </w:rPr>
      </w:pPr>
    </w:p>
    <w:p w14:paraId="4DCB3540" w14:textId="0A224DBA" w:rsidR="00442871" w:rsidRPr="002605F8" w:rsidRDefault="00442871" w:rsidP="00442871">
      <w:pPr>
        <w:pStyle w:val="ARCADISStandaard"/>
        <w:rPr>
          <w:lang w:val="en-GB"/>
        </w:rPr>
      </w:pPr>
      <w:r w:rsidRPr="002605F8">
        <w:rPr>
          <w:lang w:val="en-GB"/>
        </w:rPr>
        <w:t xml:space="preserve">Mangos A., </w:t>
      </w:r>
      <w:proofErr w:type="spellStart"/>
      <w:r w:rsidRPr="002605F8">
        <w:rPr>
          <w:lang w:val="en-GB"/>
        </w:rPr>
        <w:t>Claudot</w:t>
      </w:r>
      <w:proofErr w:type="spellEnd"/>
      <w:r w:rsidRPr="002605F8">
        <w:rPr>
          <w:lang w:val="en-GB"/>
        </w:rPr>
        <w:t xml:space="preserve"> M.-A. (2013). Economic study of the impacts of marine and coastal protected areas in the</w:t>
      </w:r>
      <w:r w:rsidR="002719D9">
        <w:rPr>
          <w:lang w:val="en-GB"/>
        </w:rPr>
        <w:t xml:space="preserve"> Black</w:t>
      </w:r>
      <w:r w:rsidRPr="002605F8">
        <w:rPr>
          <w:lang w:val="en-GB"/>
        </w:rPr>
        <w:t xml:space="preserve">. Plan Bleu, </w:t>
      </w:r>
      <w:proofErr w:type="spellStart"/>
      <w:r w:rsidRPr="002605F8">
        <w:rPr>
          <w:lang w:val="en-GB"/>
        </w:rPr>
        <w:t>Valbonne</w:t>
      </w:r>
      <w:proofErr w:type="spellEnd"/>
    </w:p>
    <w:p w14:paraId="07C6AF8C" w14:textId="3A0F1267" w:rsidR="00442871" w:rsidRPr="002605F8" w:rsidRDefault="00442871" w:rsidP="00442871">
      <w:pPr>
        <w:pStyle w:val="ARCADISStandaard"/>
        <w:rPr>
          <w:lang w:val="en-GB"/>
        </w:rPr>
      </w:pPr>
      <w:r w:rsidRPr="002605F8">
        <w:rPr>
          <w:lang w:val="en-GB"/>
        </w:rPr>
        <w:t>MRAG Ltd., IDDRA and LAMANS Management Services S.A. (2013). Costs and benefits arising from the establishment of maritime zones in the</w:t>
      </w:r>
      <w:r w:rsidR="002719D9">
        <w:rPr>
          <w:lang w:val="en-GB"/>
        </w:rPr>
        <w:t xml:space="preserve"> Black</w:t>
      </w:r>
      <w:r w:rsidRPr="002605F8">
        <w:rPr>
          <w:lang w:val="en-GB"/>
        </w:rPr>
        <w:t xml:space="preserve"> Sea</w:t>
      </w:r>
    </w:p>
    <w:p w14:paraId="6C49326C" w14:textId="77777777" w:rsidR="00442871" w:rsidRPr="002605F8" w:rsidRDefault="00442871" w:rsidP="00442871">
      <w:pPr>
        <w:pStyle w:val="ARCADISStandaard"/>
        <w:rPr>
          <w:lang w:val="en-GB"/>
        </w:rPr>
      </w:pPr>
    </w:p>
    <w:p w14:paraId="4F204BA6" w14:textId="77777777" w:rsidR="00442871" w:rsidRPr="002605F8" w:rsidRDefault="00442871" w:rsidP="00442871">
      <w:pPr>
        <w:pStyle w:val="ARCADISStandaard"/>
        <w:rPr>
          <w:lang w:val="en-GB"/>
        </w:rPr>
      </w:pPr>
      <w:r w:rsidRPr="00AC0828">
        <w:t xml:space="preserve">Reinhard, S., A. de </w:t>
      </w:r>
      <w:proofErr w:type="spellStart"/>
      <w:r w:rsidRPr="00AC0828">
        <w:t>Blaeij</w:t>
      </w:r>
      <w:proofErr w:type="spellEnd"/>
      <w:r w:rsidRPr="00AC0828">
        <w:t xml:space="preserve">, M.-J. </w:t>
      </w:r>
      <w:proofErr w:type="spellStart"/>
      <w:r w:rsidRPr="00AC0828">
        <w:t>Bogaardt</w:t>
      </w:r>
      <w:proofErr w:type="spellEnd"/>
      <w:r w:rsidRPr="00AC0828">
        <w:t xml:space="preserve">, A. </w:t>
      </w:r>
      <w:proofErr w:type="spellStart"/>
      <w:r w:rsidRPr="00AC0828">
        <w:t>Gaaff</w:t>
      </w:r>
      <w:proofErr w:type="spellEnd"/>
      <w:r w:rsidRPr="00AC0828">
        <w:t xml:space="preserve">, M. Leopold, M. Scholl, D. </w:t>
      </w:r>
      <w:proofErr w:type="spellStart"/>
      <w:r w:rsidRPr="00AC0828">
        <w:t>Slijkerman</w:t>
      </w:r>
      <w:proofErr w:type="spellEnd"/>
      <w:r w:rsidRPr="00AC0828">
        <w:t xml:space="preserve">, W.-J. </w:t>
      </w:r>
      <w:proofErr w:type="spellStart"/>
      <w:r w:rsidRPr="00AC0828">
        <w:t>Strietman</w:t>
      </w:r>
      <w:proofErr w:type="spellEnd"/>
      <w:r w:rsidRPr="00AC0828">
        <w:t xml:space="preserve"> </w:t>
      </w:r>
      <w:proofErr w:type="spellStart"/>
      <w:r w:rsidRPr="00AC0828">
        <w:t>and</w:t>
      </w:r>
      <w:proofErr w:type="spellEnd"/>
      <w:r w:rsidRPr="00AC0828">
        <w:t xml:space="preserve"> P. van der Wielen (2012). </w:t>
      </w:r>
      <w:r w:rsidRPr="002605F8">
        <w:rPr>
          <w:lang w:val="en-GB"/>
        </w:rPr>
        <w:t>Cost-effectiveness and cost-benefit analysis for the MSFD – Framework for the Netherlands. Lei report.</w:t>
      </w:r>
    </w:p>
    <w:p w14:paraId="2503073B" w14:textId="77777777" w:rsidR="00442871" w:rsidRPr="002605F8" w:rsidRDefault="00442871" w:rsidP="00442871">
      <w:pPr>
        <w:pStyle w:val="ARCADISStandaard"/>
        <w:rPr>
          <w:lang w:val="en-GB"/>
        </w:rPr>
      </w:pPr>
    </w:p>
    <w:p w14:paraId="003939CE" w14:textId="77777777" w:rsidR="00442871" w:rsidRPr="002605F8" w:rsidRDefault="00442871" w:rsidP="00442871">
      <w:pPr>
        <w:pStyle w:val="ARCADISStandaard"/>
        <w:rPr>
          <w:lang w:val="en-GB"/>
        </w:rPr>
      </w:pPr>
      <w:r w:rsidRPr="002605F8">
        <w:rPr>
          <w:lang w:val="en-GB"/>
        </w:rPr>
        <w:t>UNEP/MAP (2013). Background Document on Marine Litter Regional Plan Measures and Indicative Cost Estimation of Measures Implementation</w:t>
      </w:r>
    </w:p>
    <w:p w14:paraId="2E6B3F5F" w14:textId="77777777" w:rsidR="00746E24" w:rsidRPr="002605F8" w:rsidRDefault="00746E24" w:rsidP="00746E24">
      <w:pPr>
        <w:pStyle w:val="ARCADISStandaard"/>
        <w:rPr>
          <w:lang w:val="en-GB"/>
        </w:rPr>
      </w:pPr>
    </w:p>
    <w:p w14:paraId="636AE771" w14:textId="7F309FE4" w:rsidR="00812FEA" w:rsidRDefault="00746E24" w:rsidP="00746E24">
      <w:pPr>
        <w:pStyle w:val="ARCADISStandaard"/>
        <w:rPr>
          <w:lang w:val="en-GB"/>
        </w:rPr>
      </w:pPr>
      <w:r w:rsidRPr="002605F8">
        <w:rPr>
          <w:lang w:val="en-GB"/>
        </w:rPr>
        <w:t>UNEP MAP. (2014). Guidelines for updating National Action Plans for the implementation of the LBS Protocol and its Regional Plans in the framework of SAP MED to achieve Good Environmental Status for pollution related ECAP ecological objectives UNEP(DEPI)/MED WG.404/7 Annex IV (with Appendices)</w:t>
      </w:r>
    </w:p>
    <w:p w14:paraId="3181C05D" w14:textId="77777777" w:rsidR="009970E8" w:rsidRDefault="00812FEA">
      <w:pPr>
        <w:spacing w:before="0" w:after="200" w:line="276" w:lineRule="auto"/>
        <w:rPr>
          <w:lang w:val="en-GB"/>
        </w:rPr>
        <w:sectPr w:rsidR="009970E8" w:rsidSect="00AA0728">
          <w:footerReference w:type="default" r:id="rId10"/>
          <w:pgSz w:w="11906" w:h="16838"/>
          <w:pgMar w:top="1417" w:right="1417" w:bottom="1417" w:left="1417" w:header="708" w:footer="708" w:gutter="0"/>
          <w:cols w:space="708"/>
          <w:docGrid w:linePitch="360"/>
        </w:sectPr>
      </w:pPr>
      <w:r>
        <w:rPr>
          <w:lang w:val="en-GB"/>
        </w:rPr>
        <w:br w:type="page"/>
      </w:r>
    </w:p>
    <w:p w14:paraId="6686B90D" w14:textId="77777777" w:rsidR="00812FEA" w:rsidRPr="002605F8" w:rsidRDefault="00812FEA" w:rsidP="00812FEA">
      <w:pPr>
        <w:pStyle w:val="Samenvattingssubtitel"/>
        <w:rPr>
          <w:lang w:val="en-GB"/>
        </w:rPr>
      </w:pPr>
      <w:r w:rsidRPr="002605F8">
        <w:rPr>
          <w:lang w:val="en-GB"/>
        </w:rPr>
        <w:lastRenderedPageBreak/>
        <w:t>Annex: CEA/CBA Template for (coordinated) measures</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gridCol w:w="2138"/>
      </w:tblGrid>
      <w:tr w:rsidR="00812FEA" w:rsidRPr="002605F8" w14:paraId="1DDD5290" w14:textId="77777777" w:rsidTr="00C86C76">
        <w:trPr>
          <w:cnfStyle w:val="100000000000" w:firstRow="1" w:lastRow="0" w:firstColumn="0" w:lastColumn="0" w:oddVBand="0" w:evenVBand="0" w:oddHBand="0" w:evenHBand="0" w:firstRowFirstColumn="0" w:firstRowLastColumn="0" w:lastRowFirstColumn="0" w:lastRowLastColumn="0"/>
          <w:tblHeader/>
        </w:trPr>
        <w:tc>
          <w:tcPr>
            <w:tcW w:w="2268" w:type="dxa"/>
            <w:shd w:val="clear" w:color="auto" w:fill="1F497D" w:themeFill="text2"/>
          </w:tcPr>
          <w:p w14:paraId="115C96B1" w14:textId="77777777" w:rsidR="00812FEA" w:rsidRPr="002605F8" w:rsidRDefault="00812FEA" w:rsidP="00C86C76">
            <w:pPr>
              <w:rPr>
                <w:sz w:val="18"/>
                <w:szCs w:val="18"/>
                <w:lang w:val="en-GB"/>
              </w:rPr>
            </w:pPr>
            <w:r w:rsidRPr="002605F8">
              <w:rPr>
                <w:sz w:val="18"/>
                <w:szCs w:val="18"/>
                <w:lang w:val="en-GB"/>
              </w:rPr>
              <w:t xml:space="preserve">MEASURE </w:t>
            </w:r>
          </w:p>
        </w:tc>
        <w:tc>
          <w:tcPr>
            <w:tcW w:w="5529" w:type="dxa"/>
            <w:shd w:val="clear" w:color="auto" w:fill="1F497D" w:themeFill="text2"/>
          </w:tcPr>
          <w:p w14:paraId="280DAEF0" w14:textId="77777777" w:rsidR="00812FEA" w:rsidRPr="002605F8" w:rsidRDefault="00812FEA" w:rsidP="00C86C76">
            <w:pPr>
              <w:rPr>
                <w:b w:val="0"/>
                <w:i/>
                <w:sz w:val="18"/>
                <w:szCs w:val="18"/>
                <w:lang w:val="en-GB"/>
              </w:rPr>
            </w:pPr>
            <w:r w:rsidRPr="002605F8">
              <w:rPr>
                <w:i/>
                <w:sz w:val="18"/>
                <w:szCs w:val="18"/>
                <w:lang w:val="en-GB"/>
              </w:rPr>
              <w:t>(Measure title)</w:t>
            </w:r>
          </w:p>
        </w:tc>
        <w:tc>
          <w:tcPr>
            <w:tcW w:w="2138" w:type="dxa"/>
            <w:shd w:val="clear" w:color="auto" w:fill="1F497D" w:themeFill="text2"/>
          </w:tcPr>
          <w:p w14:paraId="2FFCEE3A" w14:textId="77777777" w:rsidR="00812FEA" w:rsidRPr="002605F8" w:rsidRDefault="00812FEA" w:rsidP="00C86C76">
            <w:pPr>
              <w:rPr>
                <w:i/>
                <w:sz w:val="18"/>
                <w:szCs w:val="18"/>
                <w:lang w:val="en-GB"/>
              </w:rPr>
            </w:pPr>
            <w:r w:rsidRPr="002605F8">
              <w:rPr>
                <w:i/>
                <w:sz w:val="18"/>
                <w:szCs w:val="18"/>
                <w:lang w:val="en-GB"/>
              </w:rPr>
              <w:t>Code:</w:t>
            </w:r>
          </w:p>
          <w:p w14:paraId="154BF406" w14:textId="77777777" w:rsidR="00812FEA" w:rsidRPr="002605F8" w:rsidRDefault="00812FEA" w:rsidP="00C86C76">
            <w:pPr>
              <w:rPr>
                <w:i/>
                <w:sz w:val="18"/>
                <w:szCs w:val="18"/>
                <w:lang w:val="en-GB"/>
              </w:rPr>
            </w:pPr>
            <w:r w:rsidRPr="002605F8">
              <w:rPr>
                <w:i/>
                <w:sz w:val="18"/>
                <w:szCs w:val="18"/>
                <w:lang w:val="en-GB"/>
              </w:rPr>
              <w:t>MSFD reporting code</w:t>
            </w:r>
          </w:p>
        </w:tc>
      </w:tr>
      <w:tr w:rsidR="00812FEA" w:rsidRPr="0049591E" w14:paraId="646BF8BE" w14:textId="77777777" w:rsidTr="00C86C76">
        <w:tc>
          <w:tcPr>
            <w:tcW w:w="2268" w:type="dxa"/>
            <w:shd w:val="clear" w:color="auto" w:fill="1F497D" w:themeFill="text2"/>
          </w:tcPr>
          <w:p w14:paraId="4EB5239F" w14:textId="77777777" w:rsidR="00812FEA" w:rsidRPr="002605F8" w:rsidRDefault="00812FEA" w:rsidP="00C86C76">
            <w:pPr>
              <w:rPr>
                <w:sz w:val="18"/>
                <w:szCs w:val="18"/>
                <w:lang w:val="en-GB"/>
              </w:rPr>
            </w:pPr>
          </w:p>
        </w:tc>
        <w:tc>
          <w:tcPr>
            <w:tcW w:w="5529" w:type="dxa"/>
            <w:shd w:val="clear" w:color="auto" w:fill="1F497D" w:themeFill="text2"/>
          </w:tcPr>
          <w:p w14:paraId="16246547" w14:textId="77777777" w:rsidR="00812FEA" w:rsidRPr="002605F8" w:rsidRDefault="00812FEA" w:rsidP="00C86C76">
            <w:pPr>
              <w:rPr>
                <w:i/>
                <w:color w:val="FFFFFF" w:themeColor="background1"/>
                <w:sz w:val="18"/>
                <w:szCs w:val="18"/>
                <w:lang w:val="en-GB"/>
              </w:rPr>
            </w:pPr>
            <w:r w:rsidRPr="002605F8">
              <w:rPr>
                <w:i/>
                <w:color w:val="FFFFFF" w:themeColor="background1"/>
                <w:sz w:val="18"/>
                <w:szCs w:val="18"/>
                <w:lang w:val="en-GB"/>
              </w:rPr>
              <w:t xml:space="preserve">Management area: </w:t>
            </w:r>
          </w:p>
          <w:p w14:paraId="0D4E1875" w14:textId="77777777" w:rsidR="00812FEA" w:rsidRPr="002605F8" w:rsidRDefault="00812FEA" w:rsidP="00C86C76">
            <w:pPr>
              <w:rPr>
                <w:i/>
                <w:color w:val="FFFFFF" w:themeColor="background1"/>
                <w:sz w:val="18"/>
                <w:szCs w:val="18"/>
                <w:lang w:val="en-GB"/>
              </w:rPr>
            </w:pPr>
            <w:r w:rsidRPr="002605F8">
              <w:rPr>
                <w:i/>
                <w:color w:val="FFFFFF" w:themeColor="background1"/>
                <w:sz w:val="18"/>
                <w:szCs w:val="18"/>
                <w:lang w:val="en-GB"/>
              </w:rPr>
              <w:t>Any other codes:</w:t>
            </w:r>
          </w:p>
        </w:tc>
        <w:tc>
          <w:tcPr>
            <w:tcW w:w="2138" w:type="dxa"/>
            <w:shd w:val="clear" w:color="auto" w:fill="1F497D" w:themeFill="text2"/>
          </w:tcPr>
          <w:p w14:paraId="080CF4CF" w14:textId="77777777" w:rsidR="00812FEA" w:rsidRPr="002605F8" w:rsidRDefault="00812FEA" w:rsidP="00C86C76">
            <w:pPr>
              <w:rPr>
                <w:i/>
                <w:color w:val="FFFFFF" w:themeColor="background1"/>
                <w:sz w:val="18"/>
                <w:szCs w:val="18"/>
                <w:lang w:val="en-GB"/>
              </w:rPr>
            </w:pPr>
            <w:r w:rsidRPr="002605F8">
              <w:rPr>
                <w:i/>
                <w:color w:val="FFFFFF" w:themeColor="background1"/>
                <w:sz w:val="18"/>
                <w:szCs w:val="18"/>
                <w:lang w:val="en-GB"/>
              </w:rPr>
              <w:t>N° of measure:</w:t>
            </w:r>
          </w:p>
          <w:p w14:paraId="7418546E" w14:textId="77777777" w:rsidR="00812FEA" w:rsidRPr="002605F8" w:rsidRDefault="00812FEA" w:rsidP="00C86C76">
            <w:pPr>
              <w:rPr>
                <w:i/>
                <w:color w:val="FFFFFF" w:themeColor="background1"/>
                <w:sz w:val="18"/>
                <w:szCs w:val="18"/>
                <w:lang w:val="en-GB"/>
              </w:rPr>
            </w:pPr>
            <w:r w:rsidRPr="002605F8">
              <w:rPr>
                <w:i/>
                <w:color w:val="FFFFFF" w:themeColor="background1"/>
                <w:sz w:val="18"/>
                <w:szCs w:val="18"/>
                <w:lang w:val="en-GB"/>
              </w:rPr>
              <w:t>MSFD measure list</w:t>
            </w:r>
          </w:p>
        </w:tc>
      </w:tr>
      <w:tr w:rsidR="00812FEA" w:rsidRPr="002605F8" w14:paraId="0A9E0D76" w14:textId="77777777" w:rsidTr="00C86C76">
        <w:tc>
          <w:tcPr>
            <w:tcW w:w="2268" w:type="dxa"/>
            <w:shd w:val="clear" w:color="auto" w:fill="4F81BD" w:themeFill="accent1"/>
          </w:tcPr>
          <w:p w14:paraId="1D3289BC" w14:textId="77777777" w:rsidR="00812FEA" w:rsidRPr="002605F8" w:rsidRDefault="00812FEA" w:rsidP="00C86C76">
            <w:pPr>
              <w:rPr>
                <w:b/>
                <w:color w:val="FFFFFF" w:themeColor="background1"/>
                <w:sz w:val="18"/>
                <w:szCs w:val="18"/>
                <w:lang w:val="en-GB"/>
              </w:rPr>
            </w:pPr>
            <w:r w:rsidRPr="002605F8">
              <w:rPr>
                <w:b/>
                <w:color w:val="FFFFFF" w:themeColor="background1"/>
                <w:sz w:val="18"/>
                <w:szCs w:val="18"/>
                <w:lang w:val="en-GB"/>
              </w:rPr>
              <w:t>PART I</w:t>
            </w:r>
          </w:p>
        </w:tc>
        <w:tc>
          <w:tcPr>
            <w:tcW w:w="5529" w:type="dxa"/>
            <w:shd w:val="clear" w:color="auto" w:fill="4F81BD" w:themeFill="accent1"/>
          </w:tcPr>
          <w:p w14:paraId="36DABCAD" w14:textId="77777777" w:rsidR="00812FEA" w:rsidRPr="002605F8" w:rsidRDefault="00812FEA" w:rsidP="00C86C76">
            <w:pPr>
              <w:rPr>
                <w:b/>
                <w:color w:val="FFFFFF" w:themeColor="background1"/>
                <w:sz w:val="18"/>
                <w:szCs w:val="18"/>
                <w:lang w:val="en-GB"/>
              </w:rPr>
            </w:pPr>
            <w:r w:rsidRPr="002605F8">
              <w:rPr>
                <w:b/>
                <w:color w:val="FFFFFF" w:themeColor="background1"/>
                <w:sz w:val="18"/>
                <w:szCs w:val="18"/>
                <w:lang w:val="en-GB"/>
              </w:rPr>
              <w:t>Detailed cost assessment</w:t>
            </w:r>
          </w:p>
        </w:tc>
        <w:tc>
          <w:tcPr>
            <w:tcW w:w="2138" w:type="dxa"/>
            <w:shd w:val="clear" w:color="auto" w:fill="4F81BD" w:themeFill="accent1"/>
          </w:tcPr>
          <w:p w14:paraId="0085085A" w14:textId="77777777" w:rsidR="00812FEA" w:rsidRPr="002605F8" w:rsidRDefault="00812FEA" w:rsidP="00C86C76">
            <w:pPr>
              <w:rPr>
                <w:b/>
                <w:color w:val="FFFFFF" w:themeColor="background1"/>
                <w:sz w:val="18"/>
                <w:szCs w:val="18"/>
                <w:lang w:val="en-GB"/>
              </w:rPr>
            </w:pPr>
          </w:p>
        </w:tc>
      </w:tr>
      <w:tr w:rsidR="00812FEA" w:rsidRPr="0049591E" w14:paraId="348283A7" w14:textId="77777777" w:rsidTr="00C86C76">
        <w:tc>
          <w:tcPr>
            <w:tcW w:w="2268" w:type="dxa"/>
            <w:shd w:val="clear" w:color="auto" w:fill="DBE5F1" w:themeFill="accent1" w:themeFillTint="33"/>
          </w:tcPr>
          <w:p w14:paraId="6C771426" w14:textId="77777777" w:rsidR="00812FEA" w:rsidRPr="002605F8" w:rsidRDefault="00812FEA" w:rsidP="00C86C76">
            <w:pPr>
              <w:rPr>
                <w:b/>
                <w:sz w:val="18"/>
                <w:szCs w:val="18"/>
                <w:lang w:val="en-GB"/>
              </w:rPr>
            </w:pPr>
            <w:r w:rsidRPr="002605F8">
              <w:rPr>
                <w:b/>
                <w:sz w:val="18"/>
                <w:szCs w:val="18"/>
                <w:lang w:val="en-GB"/>
              </w:rPr>
              <w:t>Operational action 1</w:t>
            </w:r>
          </w:p>
        </w:tc>
        <w:tc>
          <w:tcPr>
            <w:tcW w:w="7667" w:type="dxa"/>
            <w:gridSpan w:val="2"/>
            <w:shd w:val="clear" w:color="auto" w:fill="DBE5F1" w:themeFill="accent1" w:themeFillTint="33"/>
          </w:tcPr>
          <w:p w14:paraId="2F4CE88F" w14:textId="77777777" w:rsidR="00812FEA" w:rsidRPr="002605F8" w:rsidRDefault="00812FEA" w:rsidP="00C86C76">
            <w:pPr>
              <w:spacing w:line="240" w:lineRule="auto"/>
              <w:rPr>
                <w:i/>
                <w:sz w:val="18"/>
                <w:szCs w:val="18"/>
                <w:lang w:val="en-GB"/>
              </w:rPr>
            </w:pPr>
            <w:r w:rsidRPr="002605F8">
              <w:rPr>
                <w:i/>
                <w:sz w:val="18"/>
                <w:szCs w:val="18"/>
                <w:lang w:val="en-GB"/>
              </w:rPr>
              <w:t>Short, precise description of the operational actions</w:t>
            </w:r>
          </w:p>
        </w:tc>
      </w:tr>
      <w:tr w:rsidR="00812FEA" w:rsidRPr="002605F8" w14:paraId="1069142C" w14:textId="77777777" w:rsidTr="00C86C76">
        <w:tc>
          <w:tcPr>
            <w:tcW w:w="2268" w:type="dxa"/>
          </w:tcPr>
          <w:p w14:paraId="0E015F02" w14:textId="77777777" w:rsidR="00812FEA" w:rsidRPr="002605F8" w:rsidRDefault="00812FEA" w:rsidP="00C86C76">
            <w:pPr>
              <w:rPr>
                <w:b/>
                <w:color w:val="4F81BD" w:themeColor="accent1"/>
                <w:sz w:val="18"/>
                <w:szCs w:val="18"/>
                <w:lang w:val="en-GB"/>
              </w:rPr>
            </w:pPr>
            <w:r w:rsidRPr="002605F8">
              <w:rPr>
                <w:b/>
                <w:color w:val="4F81BD" w:themeColor="accent1"/>
                <w:sz w:val="18"/>
                <w:szCs w:val="18"/>
                <w:lang w:val="en-GB"/>
              </w:rPr>
              <w:t xml:space="preserve">Assumptions </w:t>
            </w:r>
          </w:p>
        </w:tc>
        <w:tc>
          <w:tcPr>
            <w:tcW w:w="7667" w:type="dxa"/>
            <w:gridSpan w:val="2"/>
          </w:tcPr>
          <w:p w14:paraId="65A69230" w14:textId="77777777" w:rsidR="00812FEA" w:rsidRPr="002605F8" w:rsidRDefault="00812FEA" w:rsidP="00C86C76">
            <w:pPr>
              <w:spacing w:line="240" w:lineRule="auto"/>
              <w:rPr>
                <w:i/>
                <w:sz w:val="18"/>
                <w:szCs w:val="18"/>
                <w:lang w:val="en-GB"/>
              </w:rPr>
            </w:pPr>
            <w:r w:rsidRPr="002605F8">
              <w:rPr>
                <w:i/>
                <w:sz w:val="18"/>
                <w:szCs w:val="18"/>
                <w:lang w:val="en-GB"/>
              </w:rPr>
              <w:t>Summarize the assumptions related to operational action</w:t>
            </w:r>
          </w:p>
          <w:p w14:paraId="424319B3"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XXX</w:t>
            </w:r>
          </w:p>
          <w:p w14:paraId="233DAED6"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XXX</w:t>
            </w:r>
          </w:p>
        </w:tc>
      </w:tr>
      <w:tr w:rsidR="00812FEA" w:rsidRPr="002605F8" w14:paraId="49C88035" w14:textId="77777777" w:rsidTr="00C86C76">
        <w:trPr>
          <w:trHeight w:val="3534"/>
        </w:trPr>
        <w:tc>
          <w:tcPr>
            <w:tcW w:w="2268" w:type="dxa"/>
          </w:tcPr>
          <w:p w14:paraId="2A3799F4" w14:textId="77777777" w:rsidR="00812FEA" w:rsidRPr="002605F8" w:rsidRDefault="00812FEA" w:rsidP="00C86C76">
            <w:pPr>
              <w:rPr>
                <w:b/>
                <w:color w:val="4F81BD" w:themeColor="accent1"/>
                <w:sz w:val="18"/>
                <w:szCs w:val="18"/>
                <w:lang w:val="en-GB"/>
              </w:rPr>
            </w:pPr>
            <w:r w:rsidRPr="002605F8">
              <w:rPr>
                <w:b/>
                <w:color w:val="4F81BD" w:themeColor="accent1"/>
                <w:sz w:val="18"/>
                <w:szCs w:val="18"/>
                <w:lang w:val="en-GB"/>
              </w:rPr>
              <w:t>Cost components</w:t>
            </w:r>
          </w:p>
        </w:tc>
        <w:tc>
          <w:tcPr>
            <w:tcW w:w="7667" w:type="dxa"/>
            <w:gridSpan w:val="2"/>
          </w:tcPr>
          <w:p w14:paraId="3219E16F"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Implementation costs for a law, regulation, …</w:t>
            </w:r>
          </w:p>
          <w:tbl>
            <w:tblPr>
              <w:tblW w:w="5000" w:type="pct"/>
              <w:tblLook w:val="04A0" w:firstRow="1" w:lastRow="0" w:firstColumn="1" w:lastColumn="0" w:noHBand="0" w:noVBand="1"/>
            </w:tblPr>
            <w:tblGrid>
              <w:gridCol w:w="2660"/>
              <w:gridCol w:w="1118"/>
              <w:gridCol w:w="1232"/>
              <w:gridCol w:w="1211"/>
              <w:gridCol w:w="1220"/>
            </w:tblGrid>
            <w:tr w:rsidR="00812FEA" w:rsidRPr="002605F8" w14:paraId="2356ED52" w14:textId="77777777" w:rsidTr="00C86C76">
              <w:trPr>
                <w:trHeight w:val="624"/>
              </w:trPr>
              <w:tc>
                <w:tcPr>
                  <w:tcW w:w="1787" w:type="pct"/>
                  <w:tcBorders>
                    <w:top w:val="single" w:sz="4" w:space="0" w:color="auto"/>
                    <w:left w:val="single" w:sz="4" w:space="0" w:color="auto"/>
                    <w:bottom w:val="single" w:sz="4" w:space="0" w:color="auto"/>
                    <w:right w:val="single" w:sz="4" w:space="0" w:color="auto"/>
                  </w:tcBorders>
                  <w:shd w:val="clear" w:color="000000" w:fill="D8D8D8"/>
                  <w:hideMark/>
                </w:tcPr>
                <w:p w14:paraId="25EA3738"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xml:space="preserve">Actions required </w:t>
                  </w:r>
                </w:p>
              </w:tc>
              <w:tc>
                <w:tcPr>
                  <w:tcW w:w="751" w:type="pct"/>
                  <w:tcBorders>
                    <w:top w:val="single" w:sz="4" w:space="0" w:color="auto"/>
                    <w:left w:val="nil"/>
                    <w:bottom w:val="single" w:sz="4" w:space="0" w:color="auto"/>
                    <w:right w:val="single" w:sz="4" w:space="0" w:color="auto"/>
                  </w:tcBorders>
                  <w:shd w:val="clear" w:color="000000" w:fill="D8D8D8"/>
                  <w:hideMark/>
                </w:tcPr>
                <w:p w14:paraId="2555154B"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xml:space="preserve">Estimated </w:t>
                  </w:r>
                  <w:proofErr w:type="spellStart"/>
                  <w:r w:rsidRPr="002605F8">
                    <w:rPr>
                      <w:rFonts w:eastAsia="Times New Roman" w:cs="Arial"/>
                      <w:b/>
                      <w:bCs/>
                      <w:color w:val="000000"/>
                      <w:sz w:val="18"/>
                      <w:szCs w:val="18"/>
                      <w:lang w:val="en-GB"/>
                    </w:rPr>
                    <w:t>nr</w:t>
                  </w:r>
                  <w:proofErr w:type="spellEnd"/>
                  <w:r w:rsidRPr="002605F8">
                    <w:rPr>
                      <w:rFonts w:eastAsia="Times New Roman" w:cs="Arial"/>
                      <w:b/>
                      <w:bCs/>
                      <w:color w:val="000000"/>
                      <w:sz w:val="18"/>
                      <w:szCs w:val="18"/>
                      <w:lang w:val="en-GB"/>
                    </w:rPr>
                    <w:t xml:space="preserve"> of days</w:t>
                  </w:r>
                </w:p>
              </w:tc>
              <w:tc>
                <w:tcPr>
                  <w:tcW w:w="828" w:type="pct"/>
                  <w:tcBorders>
                    <w:top w:val="single" w:sz="4" w:space="0" w:color="auto"/>
                    <w:left w:val="nil"/>
                    <w:bottom w:val="single" w:sz="4" w:space="0" w:color="auto"/>
                    <w:right w:val="single" w:sz="4" w:space="0" w:color="auto"/>
                  </w:tcBorders>
                  <w:shd w:val="clear" w:color="000000" w:fill="D8D8D8"/>
                  <w:hideMark/>
                </w:tcPr>
                <w:p w14:paraId="4C1EAFB1"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Estimated rate per day (€)</w:t>
                  </w:r>
                </w:p>
              </w:tc>
              <w:tc>
                <w:tcPr>
                  <w:tcW w:w="814" w:type="pct"/>
                  <w:tcBorders>
                    <w:top w:val="single" w:sz="4" w:space="0" w:color="auto"/>
                    <w:left w:val="nil"/>
                    <w:bottom w:val="single" w:sz="4" w:space="0" w:color="auto"/>
                    <w:right w:val="single" w:sz="4" w:space="0" w:color="auto"/>
                  </w:tcBorders>
                  <w:shd w:val="clear" w:color="000000" w:fill="D8D8D8"/>
                  <w:hideMark/>
                </w:tcPr>
                <w:p w14:paraId="50470426" w14:textId="77777777" w:rsidR="00812FEA" w:rsidRPr="004C78E5" w:rsidRDefault="00812FEA" w:rsidP="00C86C76">
                  <w:pPr>
                    <w:spacing w:before="0" w:after="0" w:line="240" w:lineRule="auto"/>
                    <w:rPr>
                      <w:rFonts w:eastAsia="Times New Roman" w:cs="Arial"/>
                      <w:b/>
                      <w:bCs/>
                      <w:color w:val="000000"/>
                      <w:sz w:val="18"/>
                      <w:szCs w:val="18"/>
                      <w:lang w:val="en-GB"/>
                    </w:rPr>
                  </w:pPr>
                  <w:r w:rsidRPr="004C78E5">
                    <w:rPr>
                      <w:rFonts w:eastAsia="Times New Roman" w:cs="Arial"/>
                      <w:b/>
                      <w:bCs/>
                      <w:color w:val="000000"/>
                      <w:sz w:val="18"/>
                      <w:szCs w:val="18"/>
                      <w:lang w:val="en-GB"/>
                    </w:rPr>
                    <w:t>Estimated one-off cost per action, €</w:t>
                  </w:r>
                </w:p>
              </w:tc>
              <w:tc>
                <w:tcPr>
                  <w:tcW w:w="821" w:type="pct"/>
                  <w:tcBorders>
                    <w:top w:val="single" w:sz="4" w:space="0" w:color="auto"/>
                    <w:left w:val="nil"/>
                    <w:bottom w:val="single" w:sz="4" w:space="0" w:color="auto"/>
                    <w:right w:val="single" w:sz="4" w:space="0" w:color="auto"/>
                  </w:tcBorders>
                  <w:shd w:val="clear" w:color="000000" w:fill="D8D8D8"/>
                </w:tcPr>
                <w:p w14:paraId="4F770064" w14:textId="77777777" w:rsidR="00812FEA" w:rsidRPr="002605F8" w:rsidRDefault="00812FEA" w:rsidP="00C86C76">
                  <w:pPr>
                    <w:spacing w:before="0" w:after="0" w:line="240" w:lineRule="auto"/>
                    <w:rPr>
                      <w:rFonts w:eastAsia="Times New Roman" w:cs="Arial"/>
                      <w:b/>
                      <w:bCs/>
                      <w:color w:val="000000"/>
                      <w:sz w:val="18"/>
                      <w:szCs w:val="18"/>
                      <w:lang w:val="en-GB"/>
                    </w:rPr>
                  </w:pPr>
                  <w:proofErr w:type="spellStart"/>
                  <w:r w:rsidRPr="002605F8">
                    <w:rPr>
                      <w:rFonts w:eastAsia="Times New Roman" w:cs="Arial"/>
                      <w:b/>
                      <w:bCs/>
                      <w:color w:val="000000"/>
                      <w:sz w:val="18"/>
                      <w:szCs w:val="18"/>
                      <w:lang w:val="en-GB"/>
                    </w:rPr>
                    <w:t>Geogr</w:t>
                  </w:r>
                  <w:proofErr w:type="spellEnd"/>
                  <w:r w:rsidRPr="002605F8">
                    <w:rPr>
                      <w:rFonts w:eastAsia="Times New Roman" w:cs="Arial"/>
                      <w:b/>
                      <w:bCs/>
                      <w:color w:val="000000"/>
                      <w:sz w:val="18"/>
                      <w:szCs w:val="18"/>
                      <w:lang w:val="en-GB"/>
                    </w:rPr>
                    <w:t>. Cost level</w:t>
                  </w:r>
                </w:p>
              </w:tc>
            </w:tr>
            <w:tr w:rsidR="00812FEA" w:rsidRPr="002605F8" w14:paraId="33FA3C10" w14:textId="77777777" w:rsidTr="00C86C76">
              <w:trPr>
                <w:trHeight w:val="276"/>
              </w:trPr>
              <w:tc>
                <w:tcPr>
                  <w:tcW w:w="1787" w:type="pct"/>
                  <w:tcBorders>
                    <w:top w:val="nil"/>
                    <w:left w:val="single" w:sz="4" w:space="0" w:color="auto"/>
                    <w:bottom w:val="single" w:sz="4" w:space="0" w:color="auto"/>
                    <w:right w:val="single" w:sz="4" w:space="0" w:color="auto"/>
                  </w:tcBorders>
                  <w:shd w:val="clear" w:color="auto" w:fill="auto"/>
                  <w:hideMark/>
                </w:tcPr>
                <w:p w14:paraId="58DB3954"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xml:space="preserve">Preparation (Planning, writing) </w:t>
                  </w:r>
                </w:p>
              </w:tc>
              <w:tc>
                <w:tcPr>
                  <w:tcW w:w="751" w:type="pct"/>
                  <w:tcBorders>
                    <w:top w:val="nil"/>
                    <w:left w:val="nil"/>
                    <w:bottom w:val="single" w:sz="4" w:space="0" w:color="auto"/>
                    <w:right w:val="single" w:sz="4" w:space="0" w:color="auto"/>
                  </w:tcBorders>
                  <w:shd w:val="clear" w:color="auto" w:fill="auto"/>
                  <w:hideMark/>
                </w:tcPr>
                <w:p w14:paraId="6D3343D9"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28" w:type="pct"/>
                  <w:tcBorders>
                    <w:top w:val="nil"/>
                    <w:left w:val="nil"/>
                    <w:bottom w:val="single" w:sz="4" w:space="0" w:color="auto"/>
                    <w:right w:val="single" w:sz="4" w:space="0" w:color="auto"/>
                  </w:tcBorders>
                  <w:shd w:val="clear" w:color="auto" w:fill="auto"/>
                  <w:hideMark/>
                </w:tcPr>
                <w:p w14:paraId="62BED118"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14" w:type="pct"/>
                  <w:tcBorders>
                    <w:top w:val="nil"/>
                    <w:left w:val="nil"/>
                    <w:bottom w:val="single" w:sz="4" w:space="0" w:color="auto"/>
                    <w:right w:val="single" w:sz="4" w:space="0" w:color="auto"/>
                  </w:tcBorders>
                  <w:shd w:val="clear" w:color="auto" w:fill="auto"/>
                </w:tcPr>
                <w:p w14:paraId="4D6869E6" w14:textId="77777777" w:rsidR="00812FEA" w:rsidRPr="002605F8" w:rsidRDefault="00812FEA" w:rsidP="00C86C76">
                  <w:pPr>
                    <w:spacing w:before="0" w:after="0" w:line="240" w:lineRule="auto"/>
                    <w:jc w:val="right"/>
                    <w:rPr>
                      <w:rFonts w:eastAsia="Times New Roman" w:cs="Arial"/>
                      <w:color w:val="000000"/>
                      <w:sz w:val="18"/>
                      <w:szCs w:val="18"/>
                      <w:lang w:val="en-GB"/>
                    </w:rPr>
                  </w:pPr>
                </w:p>
              </w:tc>
              <w:tc>
                <w:tcPr>
                  <w:tcW w:w="821" w:type="pct"/>
                  <w:tcBorders>
                    <w:top w:val="nil"/>
                    <w:left w:val="nil"/>
                    <w:bottom w:val="single" w:sz="4" w:space="0" w:color="auto"/>
                    <w:right w:val="single" w:sz="4" w:space="0" w:color="auto"/>
                  </w:tcBorders>
                </w:tcPr>
                <w:p w14:paraId="39B370C6" w14:textId="77777777" w:rsidR="00812FEA" w:rsidRPr="002605F8" w:rsidRDefault="00812FEA" w:rsidP="00C86C76">
                  <w:pPr>
                    <w:spacing w:before="0" w:after="0" w:line="240" w:lineRule="auto"/>
                    <w:jc w:val="right"/>
                    <w:rPr>
                      <w:rFonts w:eastAsia="Times New Roman" w:cs="Arial"/>
                      <w:color w:val="000000"/>
                      <w:sz w:val="18"/>
                      <w:szCs w:val="18"/>
                      <w:lang w:val="en-GB"/>
                    </w:rPr>
                  </w:pPr>
                </w:p>
              </w:tc>
            </w:tr>
            <w:tr w:rsidR="00812FEA" w:rsidRPr="002605F8" w14:paraId="591D4567" w14:textId="77777777" w:rsidTr="00C86C76">
              <w:trPr>
                <w:trHeight w:val="276"/>
              </w:trPr>
              <w:tc>
                <w:tcPr>
                  <w:tcW w:w="1787" w:type="pct"/>
                  <w:tcBorders>
                    <w:top w:val="nil"/>
                    <w:left w:val="single" w:sz="4" w:space="0" w:color="auto"/>
                    <w:bottom w:val="single" w:sz="4" w:space="0" w:color="auto"/>
                    <w:right w:val="single" w:sz="4" w:space="0" w:color="auto"/>
                  </w:tcBorders>
                  <w:shd w:val="clear" w:color="auto" w:fill="auto"/>
                  <w:hideMark/>
                </w:tcPr>
                <w:p w14:paraId="21DF0D61"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Consultation, Dealing with objections,</w:t>
                  </w:r>
                </w:p>
              </w:tc>
              <w:tc>
                <w:tcPr>
                  <w:tcW w:w="751" w:type="pct"/>
                  <w:tcBorders>
                    <w:top w:val="nil"/>
                    <w:left w:val="nil"/>
                    <w:bottom w:val="single" w:sz="4" w:space="0" w:color="auto"/>
                    <w:right w:val="single" w:sz="4" w:space="0" w:color="auto"/>
                  </w:tcBorders>
                  <w:shd w:val="clear" w:color="auto" w:fill="auto"/>
                  <w:hideMark/>
                </w:tcPr>
                <w:p w14:paraId="0510F45F"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28" w:type="pct"/>
                  <w:tcBorders>
                    <w:top w:val="nil"/>
                    <w:left w:val="nil"/>
                    <w:bottom w:val="single" w:sz="4" w:space="0" w:color="auto"/>
                    <w:right w:val="single" w:sz="4" w:space="0" w:color="auto"/>
                  </w:tcBorders>
                  <w:shd w:val="clear" w:color="auto" w:fill="auto"/>
                  <w:hideMark/>
                </w:tcPr>
                <w:p w14:paraId="767B817A"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14" w:type="pct"/>
                  <w:tcBorders>
                    <w:top w:val="nil"/>
                    <w:left w:val="nil"/>
                    <w:bottom w:val="single" w:sz="4" w:space="0" w:color="auto"/>
                    <w:right w:val="single" w:sz="4" w:space="0" w:color="auto"/>
                  </w:tcBorders>
                  <w:shd w:val="clear" w:color="auto" w:fill="auto"/>
                </w:tcPr>
                <w:p w14:paraId="7B232286" w14:textId="77777777" w:rsidR="00812FEA" w:rsidRPr="002605F8" w:rsidRDefault="00812FEA" w:rsidP="00C86C76">
                  <w:pPr>
                    <w:spacing w:before="0" w:after="0" w:line="240" w:lineRule="auto"/>
                    <w:jc w:val="right"/>
                    <w:rPr>
                      <w:rFonts w:eastAsia="Times New Roman" w:cs="Arial"/>
                      <w:color w:val="000000"/>
                      <w:sz w:val="18"/>
                      <w:szCs w:val="18"/>
                      <w:lang w:val="en-GB"/>
                    </w:rPr>
                  </w:pPr>
                </w:p>
              </w:tc>
              <w:tc>
                <w:tcPr>
                  <w:tcW w:w="821" w:type="pct"/>
                  <w:tcBorders>
                    <w:top w:val="nil"/>
                    <w:left w:val="nil"/>
                    <w:bottom w:val="single" w:sz="4" w:space="0" w:color="auto"/>
                    <w:right w:val="single" w:sz="4" w:space="0" w:color="auto"/>
                  </w:tcBorders>
                </w:tcPr>
                <w:p w14:paraId="0DF05C9A" w14:textId="77777777" w:rsidR="00812FEA" w:rsidRPr="002605F8" w:rsidRDefault="00812FEA" w:rsidP="00C86C76">
                  <w:pPr>
                    <w:spacing w:before="0" w:after="0" w:line="240" w:lineRule="auto"/>
                    <w:jc w:val="right"/>
                    <w:rPr>
                      <w:rFonts w:eastAsia="Times New Roman" w:cs="Arial"/>
                      <w:color w:val="000000"/>
                      <w:sz w:val="18"/>
                      <w:szCs w:val="18"/>
                      <w:lang w:val="en-GB"/>
                    </w:rPr>
                  </w:pPr>
                </w:p>
              </w:tc>
            </w:tr>
            <w:tr w:rsidR="00812FEA" w:rsidRPr="0049591E" w14:paraId="4407D2BC" w14:textId="77777777" w:rsidTr="00C86C76">
              <w:trPr>
                <w:trHeight w:val="276"/>
              </w:trPr>
              <w:tc>
                <w:tcPr>
                  <w:tcW w:w="1787" w:type="pct"/>
                  <w:tcBorders>
                    <w:top w:val="nil"/>
                    <w:left w:val="single" w:sz="4" w:space="0" w:color="auto"/>
                    <w:bottom w:val="single" w:sz="4" w:space="0" w:color="auto"/>
                    <w:right w:val="single" w:sz="4" w:space="0" w:color="auto"/>
                  </w:tcBorders>
                  <w:shd w:val="clear" w:color="auto" w:fill="auto"/>
                  <w:hideMark/>
                </w:tcPr>
                <w:p w14:paraId="52FC68DE" w14:textId="77777777" w:rsidR="00812FEA" w:rsidRPr="004C78E5" w:rsidRDefault="00812FEA" w:rsidP="00C86C76">
                  <w:pPr>
                    <w:spacing w:before="0" w:after="0" w:line="240" w:lineRule="auto"/>
                    <w:rPr>
                      <w:rFonts w:eastAsia="Times New Roman" w:cs="Arial"/>
                      <w:color w:val="000000"/>
                      <w:sz w:val="18"/>
                      <w:szCs w:val="18"/>
                      <w:lang w:val="en-GB"/>
                    </w:rPr>
                  </w:pPr>
                  <w:r w:rsidRPr="004C78E5">
                    <w:rPr>
                      <w:rFonts w:eastAsia="Times New Roman" w:cs="Arial"/>
                      <w:color w:val="000000"/>
                      <w:sz w:val="18"/>
                      <w:szCs w:val="18"/>
                      <w:lang w:val="en-GB"/>
                    </w:rPr>
                    <w:t>Finalisation (Approval and sign-off, advertising)</w:t>
                  </w:r>
                </w:p>
              </w:tc>
              <w:tc>
                <w:tcPr>
                  <w:tcW w:w="751" w:type="pct"/>
                  <w:tcBorders>
                    <w:top w:val="nil"/>
                    <w:left w:val="nil"/>
                    <w:bottom w:val="single" w:sz="4" w:space="0" w:color="auto"/>
                    <w:right w:val="single" w:sz="4" w:space="0" w:color="auto"/>
                  </w:tcBorders>
                  <w:shd w:val="clear" w:color="auto" w:fill="auto"/>
                  <w:hideMark/>
                </w:tcPr>
                <w:p w14:paraId="384FEE6E" w14:textId="77777777" w:rsidR="00812FEA" w:rsidRPr="004C78E5" w:rsidRDefault="00812FEA" w:rsidP="00C86C76">
                  <w:pPr>
                    <w:spacing w:before="0" w:after="0" w:line="240" w:lineRule="auto"/>
                    <w:rPr>
                      <w:rFonts w:eastAsia="Times New Roman" w:cs="Arial"/>
                      <w:color w:val="000000"/>
                      <w:sz w:val="18"/>
                      <w:szCs w:val="18"/>
                      <w:lang w:val="en-GB"/>
                    </w:rPr>
                  </w:pPr>
                  <w:r w:rsidRPr="004C78E5">
                    <w:rPr>
                      <w:rFonts w:eastAsia="Times New Roman" w:cs="Arial"/>
                      <w:color w:val="000000"/>
                      <w:sz w:val="18"/>
                      <w:szCs w:val="18"/>
                      <w:lang w:val="en-GB"/>
                    </w:rPr>
                    <w:t> </w:t>
                  </w:r>
                </w:p>
              </w:tc>
              <w:tc>
                <w:tcPr>
                  <w:tcW w:w="828" w:type="pct"/>
                  <w:tcBorders>
                    <w:top w:val="nil"/>
                    <w:left w:val="nil"/>
                    <w:bottom w:val="single" w:sz="4" w:space="0" w:color="auto"/>
                    <w:right w:val="single" w:sz="4" w:space="0" w:color="auto"/>
                  </w:tcBorders>
                  <w:shd w:val="clear" w:color="auto" w:fill="auto"/>
                  <w:hideMark/>
                </w:tcPr>
                <w:p w14:paraId="6D7ACD5F" w14:textId="77777777" w:rsidR="00812FEA" w:rsidRPr="004C78E5" w:rsidRDefault="00812FEA" w:rsidP="00C86C76">
                  <w:pPr>
                    <w:spacing w:before="0" w:after="0" w:line="240" w:lineRule="auto"/>
                    <w:rPr>
                      <w:rFonts w:eastAsia="Times New Roman" w:cs="Arial"/>
                      <w:color w:val="000000"/>
                      <w:sz w:val="18"/>
                      <w:szCs w:val="18"/>
                      <w:lang w:val="en-GB"/>
                    </w:rPr>
                  </w:pPr>
                  <w:r w:rsidRPr="004C78E5">
                    <w:rPr>
                      <w:rFonts w:eastAsia="Times New Roman" w:cs="Arial"/>
                      <w:color w:val="000000"/>
                      <w:sz w:val="18"/>
                      <w:szCs w:val="18"/>
                      <w:lang w:val="en-GB"/>
                    </w:rPr>
                    <w:t> </w:t>
                  </w:r>
                </w:p>
              </w:tc>
              <w:tc>
                <w:tcPr>
                  <w:tcW w:w="814" w:type="pct"/>
                  <w:tcBorders>
                    <w:top w:val="nil"/>
                    <w:left w:val="nil"/>
                    <w:bottom w:val="single" w:sz="4" w:space="0" w:color="auto"/>
                    <w:right w:val="single" w:sz="4" w:space="0" w:color="auto"/>
                  </w:tcBorders>
                  <w:shd w:val="clear" w:color="auto" w:fill="auto"/>
                </w:tcPr>
                <w:p w14:paraId="1B25A66E" w14:textId="77777777" w:rsidR="00812FEA" w:rsidRPr="004C78E5" w:rsidRDefault="00812FEA" w:rsidP="00C86C76">
                  <w:pPr>
                    <w:spacing w:before="0" w:after="0" w:line="240" w:lineRule="auto"/>
                    <w:jc w:val="right"/>
                    <w:rPr>
                      <w:rFonts w:eastAsia="Times New Roman" w:cs="Arial"/>
                      <w:color w:val="000000"/>
                      <w:sz w:val="18"/>
                      <w:szCs w:val="18"/>
                      <w:lang w:val="en-GB"/>
                    </w:rPr>
                  </w:pPr>
                </w:p>
              </w:tc>
              <w:tc>
                <w:tcPr>
                  <w:tcW w:w="821" w:type="pct"/>
                  <w:tcBorders>
                    <w:top w:val="nil"/>
                    <w:left w:val="nil"/>
                    <w:bottom w:val="single" w:sz="4" w:space="0" w:color="auto"/>
                    <w:right w:val="single" w:sz="4" w:space="0" w:color="auto"/>
                  </w:tcBorders>
                </w:tcPr>
                <w:p w14:paraId="0E6E999D" w14:textId="77777777" w:rsidR="00812FEA" w:rsidRPr="004C78E5" w:rsidRDefault="00812FEA" w:rsidP="00C86C76">
                  <w:pPr>
                    <w:spacing w:before="0" w:after="0" w:line="240" w:lineRule="auto"/>
                    <w:jc w:val="right"/>
                    <w:rPr>
                      <w:rFonts w:eastAsia="Times New Roman" w:cs="Arial"/>
                      <w:color w:val="000000"/>
                      <w:sz w:val="18"/>
                      <w:szCs w:val="18"/>
                      <w:lang w:val="en-GB"/>
                    </w:rPr>
                  </w:pPr>
                </w:p>
              </w:tc>
            </w:tr>
            <w:tr w:rsidR="00812FEA" w:rsidRPr="002605F8" w14:paraId="15FAC23B" w14:textId="77777777" w:rsidTr="00C86C76">
              <w:trPr>
                <w:trHeight w:val="276"/>
              </w:trPr>
              <w:tc>
                <w:tcPr>
                  <w:tcW w:w="1787" w:type="pct"/>
                  <w:tcBorders>
                    <w:top w:val="nil"/>
                    <w:left w:val="single" w:sz="4" w:space="0" w:color="auto"/>
                    <w:bottom w:val="single" w:sz="4" w:space="0" w:color="auto"/>
                    <w:right w:val="single" w:sz="4" w:space="0" w:color="auto"/>
                  </w:tcBorders>
                  <w:shd w:val="clear" w:color="auto" w:fill="auto"/>
                  <w:hideMark/>
                </w:tcPr>
                <w:p w14:paraId="7B2C40B3" w14:textId="77777777" w:rsidR="00812FEA" w:rsidRPr="004C78E5" w:rsidRDefault="00812FEA" w:rsidP="00C86C76">
                  <w:pPr>
                    <w:spacing w:before="0" w:after="0" w:line="240" w:lineRule="auto"/>
                    <w:rPr>
                      <w:b/>
                      <w:sz w:val="18"/>
                      <w:szCs w:val="18"/>
                      <w:lang w:val="en-GB"/>
                    </w:rPr>
                  </w:pPr>
                  <w:r w:rsidRPr="004C78E5">
                    <w:rPr>
                      <w:b/>
                      <w:sz w:val="18"/>
                      <w:szCs w:val="18"/>
                      <w:lang w:val="en-GB"/>
                    </w:rPr>
                    <w:t>Total estimate:</w:t>
                  </w:r>
                </w:p>
                <w:p w14:paraId="66169A96" w14:textId="56EA32A3" w:rsidR="00812FEA" w:rsidRPr="002605F8" w:rsidRDefault="00812FEA" w:rsidP="00C86C76">
                  <w:pPr>
                    <w:spacing w:before="0" w:after="0" w:line="240" w:lineRule="auto"/>
                    <w:jc w:val="right"/>
                    <w:rPr>
                      <w:rFonts w:eastAsia="Times New Roman" w:cs="Arial"/>
                      <w:bCs/>
                      <w:color w:val="000000"/>
                      <w:sz w:val="18"/>
                      <w:szCs w:val="18"/>
                      <w:lang w:val="en-GB"/>
                    </w:rPr>
                  </w:pPr>
                </w:p>
              </w:tc>
              <w:tc>
                <w:tcPr>
                  <w:tcW w:w="751" w:type="pct"/>
                  <w:tcBorders>
                    <w:top w:val="nil"/>
                    <w:left w:val="nil"/>
                    <w:bottom w:val="single" w:sz="4" w:space="0" w:color="auto"/>
                    <w:right w:val="single" w:sz="4" w:space="0" w:color="auto"/>
                  </w:tcBorders>
                  <w:shd w:val="clear" w:color="auto" w:fill="auto"/>
                  <w:hideMark/>
                </w:tcPr>
                <w:p w14:paraId="0C356235"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w:t>
                  </w:r>
                </w:p>
              </w:tc>
              <w:tc>
                <w:tcPr>
                  <w:tcW w:w="828" w:type="pct"/>
                  <w:tcBorders>
                    <w:top w:val="nil"/>
                    <w:left w:val="nil"/>
                    <w:bottom w:val="single" w:sz="4" w:space="0" w:color="auto"/>
                    <w:right w:val="single" w:sz="4" w:space="0" w:color="auto"/>
                  </w:tcBorders>
                  <w:shd w:val="clear" w:color="auto" w:fill="auto"/>
                  <w:hideMark/>
                </w:tcPr>
                <w:p w14:paraId="77054C70"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w:t>
                  </w:r>
                </w:p>
              </w:tc>
              <w:tc>
                <w:tcPr>
                  <w:tcW w:w="814" w:type="pct"/>
                  <w:tcBorders>
                    <w:top w:val="nil"/>
                    <w:left w:val="nil"/>
                    <w:bottom w:val="single" w:sz="4" w:space="0" w:color="auto"/>
                    <w:right w:val="single" w:sz="4" w:space="0" w:color="auto"/>
                  </w:tcBorders>
                  <w:shd w:val="clear" w:color="auto" w:fill="auto"/>
                  <w:noWrap/>
                </w:tcPr>
                <w:p w14:paraId="215265F1" w14:textId="77777777" w:rsidR="00812FEA" w:rsidRPr="002605F8" w:rsidRDefault="00812FEA" w:rsidP="00C86C76">
                  <w:pPr>
                    <w:spacing w:before="0" w:after="0" w:line="240" w:lineRule="auto"/>
                    <w:jc w:val="right"/>
                    <w:rPr>
                      <w:rFonts w:eastAsia="Times New Roman" w:cs="Arial"/>
                      <w:b/>
                      <w:bCs/>
                      <w:color w:val="000000"/>
                      <w:sz w:val="18"/>
                      <w:szCs w:val="18"/>
                      <w:lang w:val="en-GB"/>
                    </w:rPr>
                  </w:pPr>
                </w:p>
              </w:tc>
              <w:tc>
                <w:tcPr>
                  <w:tcW w:w="821" w:type="pct"/>
                  <w:tcBorders>
                    <w:top w:val="nil"/>
                    <w:left w:val="nil"/>
                    <w:bottom w:val="single" w:sz="4" w:space="0" w:color="auto"/>
                    <w:right w:val="single" w:sz="4" w:space="0" w:color="auto"/>
                  </w:tcBorders>
                </w:tcPr>
                <w:p w14:paraId="711D8EC3" w14:textId="77777777" w:rsidR="00812FEA" w:rsidRPr="002605F8" w:rsidRDefault="00812FEA" w:rsidP="00C86C76">
                  <w:pPr>
                    <w:spacing w:before="0" w:after="0" w:line="240" w:lineRule="auto"/>
                    <w:jc w:val="right"/>
                    <w:rPr>
                      <w:rFonts w:eastAsia="Times New Roman" w:cs="Arial"/>
                      <w:b/>
                      <w:bCs/>
                      <w:color w:val="000000"/>
                      <w:sz w:val="18"/>
                      <w:szCs w:val="18"/>
                      <w:lang w:val="en-GB"/>
                    </w:rPr>
                  </w:pPr>
                </w:p>
              </w:tc>
            </w:tr>
          </w:tbl>
          <w:p w14:paraId="4FFA20C8" w14:textId="77777777" w:rsidR="00812FEA" w:rsidRPr="002605F8" w:rsidRDefault="00812FEA" w:rsidP="00C86C76">
            <w:pPr>
              <w:pStyle w:val="Opsommingsymbool0"/>
              <w:numPr>
                <w:ilvl w:val="0"/>
                <w:numId w:val="0"/>
              </w:numPr>
              <w:ind w:left="284"/>
              <w:rPr>
                <w:i/>
                <w:sz w:val="18"/>
                <w:szCs w:val="18"/>
                <w:lang w:val="en-GB"/>
              </w:rPr>
            </w:pPr>
          </w:p>
        </w:tc>
      </w:tr>
      <w:tr w:rsidR="00812FEA" w:rsidRPr="002605F8" w14:paraId="31770ED7" w14:textId="77777777" w:rsidTr="00C86C76">
        <w:trPr>
          <w:trHeight w:val="3101"/>
        </w:trPr>
        <w:tc>
          <w:tcPr>
            <w:tcW w:w="2268" w:type="dxa"/>
          </w:tcPr>
          <w:p w14:paraId="2BEB4C25" w14:textId="77777777" w:rsidR="00812FEA" w:rsidRPr="002605F8" w:rsidRDefault="00812FEA" w:rsidP="00C86C76">
            <w:pPr>
              <w:rPr>
                <w:b/>
                <w:sz w:val="18"/>
                <w:szCs w:val="18"/>
                <w:lang w:val="en-GB"/>
              </w:rPr>
            </w:pPr>
          </w:p>
        </w:tc>
        <w:tc>
          <w:tcPr>
            <w:tcW w:w="7667" w:type="dxa"/>
            <w:gridSpan w:val="2"/>
          </w:tcPr>
          <w:p w14:paraId="7CD4E794"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Management costs</w:t>
            </w:r>
          </w:p>
          <w:tbl>
            <w:tblPr>
              <w:tblW w:w="5000" w:type="pct"/>
              <w:tblLook w:val="04A0" w:firstRow="1" w:lastRow="0" w:firstColumn="1" w:lastColumn="0" w:noHBand="0" w:noVBand="1"/>
            </w:tblPr>
            <w:tblGrid>
              <w:gridCol w:w="2218"/>
              <w:gridCol w:w="1265"/>
              <w:gridCol w:w="1326"/>
              <w:gridCol w:w="1316"/>
              <w:gridCol w:w="1316"/>
            </w:tblGrid>
            <w:tr w:rsidR="00812FEA" w:rsidRPr="002605F8" w14:paraId="15E60AAB" w14:textId="77777777" w:rsidTr="00C86C76">
              <w:trPr>
                <w:trHeight w:val="528"/>
              </w:trPr>
              <w:tc>
                <w:tcPr>
                  <w:tcW w:w="1491" w:type="pct"/>
                  <w:tcBorders>
                    <w:top w:val="single" w:sz="4" w:space="0" w:color="auto"/>
                    <w:left w:val="single" w:sz="4" w:space="0" w:color="auto"/>
                    <w:bottom w:val="single" w:sz="4" w:space="0" w:color="auto"/>
                    <w:right w:val="single" w:sz="4" w:space="0" w:color="auto"/>
                  </w:tcBorders>
                  <w:shd w:val="clear" w:color="000000" w:fill="D8D8D8"/>
                  <w:hideMark/>
                </w:tcPr>
                <w:p w14:paraId="0EC50531" w14:textId="77777777" w:rsidR="00812FEA" w:rsidRPr="002605F8" w:rsidRDefault="00812FEA" w:rsidP="00C86C76">
                  <w:pPr>
                    <w:pStyle w:val="Geenafstand"/>
                    <w:rPr>
                      <w:b/>
                      <w:sz w:val="18"/>
                      <w:szCs w:val="18"/>
                    </w:rPr>
                  </w:pPr>
                  <w:r w:rsidRPr="002605F8">
                    <w:rPr>
                      <w:b/>
                      <w:sz w:val="18"/>
                      <w:szCs w:val="18"/>
                    </w:rPr>
                    <w:t>Actions required</w:t>
                  </w:r>
                </w:p>
              </w:tc>
              <w:tc>
                <w:tcPr>
                  <w:tcW w:w="850" w:type="pct"/>
                  <w:tcBorders>
                    <w:top w:val="single" w:sz="4" w:space="0" w:color="auto"/>
                    <w:left w:val="nil"/>
                    <w:bottom w:val="single" w:sz="4" w:space="0" w:color="auto"/>
                    <w:right w:val="single" w:sz="4" w:space="0" w:color="auto"/>
                  </w:tcBorders>
                  <w:shd w:val="clear" w:color="000000" w:fill="D8D8D8"/>
                  <w:hideMark/>
                </w:tcPr>
                <w:p w14:paraId="3764D5FC" w14:textId="77777777" w:rsidR="00812FEA" w:rsidRPr="002605F8" w:rsidRDefault="00812FEA" w:rsidP="00C86C76">
                  <w:pPr>
                    <w:pStyle w:val="Geenafstand"/>
                    <w:rPr>
                      <w:b/>
                      <w:sz w:val="18"/>
                      <w:szCs w:val="18"/>
                    </w:rPr>
                  </w:pPr>
                  <w:r w:rsidRPr="002605F8">
                    <w:rPr>
                      <w:b/>
                      <w:sz w:val="18"/>
                      <w:szCs w:val="18"/>
                    </w:rPr>
                    <w:t xml:space="preserve">Estimated </w:t>
                  </w:r>
                  <w:proofErr w:type="spellStart"/>
                  <w:r w:rsidRPr="002605F8">
                    <w:rPr>
                      <w:b/>
                      <w:sz w:val="18"/>
                      <w:szCs w:val="18"/>
                    </w:rPr>
                    <w:t>nr</w:t>
                  </w:r>
                  <w:proofErr w:type="spellEnd"/>
                  <w:r w:rsidRPr="002605F8">
                    <w:rPr>
                      <w:b/>
                      <w:sz w:val="18"/>
                      <w:szCs w:val="18"/>
                    </w:rPr>
                    <w:t xml:space="preserve"> of days/</w:t>
                  </w:r>
                  <w:proofErr w:type="spellStart"/>
                  <w:r w:rsidRPr="002605F8">
                    <w:rPr>
                      <w:b/>
                      <w:sz w:val="18"/>
                      <w:szCs w:val="18"/>
                    </w:rPr>
                    <w:t>yr</w:t>
                  </w:r>
                  <w:proofErr w:type="spellEnd"/>
                </w:p>
              </w:tc>
              <w:tc>
                <w:tcPr>
                  <w:tcW w:w="891" w:type="pct"/>
                  <w:tcBorders>
                    <w:top w:val="single" w:sz="4" w:space="0" w:color="auto"/>
                    <w:left w:val="nil"/>
                    <w:bottom w:val="single" w:sz="4" w:space="0" w:color="auto"/>
                    <w:right w:val="single" w:sz="4" w:space="0" w:color="auto"/>
                  </w:tcBorders>
                  <w:shd w:val="clear" w:color="000000" w:fill="D8D8D8"/>
                  <w:hideMark/>
                </w:tcPr>
                <w:p w14:paraId="3271EC54" w14:textId="77777777" w:rsidR="00812FEA" w:rsidRPr="002605F8" w:rsidRDefault="00812FEA" w:rsidP="00C86C76">
                  <w:pPr>
                    <w:pStyle w:val="Geenafstand"/>
                    <w:rPr>
                      <w:b/>
                      <w:sz w:val="18"/>
                      <w:szCs w:val="18"/>
                    </w:rPr>
                  </w:pPr>
                  <w:r w:rsidRPr="002605F8">
                    <w:rPr>
                      <w:b/>
                      <w:sz w:val="18"/>
                      <w:szCs w:val="18"/>
                    </w:rPr>
                    <w:t>Estimated rate per day (€)</w:t>
                  </w:r>
                </w:p>
              </w:tc>
              <w:tc>
                <w:tcPr>
                  <w:tcW w:w="884" w:type="pct"/>
                  <w:tcBorders>
                    <w:top w:val="single" w:sz="4" w:space="0" w:color="auto"/>
                    <w:left w:val="nil"/>
                    <w:bottom w:val="single" w:sz="4" w:space="0" w:color="auto"/>
                    <w:right w:val="single" w:sz="4" w:space="0" w:color="auto"/>
                  </w:tcBorders>
                  <w:shd w:val="clear" w:color="000000" w:fill="D8D8D8"/>
                  <w:hideMark/>
                </w:tcPr>
                <w:p w14:paraId="57842CCE" w14:textId="77777777" w:rsidR="00812FEA" w:rsidRPr="002605F8" w:rsidRDefault="00812FEA" w:rsidP="00C86C76">
                  <w:pPr>
                    <w:pStyle w:val="Geenafstand"/>
                    <w:rPr>
                      <w:b/>
                      <w:sz w:val="18"/>
                      <w:szCs w:val="18"/>
                    </w:rPr>
                  </w:pPr>
                  <w:r w:rsidRPr="002605F8">
                    <w:rPr>
                      <w:b/>
                      <w:sz w:val="18"/>
                      <w:szCs w:val="18"/>
                    </w:rPr>
                    <w:t>Estimated cost per year €</w:t>
                  </w:r>
                </w:p>
              </w:tc>
              <w:tc>
                <w:tcPr>
                  <w:tcW w:w="884" w:type="pct"/>
                  <w:tcBorders>
                    <w:top w:val="single" w:sz="4" w:space="0" w:color="auto"/>
                    <w:left w:val="nil"/>
                    <w:bottom w:val="single" w:sz="4" w:space="0" w:color="auto"/>
                    <w:right w:val="single" w:sz="4" w:space="0" w:color="auto"/>
                  </w:tcBorders>
                  <w:shd w:val="clear" w:color="000000" w:fill="D8D8D8"/>
                </w:tcPr>
                <w:p w14:paraId="04B7AFF5" w14:textId="77777777" w:rsidR="00812FEA" w:rsidRPr="002605F8" w:rsidRDefault="00812FEA" w:rsidP="00C86C76">
                  <w:pPr>
                    <w:pStyle w:val="Geenafstand"/>
                    <w:rPr>
                      <w:b/>
                      <w:sz w:val="18"/>
                      <w:szCs w:val="18"/>
                    </w:rPr>
                  </w:pPr>
                  <w:proofErr w:type="spellStart"/>
                  <w:r w:rsidRPr="002605F8">
                    <w:rPr>
                      <w:b/>
                      <w:sz w:val="18"/>
                      <w:szCs w:val="18"/>
                    </w:rPr>
                    <w:t>Geogr</w:t>
                  </w:r>
                  <w:proofErr w:type="spellEnd"/>
                  <w:r w:rsidRPr="002605F8">
                    <w:rPr>
                      <w:b/>
                      <w:sz w:val="18"/>
                      <w:szCs w:val="18"/>
                    </w:rPr>
                    <w:t>. cost level</w:t>
                  </w:r>
                </w:p>
              </w:tc>
            </w:tr>
            <w:tr w:rsidR="00812FEA" w:rsidRPr="0049591E" w14:paraId="0067D472"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35341298" w14:textId="77777777" w:rsidR="00812FEA" w:rsidRPr="002605F8" w:rsidRDefault="00812FEA" w:rsidP="00C86C76">
                  <w:pPr>
                    <w:pStyle w:val="Geenafstand"/>
                    <w:rPr>
                      <w:sz w:val="18"/>
                      <w:szCs w:val="18"/>
                    </w:rPr>
                  </w:pPr>
                  <w:r w:rsidRPr="002605F8">
                    <w:rPr>
                      <w:sz w:val="18"/>
                      <w:szCs w:val="18"/>
                    </w:rPr>
                    <w:t>Staff time (preparation, follow up)</w:t>
                  </w:r>
                </w:p>
              </w:tc>
              <w:tc>
                <w:tcPr>
                  <w:tcW w:w="850" w:type="pct"/>
                  <w:tcBorders>
                    <w:top w:val="nil"/>
                    <w:left w:val="nil"/>
                    <w:bottom w:val="single" w:sz="4" w:space="0" w:color="auto"/>
                    <w:right w:val="single" w:sz="4" w:space="0" w:color="auto"/>
                  </w:tcBorders>
                  <w:shd w:val="clear" w:color="auto" w:fill="auto"/>
                  <w:hideMark/>
                </w:tcPr>
                <w:p w14:paraId="29BA2E35"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668B6AB0"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tcPr>
                <w:p w14:paraId="0D88CE10" w14:textId="77777777" w:rsidR="00812FEA" w:rsidRPr="002605F8" w:rsidRDefault="00812FEA" w:rsidP="00C86C76">
                  <w:pPr>
                    <w:pStyle w:val="Geenafstand"/>
                    <w:rPr>
                      <w:sz w:val="18"/>
                      <w:szCs w:val="18"/>
                    </w:rPr>
                  </w:pPr>
                </w:p>
              </w:tc>
              <w:tc>
                <w:tcPr>
                  <w:tcW w:w="884" w:type="pct"/>
                  <w:tcBorders>
                    <w:top w:val="nil"/>
                    <w:left w:val="nil"/>
                    <w:bottom w:val="single" w:sz="4" w:space="0" w:color="auto"/>
                    <w:right w:val="single" w:sz="4" w:space="0" w:color="auto"/>
                  </w:tcBorders>
                </w:tcPr>
                <w:p w14:paraId="5455F369" w14:textId="77777777" w:rsidR="00812FEA" w:rsidRPr="002605F8" w:rsidRDefault="00812FEA" w:rsidP="00C86C76">
                  <w:pPr>
                    <w:pStyle w:val="Geenafstand"/>
                    <w:rPr>
                      <w:sz w:val="18"/>
                      <w:szCs w:val="18"/>
                    </w:rPr>
                  </w:pPr>
                </w:p>
              </w:tc>
            </w:tr>
            <w:tr w:rsidR="00812FEA" w:rsidRPr="002605F8" w14:paraId="6271D20C"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2A4DCFF7" w14:textId="77777777" w:rsidR="00812FEA" w:rsidRPr="002605F8" w:rsidRDefault="00812FEA" w:rsidP="00C86C76">
                  <w:pPr>
                    <w:pStyle w:val="Geenafstand"/>
                    <w:rPr>
                      <w:sz w:val="18"/>
                      <w:szCs w:val="18"/>
                    </w:rPr>
                  </w:pPr>
                  <w:r w:rsidRPr="002605F8">
                    <w:rPr>
                      <w:sz w:val="18"/>
                      <w:szCs w:val="18"/>
                    </w:rPr>
                    <w:t>Staff travel/accommodation</w:t>
                  </w:r>
                </w:p>
              </w:tc>
              <w:tc>
                <w:tcPr>
                  <w:tcW w:w="850" w:type="pct"/>
                  <w:tcBorders>
                    <w:top w:val="nil"/>
                    <w:left w:val="nil"/>
                    <w:bottom w:val="single" w:sz="4" w:space="0" w:color="auto"/>
                    <w:right w:val="single" w:sz="4" w:space="0" w:color="auto"/>
                  </w:tcBorders>
                  <w:shd w:val="clear" w:color="auto" w:fill="auto"/>
                  <w:hideMark/>
                </w:tcPr>
                <w:p w14:paraId="062FF334"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7891C3CA"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tcPr>
                <w:p w14:paraId="0B111B8A" w14:textId="77777777" w:rsidR="00812FEA" w:rsidRPr="002605F8" w:rsidRDefault="00812FEA" w:rsidP="00C86C76">
                  <w:pPr>
                    <w:pStyle w:val="Geenafstand"/>
                    <w:rPr>
                      <w:sz w:val="18"/>
                      <w:szCs w:val="18"/>
                    </w:rPr>
                  </w:pPr>
                </w:p>
              </w:tc>
              <w:tc>
                <w:tcPr>
                  <w:tcW w:w="884" w:type="pct"/>
                  <w:tcBorders>
                    <w:top w:val="nil"/>
                    <w:left w:val="nil"/>
                    <w:bottom w:val="single" w:sz="4" w:space="0" w:color="auto"/>
                    <w:right w:val="single" w:sz="4" w:space="0" w:color="auto"/>
                  </w:tcBorders>
                </w:tcPr>
                <w:p w14:paraId="2A5A3A0D" w14:textId="77777777" w:rsidR="00812FEA" w:rsidRPr="002605F8" w:rsidRDefault="00812FEA" w:rsidP="00C86C76">
                  <w:pPr>
                    <w:pStyle w:val="Geenafstand"/>
                    <w:rPr>
                      <w:sz w:val="18"/>
                      <w:szCs w:val="18"/>
                    </w:rPr>
                  </w:pPr>
                </w:p>
              </w:tc>
            </w:tr>
            <w:tr w:rsidR="00812FEA" w:rsidRPr="002605F8" w14:paraId="640D6A83"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43940195" w14:textId="77777777" w:rsidR="00812FEA" w:rsidRPr="002605F8" w:rsidRDefault="00812FEA" w:rsidP="00C86C76">
                  <w:pPr>
                    <w:pStyle w:val="Geenafstand"/>
                    <w:rPr>
                      <w:sz w:val="18"/>
                      <w:szCs w:val="18"/>
                    </w:rPr>
                  </w:pPr>
                  <w:r w:rsidRPr="002605F8">
                    <w:rPr>
                      <w:sz w:val="18"/>
                      <w:szCs w:val="18"/>
                    </w:rPr>
                    <w:t xml:space="preserve">Meeting costs </w:t>
                  </w:r>
                </w:p>
              </w:tc>
              <w:tc>
                <w:tcPr>
                  <w:tcW w:w="850" w:type="pct"/>
                  <w:tcBorders>
                    <w:top w:val="nil"/>
                    <w:left w:val="nil"/>
                    <w:bottom w:val="single" w:sz="4" w:space="0" w:color="auto"/>
                    <w:right w:val="single" w:sz="4" w:space="0" w:color="auto"/>
                  </w:tcBorders>
                  <w:shd w:val="clear" w:color="auto" w:fill="auto"/>
                  <w:hideMark/>
                </w:tcPr>
                <w:p w14:paraId="200D8833"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422EC28D"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tcPr>
                <w:p w14:paraId="16EA73A4" w14:textId="77777777" w:rsidR="00812FEA" w:rsidRPr="002605F8" w:rsidRDefault="00812FEA" w:rsidP="00C86C76">
                  <w:pPr>
                    <w:pStyle w:val="Geenafstand"/>
                    <w:rPr>
                      <w:sz w:val="18"/>
                      <w:szCs w:val="18"/>
                    </w:rPr>
                  </w:pPr>
                </w:p>
              </w:tc>
              <w:tc>
                <w:tcPr>
                  <w:tcW w:w="884" w:type="pct"/>
                  <w:tcBorders>
                    <w:top w:val="nil"/>
                    <w:left w:val="nil"/>
                    <w:bottom w:val="single" w:sz="4" w:space="0" w:color="auto"/>
                    <w:right w:val="single" w:sz="4" w:space="0" w:color="auto"/>
                  </w:tcBorders>
                </w:tcPr>
                <w:p w14:paraId="3B631AF1" w14:textId="77777777" w:rsidR="00812FEA" w:rsidRPr="002605F8" w:rsidRDefault="00812FEA" w:rsidP="00C86C76">
                  <w:pPr>
                    <w:pStyle w:val="Geenafstand"/>
                    <w:rPr>
                      <w:sz w:val="18"/>
                      <w:szCs w:val="18"/>
                    </w:rPr>
                  </w:pPr>
                </w:p>
              </w:tc>
            </w:tr>
            <w:tr w:rsidR="00812FEA" w:rsidRPr="002605F8" w14:paraId="6F6E0581"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71BC110F" w14:textId="77777777" w:rsidR="00812FEA" w:rsidRPr="002605F8" w:rsidRDefault="00812FEA" w:rsidP="00C86C76">
                  <w:pPr>
                    <w:pStyle w:val="Geenafstand"/>
                    <w:rPr>
                      <w:b/>
                      <w:sz w:val="18"/>
                      <w:szCs w:val="18"/>
                    </w:rPr>
                  </w:pPr>
                  <w:r w:rsidRPr="002605F8">
                    <w:rPr>
                      <w:b/>
                      <w:sz w:val="18"/>
                      <w:szCs w:val="18"/>
                    </w:rPr>
                    <w:t xml:space="preserve">Total estimate: </w:t>
                  </w:r>
                </w:p>
                <w:p w14:paraId="569B33DF" w14:textId="71A5697C" w:rsidR="00812FEA" w:rsidRPr="002605F8" w:rsidRDefault="00812FEA" w:rsidP="00C86C76">
                  <w:pPr>
                    <w:pStyle w:val="Geenafstand"/>
                    <w:jc w:val="right"/>
                    <w:rPr>
                      <w:b/>
                      <w:sz w:val="18"/>
                      <w:szCs w:val="18"/>
                    </w:rPr>
                  </w:pPr>
                </w:p>
              </w:tc>
              <w:tc>
                <w:tcPr>
                  <w:tcW w:w="850" w:type="pct"/>
                  <w:tcBorders>
                    <w:top w:val="nil"/>
                    <w:left w:val="nil"/>
                    <w:bottom w:val="single" w:sz="4" w:space="0" w:color="auto"/>
                    <w:right w:val="single" w:sz="4" w:space="0" w:color="auto"/>
                  </w:tcBorders>
                  <w:shd w:val="clear" w:color="auto" w:fill="auto"/>
                  <w:hideMark/>
                </w:tcPr>
                <w:p w14:paraId="1B21E22F"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7DEED553"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noWrap/>
                  <w:hideMark/>
                </w:tcPr>
                <w:p w14:paraId="4E7AD074" w14:textId="77777777" w:rsidR="00812FEA" w:rsidRPr="002605F8" w:rsidRDefault="00812FEA" w:rsidP="00C86C76">
                  <w:pPr>
                    <w:pStyle w:val="Geenafstand"/>
                    <w:rPr>
                      <w:sz w:val="18"/>
                      <w:szCs w:val="18"/>
                    </w:rPr>
                  </w:pPr>
                  <w:r w:rsidRPr="002605F8">
                    <w:rPr>
                      <w:sz w:val="18"/>
                      <w:szCs w:val="18"/>
                    </w:rPr>
                    <w:t xml:space="preserve">€   - </w:t>
                  </w:r>
                </w:p>
              </w:tc>
              <w:tc>
                <w:tcPr>
                  <w:tcW w:w="884" w:type="pct"/>
                  <w:tcBorders>
                    <w:top w:val="nil"/>
                    <w:left w:val="nil"/>
                    <w:bottom w:val="single" w:sz="4" w:space="0" w:color="auto"/>
                    <w:right w:val="single" w:sz="4" w:space="0" w:color="auto"/>
                  </w:tcBorders>
                </w:tcPr>
                <w:p w14:paraId="589BE35B" w14:textId="77777777" w:rsidR="00812FEA" w:rsidRPr="002605F8" w:rsidRDefault="00812FEA" w:rsidP="00C86C76">
                  <w:pPr>
                    <w:pStyle w:val="Geenafstand"/>
                    <w:rPr>
                      <w:sz w:val="18"/>
                      <w:szCs w:val="18"/>
                    </w:rPr>
                  </w:pPr>
                </w:p>
              </w:tc>
            </w:tr>
          </w:tbl>
          <w:p w14:paraId="6AD611D5" w14:textId="77777777" w:rsidR="00812FEA" w:rsidRPr="002605F8" w:rsidRDefault="00812FEA" w:rsidP="00C86C76">
            <w:pPr>
              <w:pStyle w:val="Opsommingsymbool0"/>
              <w:numPr>
                <w:ilvl w:val="0"/>
                <w:numId w:val="0"/>
              </w:numPr>
              <w:ind w:left="284"/>
              <w:rPr>
                <w:sz w:val="18"/>
                <w:szCs w:val="18"/>
                <w:lang w:val="en-GB"/>
              </w:rPr>
            </w:pPr>
          </w:p>
        </w:tc>
      </w:tr>
      <w:tr w:rsidR="00812FEA" w:rsidRPr="0049591E" w14:paraId="68324593" w14:textId="77777777" w:rsidTr="00C86C76">
        <w:tc>
          <w:tcPr>
            <w:tcW w:w="2268" w:type="dxa"/>
          </w:tcPr>
          <w:p w14:paraId="3F812EB0" w14:textId="77777777" w:rsidR="00812FEA" w:rsidRPr="002605F8" w:rsidRDefault="00812FEA" w:rsidP="00C86C76">
            <w:pPr>
              <w:rPr>
                <w:b/>
                <w:sz w:val="18"/>
                <w:szCs w:val="18"/>
                <w:lang w:val="en-GB"/>
              </w:rPr>
            </w:pPr>
          </w:p>
        </w:tc>
        <w:tc>
          <w:tcPr>
            <w:tcW w:w="7667" w:type="dxa"/>
            <w:gridSpan w:val="2"/>
          </w:tcPr>
          <w:p w14:paraId="59E8F4F2" w14:textId="77777777" w:rsidR="00812FEA" w:rsidRPr="002605F8" w:rsidRDefault="00812FEA" w:rsidP="00C86C76">
            <w:pPr>
              <w:pStyle w:val="Opsommingsymbool0"/>
              <w:spacing w:line="240" w:lineRule="auto"/>
              <w:jc w:val="both"/>
              <w:rPr>
                <w:i/>
                <w:sz w:val="18"/>
                <w:szCs w:val="18"/>
                <w:lang w:val="en-GB"/>
              </w:rPr>
            </w:pPr>
            <w:r w:rsidRPr="002605F8">
              <w:rPr>
                <w:i/>
                <w:sz w:val="18"/>
                <w:szCs w:val="18"/>
                <w:lang w:val="en-GB"/>
              </w:rPr>
              <w:t>Other cost components</w:t>
            </w:r>
          </w:p>
          <w:p w14:paraId="5909CE0A" w14:textId="77777777" w:rsidR="00812FEA" w:rsidRPr="002605F8" w:rsidRDefault="00812FEA" w:rsidP="00C86C76">
            <w:pPr>
              <w:pStyle w:val="Opsommingsymbool0"/>
              <w:spacing w:line="240" w:lineRule="auto"/>
              <w:jc w:val="both"/>
              <w:rPr>
                <w:i/>
                <w:sz w:val="18"/>
                <w:szCs w:val="18"/>
                <w:lang w:val="en-GB"/>
              </w:rPr>
            </w:pPr>
            <w:r w:rsidRPr="002605F8">
              <w:rPr>
                <w:i/>
                <w:sz w:val="18"/>
                <w:szCs w:val="18"/>
                <w:lang w:val="en-GB"/>
              </w:rPr>
              <w:t>(relevant table to be included)</w:t>
            </w:r>
          </w:p>
        </w:tc>
      </w:tr>
      <w:tr w:rsidR="00812FEA" w:rsidRPr="0049591E" w14:paraId="7F44ADA5" w14:textId="77777777" w:rsidTr="00C86C76">
        <w:tc>
          <w:tcPr>
            <w:tcW w:w="2268" w:type="dxa"/>
            <w:shd w:val="clear" w:color="auto" w:fill="DBE5F1" w:themeFill="accent1" w:themeFillTint="33"/>
          </w:tcPr>
          <w:p w14:paraId="19C3DD6D" w14:textId="77777777" w:rsidR="00812FEA" w:rsidRPr="002605F8" w:rsidRDefault="00812FEA" w:rsidP="00C86C76">
            <w:pPr>
              <w:rPr>
                <w:b/>
                <w:sz w:val="18"/>
                <w:szCs w:val="18"/>
                <w:lang w:val="en-GB"/>
              </w:rPr>
            </w:pPr>
            <w:r w:rsidRPr="002605F8">
              <w:rPr>
                <w:b/>
                <w:sz w:val="18"/>
                <w:szCs w:val="18"/>
                <w:lang w:val="en-GB"/>
              </w:rPr>
              <w:t>Operational action 2</w:t>
            </w:r>
          </w:p>
        </w:tc>
        <w:tc>
          <w:tcPr>
            <w:tcW w:w="7667" w:type="dxa"/>
            <w:gridSpan w:val="2"/>
            <w:shd w:val="clear" w:color="auto" w:fill="DBE5F1" w:themeFill="accent1" w:themeFillTint="33"/>
          </w:tcPr>
          <w:p w14:paraId="0A1268A1" w14:textId="77777777" w:rsidR="00812FEA" w:rsidRPr="002605F8" w:rsidRDefault="00812FEA" w:rsidP="00C86C76">
            <w:pPr>
              <w:spacing w:line="240" w:lineRule="auto"/>
              <w:rPr>
                <w:i/>
                <w:sz w:val="18"/>
                <w:szCs w:val="18"/>
                <w:lang w:val="en-GB"/>
              </w:rPr>
            </w:pPr>
            <w:r w:rsidRPr="002605F8">
              <w:rPr>
                <w:i/>
                <w:sz w:val="18"/>
                <w:szCs w:val="18"/>
                <w:lang w:val="en-GB"/>
              </w:rPr>
              <w:t>Short, precise description of the operational actions</w:t>
            </w:r>
          </w:p>
        </w:tc>
      </w:tr>
      <w:tr w:rsidR="00812FEA" w:rsidRPr="002605F8" w14:paraId="102A0B00" w14:textId="77777777" w:rsidTr="00C86C76">
        <w:tc>
          <w:tcPr>
            <w:tcW w:w="2268" w:type="dxa"/>
          </w:tcPr>
          <w:p w14:paraId="08C685E3" w14:textId="77777777" w:rsidR="00812FEA" w:rsidRPr="002605F8" w:rsidRDefault="00812FEA" w:rsidP="00C86C76">
            <w:pPr>
              <w:rPr>
                <w:b/>
                <w:color w:val="4F81BD" w:themeColor="accent1"/>
                <w:sz w:val="18"/>
                <w:szCs w:val="18"/>
                <w:lang w:val="en-GB"/>
              </w:rPr>
            </w:pPr>
            <w:r w:rsidRPr="002605F8">
              <w:rPr>
                <w:b/>
                <w:color w:val="4F81BD" w:themeColor="accent1"/>
                <w:sz w:val="18"/>
                <w:szCs w:val="18"/>
                <w:lang w:val="en-GB"/>
              </w:rPr>
              <w:t xml:space="preserve">Assumptions </w:t>
            </w:r>
          </w:p>
        </w:tc>
        <w:tc>
          <w:tcPr>
            <w:tcW w:w="7667" w:type="dxa"/>
            <w:gridSpan w:val="2"/>
          </w:tcPr>
          <w:p w14:paraId="430AFB27" w14:textId="77777777" w:rsidR="00812FEA" w:rsidRPr="002605F8" w:rsidRDefault="00812FEA" w:rsidP="00C86C76">
            <w:pPr>
              <w:spacing w:line="240" w:lineRule="auto"/>
              <w:rPr>
                <w:i/>
                <w:sz w:val="18"/>
                <w:szCs w:val="18"/>
                <w:lang w:val="en-GB"/>
              </w:rPr>
            </w:pPr>
            <w:r w:rsidRPr="002605F8">
              <w:rPr>
                <w:i/>
                <w:sz w:val="18"/>
                <w:szCs w:val="18"/>
                <w:lang w:val="en-GB"/>
              </w:rPr>
              <w:t>Summarize the assumptions related to operational action</w:t>
            </w:r>
          </w:p>
          <w:p w14:paraId="1751EF05"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XXX</w:t>
            </w:r>
          </w:p>
          <w:p w14:paraId="3D4B6337"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XXX</w:t>
            </w:r>
          </w:p>
        </w:tc>
      </w:tr>
      <w:tr w:rsidR="00812FEA" w:rsidRPr="002605F8" w14:paraId="58BA53EB" w14:textId="77777777" w:rsidTr="00C86C76">
        <w:trPr>
          <w:trHeight w:val="3545"/>
        </w:trPr>
        <w:tc>
          <w:tcPr>
            <w:tcW w:w="2268" w:type="dxa"/>
          </w:tcPr>
          <w:p w14:paraId="37F4C68F" w14:textId="77777777" w:rsidR="00812FEA" w:rsidRPr="002605F8" w:rsidRDefault="00812FEA" w:rsidP="00C86C76">
            <w:pPr>
              <w:rPr>
                <w:b/>
                <w:color w:val="4F81BD" w:themeColor="accent1"/>
                <w:sz w:val="18"/>
                <w:szCs w:val="18"/>
                <w:lang w:val="en-GB"/>
              </w:rPr>
            </w:pPr>
            <w:r w:rsidRPr="002605F8">
              <w:rPr>
                <w:b/>
                <w:color w:val="4F81BD" w:themeColor="accent1"/>
                <w:sz w:val="18"/>
                <w:szCs w:val="18"/>
                <w:lang w:val="en-GB"/>
              </w:rPr>
              <w:lastRenderedPageBreak/>
              <w:t>Cost components</w:t>
            </w:r>
          </w:p>
        </w:tc>
        <w:tc>
          <w:tcPr>
            <w:tcW w:w="7667" w:type="dxa"/>
            <w:gridSpan w:val="2"/>
          </w:tcPr>
          <w:p w14:paraId="44722155"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Implementation costs for a law, regulation, …</w:t>
            </w:r>
          </w:p>
          <w:tbl>
            <w:tblPr>
              <w:tblW w:w="5000" w:type="pct"/>
              <w:tblLook w:val="04A0" w:firstRow="1" w:lastRow="0" w:firstColumn="1" w:lastColumn="0" w:noHBand="0" w:noVBand="1"/>
            </w:tblPr>
            <w:tblGrid>
              <w:gridCol w:w="2662"/>
              <w:gridCol w:w="1119"/>
              <w:gridCol w:w="1234"/>
              <w:gridCol w:w="1213"/>
              <w:gridCol w:w="1213"/>
            </w:tblGrid>
            <w:tr w:rsidR="00812FEA" w:rsidRPr="002605F8" w14:paraId="4F7F7EE1" w14:textId="77777777" w:rsidTr="00C86C76">
              <w:trPr>
                <w:trHeight w:val="624"/>
              </w:trPr>
              <w:tc>
                <w:tcPr>
                  <w:tcW w:w="1789" w:type="pct"/>
                  <w:tcBorders>
                    <w:top w:val="single" w:sz="4" w:space="0" w:color="auto"/>
                    <w:left w:val="single" w:sz="4" w:space="0" w:color="auto"/>
                    <w:bottom w:val="single" w:sz="4" w:space="0" w:color="auto"/>
                    <w:right w:val="single" w:sz="4" w:space="0" w:color="auto"/>
                  </w:tcBorders>
                  <w:shd w:val="clear" w:color="000000" w:fill="D8D8D8"/>
                  <w:hideMark/>
                </w:tcPr>
                <w:p w14:paraId="69759B5C"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xml:space="preserve">Actions required </w:t>
                  </w:r>
                </w:p>
              </w:tc>
              <w:tc>
                <w:tcPr>
                  <w:tcW w:w="752" w:type="pct"/>
                  <w:tcBorders>
                    <w:top w:val="single" w:sz="4" w:space="0" w:color="auto"/>
                    <w:left w:val="nil"/>
                    <w:bottom w:val="single" w:sz="4" w:space="0" w:color="auto"/>
                    <w:right w:val="single" w:sz="4" w:space="0" w:color="auto"/>
                  </w:tcBorders>
                  <w:shd w:val="clear" w:color="000000" w:fill="D8D8D8"/>
                  <w:hideMark/>
                </w:tcPr>
                <w:p w14:paraId="5FD5FE53"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xml:space="preserve">Estimated </w:t>
                  </w:r>
                  <w:proofErr w:type="spellStart"/>
                  <w:r w:rsidRPr="002605F8">
                    <w:rPr>
                      <w:rFonts w:eastAsia="Times New Roman" w:cs="Arial"/>
                      <w:b/>
                      <w:bCs/>
                      <w:color w:val="000000"/>
                      <w:sz w:val="18"/>
                      <w:szCs w:val="18"/>
                      <w:lang w:val="en-GB"/>
                    </w:rPr>
                    <w:t>nr</w:t>
                  </w:r>
                  <w:proofErr w:type="spellEnd"/>
                  <w:r w:rsidRPr="002605F8">
                    <w:rPr>
                      <w:rFonts w:eastAsia="Times New Roman" w:cs="Arial"/>
                      <w:b/>
                      <w:bCs/>
                      <w:color w:val="000000"/>
                      <w:sz w:val="18"/>
                      <w:szCs w:val="18"/>
                      <w:lang w:val="en-GB"/>
                    </w:rPr>
                    <w:t xml:space="preserve"> of days</w:t>
                  </w:r>
                </w:p>
              </w:tc>
              <w:tc>
                <w:tcPr>
                  <w:tcW w:w="829" w:type="pct"/>
                  <w:tcBorders>
                    <w:top w:val="single" w:sz="4" w:space="0" w:color="auto"/>
                    <w:left w:val="nil"/>
                    <w:bottom w:val="single" w:sz="4" w:space="0" w:color="auto"/>
                    <w:right w:val="single" w:sz="4" w:space="0" w:color="auto"/>
                  </w:tcBorders>
                  <w:shd w:val="clear" w:color="000000" w:fill="D8D8D8"/>
                  <w:hideMark/>
                </w:tcPr>
                <w:p w14:paraId="2F8A9131"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Estimated rate per day (€)</w:t>
                  </w:r>
                </w:p>
              </w:tc>
              <w:tc>
                <w:tcPr>
                  <w:tcW w:w="815" w:type="pct"/>
                  <w:tcBorders>
                    <w:top w:val="single" w:sz="4" w:space="0" w:color="auto"/>
                    <w:left w:val="nil"/>
                    <w:bottom w:val="single" w:sz="4" w:space="0" w:color="auto"/>
                    <w:right w:val="single" w:sz="4" w:space="0" w:color="auto"/>
                  </w:tcBorders>
                  <w:shd w:val="clear" w:color="000000" w:fill="D8D8D8"/>
                  <w:hideMark/>
                </w:tcPr>
                <w:p w14:paraId="71F0D2E0" w14:textId="77777777" w:rsidR="00812FEA" w:rsidRPr="004C78E5" w:rsidRDefault="00812FEA" w:rsidP="00C86C76">
                  <w:pPr>
                    <w:spacing w:before="0" w:after="0" w:line="240" w:lineRule="auto"/>
                    <w:rPr>
                      <w:rFonts w:eastAsia="Times New Roman" w:cs="Arial"/>
                      <w:b/>
                      <w:bCs/>
                      <w:color w:val="000000"/>
                      <w:sz w:val="18"/>
                      <w:szCs w:val="18"/>
                      <w:lang w:val="en-GB"/>
                    </w:rPr>
                  </w:pPr>
                  <w:r w:rsidRPr="004C78E5">
                    <w:rPr>
                      <w:rFonts w:eastAsia="Times New Roman" w:cs="Arial"/>
                      <w:b/>
                      <w:bCs/>
                      <w:color w:val="000000"/>
                      <w:sz w:val="18"/>
                      <w:szCs w:val="18"/>
                      <w:lang w:val="en-GB"/>
                    </w:rPr>
                    <w:t>Estimated one-off cost per action, €</w:t>
                  </w:r>
                </w:p>
              </w:tc>
              <w:tc>
                <w:tcPr>
                  <w:tcW w:w="815" w:type="pct"/>
                  <w:tcBorders>
                    <w:top w:val="single" w:sz="4" w:space="0" w:color="auto"/>
                    <w:left w:val="nil"/>
                    <w:bottom w:val="single" w:sz="4" w:space="0" w:color="auto"/>
                    <w:right w:val="single" w:sz="4" w:space="0" w:color="auto"/>
                  </w:tcBorders>
                  <w:shd w:val="clear" w:color="000000" w:fill="D8D8D8"/>
                </w:tcPr>
                <w:p w14:paraId="3ED6BF8E" w14:textId="77777777" w:rsidR="00812FEA" w:rsidRPr="002605F8" w:rsidRDefault="00812FEA" w:rsidP="00C86C76">
                  <w:pPr>
                    <w:spacing w:before="0" w:after="0" w:line="240" w:lineRule="auto"/>
                    <w:rPr>
                      <w:rFonts w:eastAsia="Times New Roman" w:cs="Arial"/>
                      <w:b/>
                      <w:bCs/>
                      <w:color w:val="000000"/>
                      <w:sz w:val="18"/>
                      <w:szCs w:val="18"/>
                      <w:lang w:val="en-GB"/>
                    </w:rPr>
                  </w:pPr>
                  <w:proofErr w:type="spellStart"/>
                  <w:r w:rsidRPr="002605F8">
                    <w:rPr>
                      <w:b/>
                      <w:sz w:val="18"/>
                      <w:szCs w:val="18"/>
                      <w:lang w:val="en-GB"/>
                    </w:rPr>
                    <w:t>Geogr</w:t>
                  </w:r>
                  <w:proofErr w:type="spellEnd"/>
                  <w:r w:rsidRPr="002605F8">
                    <w:rPr>
                      <w:b/>
                      <w:sz w:val="18"/>
                      <w:szCs w:val="18"/>
                      <w:lang w:val="en-GB"/>
                    </w:rPr>
                    <w:t>. cost level</w:t>
                  </w:r>
                </w:p>
              </w:tc>
            </w:tr>
            <w:tr w:rsidR="00812FEA" w:rsidRPr="002605F8" w14:paraId="7C0DCF3D" w14:textId="77777777" w:rsidTr="00C86C76">
              <w:trPr>
                <w:trHeight w:val="276"/>
              </w:trPr>
              <w:tc>
                <w:tcPr>
                  <w:tcW w:w="1789" w:type="pct"/>
                  <w:tcBorders>
                    <w:top w:val="nil"/>
                    <w:left w:val="single" w:sz="4" w:space="0" w:color="auto"/>
                    <w:bottom w:val="single" w:sz="4" w:space="0" w:color="auto"/>
                    <w:right w:val="single" w:sz="4" w:space="0" w:color="auto"/>
                  </w:tcBorders>
                  <w:shd w:val="clear" w:color="auto" w:fill="auto"/>
                  <w:hideMark/>
                </w:tcPr>
                <w:p w14:paraId="693364D6"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xml:space="preserve">Preparation (Planning, writing) </w:t>
                  </w:r>
                </w:p>
              </w:tc>
              <w:tc>
                <w:tcPr>
                  <w:tcW w:w="752" w:type="pct"/>
                  <w:tcBorders>
                    <w:top w:val="nil"/>
                    <w:left w:val="nil"/>
                    <w:bottom w:val="single" w:sz="4" w:space="0" w:color="auto"/>
                    <w:right w:val="single" w:sz="4" w:space="0" w:color="auto"/>
                  </w:tcBorders>
                  <w:shd w:val="clear" w:color="auto" w:fill="auto"/>
                  <w:hideMark/>
                </w:tcPr>
                <w:p w14:paraId="73B0638B"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29" w:type="pct"/>
                  <w:tcBorders>
                    <w:top w:val="nil"/>
                    <w:left w:val="nil"/>
                    <w:bottom w:val="single" w:sz="4" w:space="0" w:color="auto"/>
                    <w:right w:val="single" w:sz="4" w:space="0" w:color="auto"/>
                  </w:tcBorders>
                  <w:shd w:val="clear" w:color="auto" w:fill="auto"/>
                  <w:hideMark/>
                </w:tcPr>
                <w:p w14:paraId="50E7CAB9"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15" w:type="pct"/>
                  <w:tcBorders>
                    <w:top w:val="nil"/>
                    <w:left w:val="nil"/>
                    <w:bottom w:val="single" w:sz="4" w:space="0" w:color="auto"/>
                    <w:right w:val="single" w:sz="4" w:space="0" w:color="auto"/>
                  </w:tcBorders>
                  <w:shd w:val="clear" w:color="auto" w:fill="auto"/>
                </w:tcPr>
                <w:p w14:paraId="67590587" w14:textId="77777777" w:rsidR="00812FEA" w:rsidRPr="002605F8" w:rsidRDefault="00812FEA" w:rsidP="00C86C76">
                  <w:pPr>
                    <w:spacing w:before="0" w:after="0" w:line="240" w:lineRule="auto"/>
                    <w:jc w:val="right"/>
                    <w:rPr>
                      <w:rFonts w:eastAsia="Times New Roman" w:cs="Arial"/>
                      <w:color w:val="000000"/>
                      <w:sz w:val="18"/>
                      <w:szCs w:val="18"/>
                      <w:lang w:val="en-GB"/>
                    </w:rPr>
                  </w:pPr>
                </w:p>
              </w:tc>
              <w:tc>
                <w:tcPr>
                  <w:tcW w:w="815" w:type="pct"/>
                  <w:tcBorders>
                    <w:top w:val="nil"/>
                    <w:left w:val="nil"/>
                    <w:bottom w:val="single" w:sz="4" w:space="0" w:color="auto"/>
                    <w:right w:val="single" w:sz="4" w:space="0" w:color="auto"/>
                  </w:tcBorders>
                </w:tcPr>
                <w:p w14:paraId="5D360294" w14:textId="77777777" w:rsidR="00812FEA" w:rsidRPr="002605F8" w:rsidRDefault="00812FEA" w:rsidP="00C86C76">
                  <w:pPr>
                    <w:spacing w:before="0" w:after="0" w:line="240" w:lineRule="auto"/>
                    <w:jc w:val="right"/>
                    <w:rPr>
                      <w:rFonts w:eastAsia="Times New Roman" w:cs="Arial"/>
                      <w:color w:val="000000"/>
                      <w:sz w:val="18"/>
                      <w:szCs w:val="18"/>
                      <w:lang w:val="en-GB"/>
                    </w:rPr>
                  </w:pPr>
                </w:p>
              </w:tc>
            </w:tr>
            <w:tr w:rsidR="00812FEA" w:rsidRPr="002605F8" w14:paraId="10C07C7F" w14:textId="77777777" w:rsidTr="00C86C76">
              <w:trPr>
                <w:trHeight w:val="276"/>
              </w:trPr>
              <w:tc>
                <w:tcPr>
                  <w:tcW w:w="1789" w:type="pct"/>
                  <w:tcBorders>
                    <w:top w:val="nil"/>
                    <w:left w:val="single" w:sz="4" w:space="0" w:color="auto"/>
                    <w:bottom w:val="single" w:sz="4" w:space="0" w:color="auto"/>
                    <w:right w:val="single" w:sz="4" w:space="0" w:color="auto"/>
                  </w:tcBorders>
                  <w:shd w:val="clear" w:color="auto" w:fill="auto"/>
                  <w:hideMark/>
                </w:tcPr>
                <w:p w14:paraId="38D45172"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Consultation, Dealing with objections,</w:t>
                  </w:r>
                </w:p>
              </w:tc>
              <w:tc>
                <w:tcPr>
                  <w:tcW w:w="752" w:type="pct"/>
                  <w:tcBorders>
                    <w:top w:val="nil"/>
                    <w:left w:val="nil"/>
                    <w:bottom w:val="single" w:sz="4" w:space="0" w:color="auto"/>
                    <w:right w:val="single" w:sz="4" w:space="0" w:color="auto"/>
                  </w:tcBorders>
                  <w:shd w:val="clear" w:color="auto" w:fill="auto"/>
                  <w:hideMark/>
                </w:tcPr>
                <w:p w14:paraId="444546AC"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29" w:type="pct"/>
                  <w:tcBorders>
                    <w:top w:val="nil"/>
                    <w:left w:val="nil"/>
                    <w:bottom w:val="single" w:sz="4" w:space="0" w:color="auto"/>
                    <w:right w:val="single" w:sz="4" w:space="0" w:color="auto"/>
                  </w:tcBorders>
                  <w:shd w:val="clear" w:color="auto" w:fill="auto"/>
                  <w:hideMark/>
                </w:tcPr>
                <w:p w14:paraId="30B52088" w14:textId="77777777" w:rsidR="00812FEA" w:rsidRPr="002605F8" w:rsidRDefault="00812FEA" w:rsidP="00C86C76">
                  <w:pPr>
                    <w:spacing w:before="0" w:after="0" w:line="240" w:lineRule="auto"/>
                    <w:rPr>
                      <w:rFonts w:eastAsia="Times New Roman" w:cs="Arial"/>
                      <w:color w:val="000000"/>
                      <w:sz w:val="18"/>
                      <w:szCs w:val="18"/>
                      <w:lang w:val="en-GB"/>
                    </w:rPr>
                  </w:pPr>
                  <w:r w:rsidRPr="002605F8">
                    <w:rPr>
                      <w:rFonts w:eastAsia="Times New Roman" w:cs="Arial"/>
                      <w:color w:val="000000"/>
                      <w:sz w:val="18"/>
                      <w:szCs w:val="18"/>
                      <w:lang w:val="en-GB"/>
                    </w:rPr>
                    <w:t> </w:t>
                  </w:r>
                </w:p>
              </w:tc>
              <w:tc>
                <w:tcPr>
                  <w:tcW w:w="815" w:type="pct"/>
                  <w:tcBorders>
                    <w:top w:val="nil"/>
                    <w:left w:val="nil"/>
                    <w:bottom w:val="single" w:sz="4" w:space="0" w:color="auto"/>
                    <w:right w:val="single" w:sz="4" w:space="0" w:color="auto"/>
                  </w:tcBorders>
                  <w:shd w:val="clear" w:color="auto" w:fill="auto"/>
                </w:tcPr>
                <w:p w14:paraId="2FADD866" w14:textId="77777777" w:rsidR="00812FEA" w:rsidRPr="002605F8" w:rsidRDefault="00812FEA" w:rsidP="00C86C76">
                  <w:pPr>
                    <w:spacing w:before="0" w:after="0" w:line="240" w:lineRule="auto"/>
                    <w:jc w:val="right"/>
                    <w:rPr>
                      <w:rFonts w:eastAsia="Times New Roman" w:cs="Arial"/>
                      <w:color w:val="000000"/>
                      <w:sz w:val="18"/>
                      <w:szCs w:val="18"/>
                      <w:lang w:val="en-GB"/>
                    </w:rPr>
                  </w:pPr>
                </w:p>
              </w:tc>
              <w:tc>
                <w:tcPr>
                  <w:tcW w:w="815" w:type="pct"/>
                  <w:tcBorders>
                    <w:top w:val="nil"/>
                    <w:left w:val="nil"/>
                    <w:bottom w:val="single" w:sz="4" w:space="0" w:color="auto"/>
                    <w:right w:val="single" w:sz="4" w:space="0" w:color="auto"/>
                  </w:tcBorders>
                </w:tcPr>
                <w:p w14:paraId="3B539679" w14:textId="77777777" w:rsidR="00812FEA" w:rsidRPr="002605F8" w:rsidRDefault="00812FEA" w:rsidP="00C86C76">
                  <w:pPr>
                    <w:spacing w:before="0" w:after="0" w:line="240" w:lineRule="auto"/>
                    <w:jc w:val="right"/>
                    <w:rPr>
                      <w:rFonts w:eastAsia="Times New Roman" w:cs="Arial"/>
                      <w:color w:val="000000"/>
                      <w:sz w:val="18"/>
                      <w:szCs w:val="18"/>
                      <w:lang w:val="en-GB"/>
                    </w:rPr>
                  </w:pPr>
                </w:p>
              </w:tc>
            </w:tr>
            <w:tr w:rsidR="00812FEA" w:rsidRPr="0049591E" w14:paraId="577E92AC" w14:textId="77777777" w:rsidTr="00C86C76">
              <w:trPr>
                <w:trHeight w:val="276"/>
              </w:trPr>
              <w:tc>
                <w:tcPr>
                  <w:tcW w:w="1789" w:type="pct"/>
                  <w:tcBorders>
                    <w:top w:val="nil"/>
                    <w:left w:val="single" w:sz="4" w:space="0" w:color="auto"/>
                    <w:bottom w:val="single" w:sz="4" w:space="0" w:color="auto"/>
                    <w:right w:val="single" w:sz="4" w:space="0" w:color="auto"/>
                  </w:tcBorders>
                  <w:shd w:val="clear" w:color="auto" w:fill="auto"/>
                  <w:hideMark/>
                </w:tcPr>
                <w:p w14:paraId="4374D420" w14:textId="77777777" w:rsidR="00812FEA" w:rsidRPr="004C78E5" w:rsidRDefault="00812FEA" w:rsidP="00C86C76">
                  <w:pPr>
                    <w:spacing w:before="0" w:after="0" w:line="240" w:lineRule="auto"/>
                    <w:rPr>
                      <w:rFonts w:eastAsia="Times New Roman" w:cs="Arial"/>
                      <w:color w:val="000000"/>
                      <w:sz w:val="18"/>
                      <w:szCs w:val="18"/>
                      <w:lang w:val="en-GB"/>
                    </w:rPr>
                  </w:pPr>
                  <w:r w:rsidRPr="004C78E5">
                    <w:rPr>
                      <w:rFonts w:eastAsia="Times New Roman" w:cs="Arial"/>
                      <w:color w:val="000000"/>
                      <w:sz w:val="18"/>
                      <w:szCs w:val="18"/>
                      <w:lang w:val="en-GB"/>
                    </w:rPr>
                    <w:t>Finalisation (Approval and sign-off, advertising)</w:t>
                  </w:r>
                </w:p>
              </w:tc>
              <w:tc>
                <w:tcPr>
                  <w:tcW w:w="752" w:type="pct"/>
                  <w:tcBorders>
                    <w:top w:val="nil"/>
                    <w:left w:val="nil"/>
                    <w:bottom w:val="single" w:sz="4" w:space="0" w:color="auto"/>
                    <w:right w:val="single" w:sz="4" w:space="0" w:color="auto"/>
                  </w:tcBorders>
                  <w:shd w:val="clear" w:color="auto" w:fill="auto"/>
                  <w:hideMark/>
                </w:tcPr>
                <w:p w14:paraId="73FAAE1B" w14:textId="77777777" w:rsidR="00812FEA" w:rsidRPr="004C78E5" w:rsidRDefault="00812FEA" w:rsidP="00C86C76">
                  <w:pPr>
                    <w:spacing w:before="0" w:after="0" w:line="240" w:lineRule="auto"/>
                    <w:rPr>
                      <w:rFonts w:eastAsia="Times New Roman" w:cs="Arial"/>
                      <w:color w:val="000000"/>
                      <w:sz w:val="18"/>
                      <w:szCs w:val="18"/>
                      <w:lang w:val="en-GB"/>
                    </w:rPr>
                  </w:pPr>
                  <w:r w:rsidRPr="004C78E5">
                    <w:rPr>
                      <w:rFonts w:eastAsia="Times New Roman" w:cs="Arial"/>
                      <w:color w:val="000000"/>
                      <w:sz w:val="18"/>
                      <w:szCs w:val="18"/>
                      <w:lang w:val="en-GB"/>
                    </w:rPr>
                    <w:t> </w:t>
                  </w:r>
                </w:p>
              </w:tc>
              <w:tc>
                <w:tcPr>
                  <w:tcW w:w="829" w:type="pct"/>
                  <w:tcBorders>
                    <w:top w:val="nil"/>
                    <w:left w:val="nil"/>
                    <w:bottom w:val="single" w:sz="4" w:space="0" w:color="auto"/>
                    <w:right w:val="single" w:sz="4" w:space="0" w:color="auto"/>
                  </w:tcBorders>
                  <w:shd w:val="clear" w:color="auto" w:fill="auto"/>
                  <w:hideMark/>
                </w:tcPr>
                <w:p w14:paraId="72F643E2" w14:textId="77777777" w:rsidR="00812FEA" w:rsidRPr="004C78E5" w:rsidRDefault="00812FEA" w:rsidP="00C86C76">
                  <w:pPr>
                    <w:spacing w:before="0" w:after="0" w:line="240" w:lineRule="auto"/>
                    <w:rPr>
                      <w:rFonts w:eastAsia="Times New Roman" w:cs="Arial"/>
                      <w:color w:val="000000"/>
                      <w:sz w:val="18"/>
                      <w:szCs w:val="18"/>
                      <w:lang w:val="en-GB"/>
                    </w:rPr>
                  </w:pPr>
                  <w:r w:rsidRPr="004C78E5">
                    <w:rPr>
                      <w:rFonts w:eastAsia="Times New Roman" w:cs="Arial"/>
                      <w:color w:val="000000"/>
                      <w:sz w:val="18"/>
                      <w:szCs w:val="18"/>
                      <w:lang w:val="en-GB"/>
                    </w:rPr>
                    <w:t> </w:t>
                  </w:r>
                </w:p>
              </w:tc>
              <w:tc>
                <w:tcPr>
                  <w:tcW w:w="815" w:type="pct"/>
                  <w:tcBorders>
                    <w:top w:val="nil"/>
                    <w:left w:val="nil"/>
                    <w:bottom w:val="single" w:sz="4" w:space="0" w:color="auto"/>
                    <w:right w:val="single" w:sz="4" w:space="0" w:color="auto"/>
                  </w:tcBorders>
                  <w:shd w:val="clear" w:color="auto" w:fill="auto"/>
                </w:tcPr>
                <w:p w14:paraId="6C971B87" w14:textId="77777777" w:rsidR="00812FEA" w:rsidRPr="004C78E5" w:rsidRDefault="00812FEA" w:rsidP="00C86C76">
                  <w:pPr>
                    <w:spacing w:before="0" w:after="0" w:line="240" w:lineRule="auto"/>
                    <w:jc w:val="right"/>
                    <w:rPr>
                      <w:rFonts w:eastAsia="Times New Roman" w:cs="Arial"/>
                      <w:color w:val="000000"/>
                      <w:sz w:val="18"/>
                      <w:szCs w:val="18"/>
                      <w:lang w:val="en-GB"/>
                    </w:rPr>
                  </w:pPr>
                </w:p>
              </w:tc>
              <w:tc>
                <w:tcPr>
                  <w:tcW w:w="815" w:type="pct"/>
                  <w:tcBorders>
                    <w:top w:val="nil"/>
                    <w:left w:val="nil"/>
                    <w:bottom w:val="single" w:sz="4" w:space="0" w:color="auto"/>
                    <w:right w:val="single" w:sz="4" w:space="0" w:color="auto"/>
                  </w:tcBorders>
                </w:tcPr>
                <w:p w14:paraId="7C07EF91" w14:textId="77777777" w:rsidR="00812FEA" w:rsidRPr="004C78E5" w:rsidRDefault="00812FEA" w:rsidP="00C86C76">
                  <w:pPr>
                    <w:spacing w:before="0" w:after="0" w:line="240" w:lineRule="auto"/>
                    <w:jc w:val="right"/>
                    <w:rPr>
                      <w:rFonts w:eastAsia="Times New Roman" w:cs="Arial"/>
                      <w:color w:val="000000"/>
                      <w:sz w:val="18"/>
                      <w:szCs w:val="18"/>
                      <w:lang w:val="en-GB"/>
                    </w:rPr>
                  </w:pPr>
                </w:p>
              </w:tc>
            </w:tr>
            <w:tr w:rsidR="00812FEA" w:rsidRPr="002605F8" w14:paraId="116F0B8C" w14:textId="77777777" w:rsidTr="00C86C76">
              <w:trPr>
                <w:trHeight w:val="276"/>
              </w:trPr>
              <w:tc>
                <w:tcPr>
                  <w:tcW w:w="1789" w:type="pct"/>
                  <w:tcBorders>
                    <w:top w:val="nil"/>
                    <w:left w:val="single" w:sz="4" w:space="0" w:color="auto"/>
                    <w:bottom w:val="single" w:sz="4" w:space="0" w:color="auto"/>
                    <w:right w:val="single" w:sz="4" w:space="0" w:color="auto"/>
                  </w:tcBorders>
                  <w:shd w:val="clear" w:color="auto" w:fill="auto"/>
                  <w:hideMark/>
                </w:tcPr>
                <w:p w14:paraId="2DCDBA36" w14:textId="77777777" w:rsidR="00812FEA" w:rsidRPr="004C78E5" w:rsidRDefault="00812FEA" w:rsidP="00C86C76">
                  <w:pPr>
                    <w:spacing w:before="0" w:after="0" w:line="240" w:lineRule="auto"/>
                    <w:rPr>
                      <w:rFonts w:eastAsia="Times New Roman" w:cs="Arial"/>
                      <w:b/>
                      <w:bCs/>
                      <w:color w:val="000000"/>
                      <w:sz w:val="18"/>
                      <w:szCs w:val="18"/>
                      <w:lang w:val="en-GB"/>
                    </w:rPr>
                  </w:pPr>
                  <w:r w:rsidRPr="004C78E5">
                    <w:rPr>
                      <w:rFonts w:eastAsia="Times New Roman" w:cs="Arial"/>
                      <w:b/>
                      <w:bCs/>
                      <w:color w:val="000000"/>
                      <w:sz w:val="18"/>
                      <w:szCs w:val="18"/>
                      <w:lang w:val="en-GB"/>
                    </w:rPr>
                    <w:t>Total estimate:</w:t>
                  </w:r>
                </w:p>
                <w:p w14:paraId="69DDD235" w14:textId="71CCA4D1" w:rsidR="00812FEA" w:rsidRPr="002605F8" w:rsidRDefault="00812FEA" w:rsidP="00C86C76">
                  <w:pPr>
                    <w:spacing w:before="0" w:after="0" w:line="240" w:lineRule="auto"/>
                    <w:jc w:val="right"/>
                    <w:rPr>
                      <w:rFonts w:eastAsia="Times New Roman" w:cs="Arial"/>
                      <w:b/>
                      <w:bCs/>
                      <w:color w:val="000000"/>
                      <w:sz w:val="18"/>
                      <w:szCs w:val="18"/>
                      <w:lang w:val="en-GB"/>
                    </w:rPr>
                  </w:pPr>
                </w:p>
              </w:tc>
              <w:tc>
                <w:tcPr>
                  <w:tcW w:w="752" w:type="pct"/>
                  <w:tcBorders>
                    <w:top w:val="nil"/>
                    <w:left w:val="nil"/>
                    <w:bottom w:val="single" w:sz="4" w:space="0" w:color="auto"/>
                    <w:right w:val="single" w:sz="4" w:space="0" w:color="auto"/>
                  </w:tcBorders>
                  <w:shd w:val="clear" w:color="auto" w:fill="auto"/>
                  <w:hideMark/>
                </w:tcPr>
                <w:p w14:paraId="7DD61BAF"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w:t>
                  </w:r>
                </w:p>
              </w:tc>
              <w:tc>
                <w:tcPr>
                  <w:tcW w:w="829" w:type="pct"/>
                  <w:tcBorders>
                    <w:top w:val="nil"/>
                    <w:left w:val="nil"/>
                    <w:bottom w:val="single" w:sz="4" w:space="0" w:color="auto"/>
                    <w:right w:val="single" w:sz="4" w:space="0" w:color="auto"/>
                  </w:tcBorders>
                  <w:shd w:val="clear" w:color="auto" w:fill="auto"/>
                  <w:hideMark/>
                </w:tcPr>
                <w:p w14:paraId="19F10003" w14:textId="77777777" w:rsidR="00812FEA" w:rsidRPr="002605F8" w:rsidRDefault="00812FEA" w:rsidP="00C86C76">
                  <w:pPr>
                    <w:spacing w:before="0" w:after="0" w:line="240" w:lineRule="auto"/>
                    <w:rPr>
                      <w:rFonts w:eastAsia="Times New Roman" w:cs="Arial"/>
                      <w:b/>
                      <w:bCs/>
                      <w:color w:val="000000"/>
                      <w:sz w:val="18"/>
                      <w:szCs w:val="18"/>
                      <w:lang w:val="en-GB"/>
                    </w:rPr>
                  </w:pPr>
                  <w:r w:rsidRPr="002605F8">
                    <w:rPr>
                      <w:rFonts w:eastAsia="Times New Roman" w:cs="Arial"/>
                      <w:b/>
                      <w:bCs/>
                      <w:color w:val="000000"/>
                      <w:sz w:val="18"/>
                      <w:szCs w:val="18"/>
                      <w:lang w:val="en-GB"/>
                    </w:rPr>
                    <w:t> </w:t>
                  </w:r>
                </w:p>
              </w:tc>
              <w:tc>
                <w:tcPr>
                  <w:tcW w:w="815" w:type="pct"/>
                  <w:tcBorders>
                    <w:top w:val="nil"/>
                    <w:left w:val="nil"/>
                    <w:bottom w:val="single" w:sz="4" w:space="0" w:color="auto"/>
                    <w:right w:val="single" w:sz="4" w:space="0" w:color="auto"/>
                  </w:tcBorders>
                  <w:shd w:val="clear" w:color="auto" w:fill="auto"/>
                  <w:noWrap/>
                </w:tcPr>
                <w:p w14:paraId="4D9A3B3F" w14:textId="77777777" w:rsidR="00812FEA" w:rsidRPr="002605F8" w:rsidRDefault="00812FEA" w:rsidP="00C86C76">
                  <w:pPr>
                    <w:spacing w:before="0" w:after="0" w:line="240" w:lineRule="auto"/>
                    <w:jc w:val="right"/>
                    <w:rPr>
                      <w:rFonts w:eastAsia="Times New Roman" w:cs="Arial"/>
                      <w:b/>
                      <w:bCs/>
                      <w:color w:val="000000"/>
                      <w:sz w:val="18"/>
                      <w:szCs w:val="18"/>
                      <w:lang w:val="en-GB"/>
                    </w:rPr>
                  </w:pPr>
                </w:p>
              </w:tc>
              <w:tc>
                <w:tcPr>
                  <w:tcW w:w="815" w:type="pct"/>
                  <w:tcBorders>
                    <w:top w:val="nil"/>
                    <w:left w:val="nil"/>
                    <w:bottom w:val="single" w:sz="4" w:space="0" w:color="auto"/>
                    <w:right w:val="single" w:sz="4" w:space="0" w:color="auto"/>
                  </w:tcBorders>
                </w:tcPr>
                <w:p w14:paraId="30DFB6A8" w14:textId="77777777" w:rsidR="00812FEA" w:rsidRPr="002605F8" w:rsidRDefault="00812FEA" w:rsidP="00C86C76">
                  <w:pPr>
                    <w:spacing w:before="0" w:after="0" w:line="240" w:lineRule="auto"/>
                    <w:jc w:val="right"/>
                    <w:rPr>
                      <w:rFonts w:eastAsia="Times New Roman" w:cs="Arial"/>
                      <w:b/>
                      <w:bCs/>
                      <w:color w:val="000000"/>
                      <w:sz w:val="18"/>
                      <w:szCs w:val="18"/>
                      <w:lang w:val="en-GB"/>
                    </w:rPr>
                  </w:pPr>
                </w:p>
              </w:tc>
            </w:tr>
          </w:tbl>
          <w:p w14:paraId="6C1ABC65" w14:textId="77777777" w:rsidR="00812FEA" w:rsidRPr="002605F8" w:rsidRDefault="00812FEA" w:rsidP="00C86C76">
            <w:pPr>
              <w:spacing w:line="240" w:lineRule="auto"/>
              <w:rPr>
                <w:i/>
                <w:sz w:val="18"/>
                <w:szCs w:val="18"/>
                <w:lang w:val="en-GB"/>
              </w:rPr>
            </w:pPr>
          </w:p>
        </w:tc>
      </w:tr>
      <w:tr w:rsidR="00812FEA" w:rsidRPr="002605F8" w14:paraId="1F3B1E4A" w14:textId="77777777" w:rsidTr="00C86C76">
        <w:trPr>
          <w:trHeight w:val="3395"/>
        </w:trPr>
        <w:tc>
          <w:tcPr>
            <w:tcW w:w="2268" w:type="dxa"/>
          </w:tcPr>
          <w:p w14:paraId="7F32477E" w14:textId="77777777" w:rsidR="00812FEA" w:rsidRPr="002605F8" w:rsidRDefault="00812FEA" w:rsidP="00C86C76">
            <w:pPr>
              <w:rPr>
                <w:b/>
                <w:sz w:val="18"/>
                <w:szCs w:val="18"/>
                <w:lang w:val="en-GB"/>
              </w:rPr>
            </w:pPr>
          </w:p>
        </w:tc>
        <w:tc>
          <w:tcPr>
            <w:tcW w:w="7667" w:type="dxa"/>
            <w:gridSpan w:val="2"/>
          </w:tcPr>
          <w:p w14:paraId="46EDA6E8" w14:textId="77777777" w:rsidR="00812FEA" w:rsidRPr="002605F8" w:rsidRDefault="00812FEA" w:rsidP="00C86C76">
            <w:pPr>
              <w:pStyle w:val="Opsommingsymbool0"/>
              <w:spacing w:line="360" w:lineRule="auto"/>
              <w:jc w:val="both"/>
              <w:rPr>
                <w:sz w:val="18"/>
                <w:szCs w:val="18"/>
                <w:lang w:val="en-GB"/>
              </w:rPr>
            </w:pPr>
            <w:r w:rsidRPr="002605F8">
              <w:rPr>
                <w:sz w:val="18"/>
                <w:szCs w:val="18"/>
                <w:lang w:val="en-GB"/>
              </w:rPr>
              <w:t>Management costs</w:t>
            </w:r>
          </w:p>
          <w:tbl>
            <w:tblPr>
              <w:tblW w:w="5000" w:type="pct"/>
              <w:tblLook w:val="04A0" w:firstRow="1" w:lastRow="0" w:firstColumn="1" w:lastColumn="0" w:noHBand="0" w:noVBand="1"/>
            </w:tblPr>
            <w:tblGrid>
              <w:gridCol w:w="2218"/>
              <w:gridCol w:w="1265"/>
              <w:gridCol w:w="1326"/>
              <w:gridCol w:w="1316"/>
              <w:gridCol w:w="1316"/>
            </w:tblGrid>
            <w:tr w:rsidR="00812FEA" w:rsidRPr="002605F8" w14:paraId="6AB1C5F6" w14:textId="77777777" w:rsidTr="00C86C76">
              <w:trPr>
                <w:trHeight w:val="528"/>
              </w:trPr>
              <w:tc>
                <w:tcPr>
                  <w:tcW w:w="1491" w:type="pct"/>
                  <w:tcBorders>
                    <w:top w:val="single" w:sz="4" w:space="0" w:color="auto"/>
                    <w:left w:val="single" w:sz="4" w:space="0" w:color="auto"/>
                    <w:bottom w:val="single" w:sz="4" w:space="0" w:color="auto"/>
                    <w:right w:val="single" w:sz="4" w:space="0" w:color="auto"/>
                  </w:tcBorders>
                  <w:shd w:val="clear" w:color="000000" w:fill="D8D8D8"/>
                  <w:hideMark/>
                </w:tcPr>
                <w:p w14:paraId="2628EF1F" w14:textId="77777777" w:rsidR="00812FEA" w:rsidRPr="002605F8" w:rsidRDefault="00812FEA" w:rsidP="00C86C76">
                  <w:pPr>
                    <w:pStyle w:val="Geenafstand"/>
                    <w:rPr>
                      <w:b/>
                      <w:sz w:val="18"/>
                      <w:szCs w:val="18"/>
                    </w:rPr>
                  </w:pPr>
                  <w:r w:rsidRPr="002605F8">
                    <w:rPr>
                      <w:b/>
                      <w:sz w:val="18"/>
                      <w:szCs w:val="18"/>
                    </w:rPr>
                    <w:t>Actions required</w:t>
                  </w:r>
                </w:p>
              </w:tc>
              <w:tc>
                <w:tcPr>
                  <w:tcW w:w="850" w:type="pct"/>
                  <w:tcBorders>
                    <w:top w:val="single" w:sz="4" w:space="0" w:color="auto"/>
                    <w:left w:val="nil"/>
                    <w:bottom w:val="single" w:sz="4" w:space="0" w:color="auto"/>
                    <w:right w:val="single" w:sz="4" w:space="0" w:color="auto"/>
                  </w:tcBorders>
                  <w:shd w:val="clear" w:color="000000" w:fill="D8D8D8"/>
                  <w:hideMark/>
                </w:tcPr>
                <w:p w14:paraId="0B6A2DC4" w14:textId="77777777" w:rsidR="00812FEA" w:rsidRPr="002605F8" w:rsidRDefault="00812FEA" w:rsidP="00C86C76">
                  <w:pPr>
                    <w:pStyle w:val="Geenafstand"/>
                    <w:rPr>
                      <w:b/>
                      <w:sz w:val="18"/>
                      <w:szCs w:val="18"/>
                    </w:rPr>
                  </w:pPr>
                  <w:r w:rsidRPr="002605F8">
                    <w:rPr>
                      <w:b/>
                      <w:sz w:val="18"/>
                      <w:szCs w:val="18"/>
                    </w:rPr>
                    <w:t xml:space="preserve">Estimated </w:t>
                  </w:r>
                  <w:proofErr w:type="spellStart"/>
                  <w:r w:rsidRPr="002605F8">
                    <w:rPr>
                      <w:b/>
                      <w:sz w:val="18"/>
                      <w:szCs w:val="18"/>
                    </w:rPr>
                    <w:t>nr</w:t>
                  </w:r>
                  <w:proofErr w:type="spellEnd"/>
                  <w:r w:rsidRPr="002605F8">
                    <w:rPr>
                      <w:b/>
                      <w:sz w:val="18"/>
                      <w:szCs w:val="18"/>
                    </w:rPr>
                    <w:t xml:space="preserve"> of days/</w:t>
                  </w:r>
                  <w:proofErr w:type="spellStart"/>
                  <w:r w:rsidRPr="002605F8">
                    <w:rPr>
                      <w:b/>
                      <w:sz w:val="18"/>
                      <w:szCs w:val="18"/>
                    </w:rPr>
                    <w:t>yr</w:t>
                  </w:r>
                  <w:proofErr w:type="spellEnd"/>
                </w:p>
              </w:tc>
              <w:tc>
                <w:tcPr>
                  <w:tcW w:w="891" w:type="pct"/>
                  <w:tcBorders>
                    <w:top w:val="single" w:sz="4" w:space="0" w:color="auto"/>
                    <w:left w:val="nil"/>
                    <w:bottom w:val="single" w:sz="4" w:space="0" w:color="auto"/>
                    <w:right w:val="single" w:sz="4" w:space="0" w:color="auto"/>
                  </w:tcBorders>
                  <w:shd w:val="clear" w:color="000000" w:fill="D8D8D8"/>
                  <w:hideMark/>
                </w:tcPr>
                <w:p w14:paraId="036A5FD8" w14:textId="77777777" w:rsidR="00812FEA" w:rsidRPr="002605F8" w:rsidRDefault="00812FEA" w:rsidP="00C86C76">
                  <w:pPr>
                    <w:pStyle w:val="Geenafstand"/>
                    <w:rPr>
                      <w:b/>
                      <w:sz w:val="18"/>
                      <w:szCs w:val="18"/>
                    </w:rPr>
                  </w:pPr>
                  <w:r w:rsidRPr="002605F8">
                    <w:rPr>
                      <w:b/>
                      <w:sz w:val="18"/>
                      <w:szCs w:val="18"/>
                    </w:rPr>
                    <w:t>Estimated rate per day (€)</w:t>
                  </w:r>
                </w:p>
              </w:tc>
              <w:tc>
                <w:tcPr>
                  <w:tcW w:w="884" w:type="pct"/>
                  <w:tcBorders>
                    <w:top w:val="single" w:sz="4" w:space="0" w:color="auto"/>
                    <w:left w:val="nil"/>
                    <w:bottom w:val="single" w:sz="4" w:space="0" w:color="auto"/>
                    <w:right w:val="single" w:sz="4" w:space="0" w:color="auto"/>
                  </w:tcBorders>
                  <w:shd w:val="clear" w:color="000000" w:fill="D8D8D8"/>
                  <w:hideMark/>
                </w:tcPr>
                <w:p w14:paraId="22EB9852" w14:textId="77777777" w:rsidR="00812FEA" w:rsidRPr="002605F8" w:rsidRDefault="00812FEA" w:rsidP="00C86C76">
                  <w:pPr>
                    <w:pStyle w:val="Geenafstand"/>
                    <w:rPr>
                      <w:b/>
                      <w:sz w:val="18"/>
                      <w:szCs w:val="18"/>
                    </w:rPr>
                  </w:pPr>
                  <w:r w:rsidRPr="002605F8">
                    <w:rPr>
                      <w:b/>
                      <w:sz w:val="18"/>
                      <w:szCs w:val="18"/>
                    </w:rPr>
                    <w:t>Estimated cost per year €</w:t>
                  </w:r>
                </w:p>
              </w:tc>
              <w:tc>
                <w:tcPr>
                  <w:tcW w:w="884" w:type="pct"/>
                  <w:tcBorders>
                    <w:top w:val="single" w:sz="4" w:space="0" w:color="auto"/>
                    <w:left w:val="nil"/>
                    <w:bottom w:val="single" w:sz="4" w:space="0" w:color="auto"/>
                    <w:right w:val="single" w:sz="4" w:space="0" w:color="auto"/>
                  </w:tcBorders>
                  <w:shd w:val="clear" w:color="000000" w:fill="D8D8D8"/>
                </w:tcPr>
                <w:p w14:paraId="433F33C4" w14:textId="77777777" w:rsidR="00812FEA" w:rsidRPr="002605F8" w:rsidRDefault="00812FEA" w:rsidP="00C86C76">
                  <w:pPr>
                    <w:pStyle w:val="Geenafstand"/>
                    <w:rPr>
                      <w:b/>
                      <w:sz w:val="18"/>
                      <w:szCs w:val="18"/>
                    </w:rPr>
                  </w:pPr>
                  <w:proofErr w:type="spellStart"/>
                  <w:r w:rsidRPr="002605F8">
                    <w:rPr>
                      <w:b/>
                      <w:sz w:val="18"/>
                      <w:szCs w:val="18"/>
                    </w:rPr>
                    <w:t>Geogr</w:t>
                  </w:r>
                  <w:proofErr w:type="spellEnd"/>
                  <w:r w:rsidRPr="002605F8">
                    <w:rPr>
                      <w:b/>
                      <w:sz w:val="18"/>
                      <w:szCs w:val="18"/>
                    </w:rPr>
                    <w:t>. cost level</w:t>
                  </w:r>
                </w:p>
              </w:tc>
            </w:tr>
            <w:tr w:rsidR="00812FEA" w:rsidRPr="0049591E" w14:paraId="08560587"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41044D74" w14:textId="77777777" w:rsidR="00812FEA" w:rsidRPr="002605F8" w:rsidRDefault="00812FEA" w:rsidP="00C86C76">
                  <w:pPr>
                    <w:pStyle w:val="Geenafstand"/>
                    <w:rPr>
                      <w:sz w:val="18"/>
                      <w:szCs w:val="18"/>
                    </w:rPr>
                  </w:pPr>
                  <w:r w:rsidRPr="002605F8">
                    <w:rPr>
                      <w:sz w:val="18"/>
                      <w:szCs w:val="18"/>
                    </w:rPr>
                    <w:t>Staff time (preparation, follow up)</w:t>
                  </w:r>
                </w:p>
              </w:tc>
              <w:tc>
                <w:tcPr>
                  <w:tcW w:w="850" w:type="pct"/>
                  <w:tcBorders>
                    <w:top w:val="nil"/>
                    <w:left w:val="nil"/>
                    <w:bottom w:val="single" w:sz="4" w:space="0" w:color="auto"/>
                    <w:right w:val="single" w:sz="4" w:space="0" w:color="auto"/>
                  </w:tcBorders>
                  <w:shd w:val="clear" w:color="auto" w:fill="auto"/>
                  <w:hideMark/>
                </w:tcPr>
                <w:p w14:paraId="5D1C21DF"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1B4C53D6"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tcPr>
                <w:p w14:paraId="5A38FAD4" w14:textId="77777777" w:rsidR="00812FEA" w:rsidRPr="002605F8" w:rsidRDefault="00812FEA" w:rsidP="00C86C76">
                  <w:pPr>
                    <w:pStyle w:val="Geenafstand"/>
                    <w:rPr>
                      <w:sz w:val="18"/>
                      <w:szCs w:val="18"/>
                    </w:rPr>
                  </w:pPr>
                </w:p>
              </w:tc>
              <w:tc>
                <w:tcPr>
                  <w:tcW w:w="884" w:type="pct"/>
                  <w:tcBorders>
                    <w:top w:val="nil"/>
                    <w:left w:val="nil"/>
                    <w:bottom w:val="single" w:sz="4" w:space="0" w:color="auto"/>
                    <w:right w:val="single" w:sz="4" w:space="0" w:color="auto"/>
                  </w:tcBorders>
                </w:tcPr>
                <w:p w14:paraId="56FB78CC" w14:textId="77777777" w:rsidR="00812FEA" w:rsidRPr="002605F8" w:rsidRDefault="00812FEA" w:rsidP="00C86C76">
                  <w:pPr>
                    <w:pStyle w:val="Geenafstand"/>
                    <w:rPr>
                      <w:sz w:val="18"/>
                      <w:szCs w:val="18"/>
                    </w:rPr>
                  </w:pPr>
                </w:p>
              </w:tc>
            </w:tr>
            <w:tr w:rsidR="00812FEA" w:rsidRPr="002605F8" w14:paraId="29619E39"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671EB03B" w14:textId="77777777" w:rsidR="00812FEA" w:rsidRPr="002605F8" w:rsidRDefault="00812FEA" w:rsidP="00C86C76">
                  <w:pPr>
                    <w:pStyle w:val="Geenafstand"/>
                    <w:rPr>
                      <w:sz w:val="18"/>
                      <w:szCs w:val="18"/>
                    </w:rPr>
                  </w:pPr>
                  <w:r w:rsidRPr="002605F8">
                    <w:rPr>
                      <w:sz w:val="18"/>
                      <w:szCs w:val="18"/>
                    </w:rPr>
                    <w:t>Staff travel/accommodation</w:t>
                  </w:r>
                </w:p>
              </w:tc>
              <w:tc>
                <w:tcPr>
                  <w:tcW w:w="850" w:type="pct"/>
                  <w:tcBorders>
                    <w:top w:val="nil"/>
                    <w:left w:val="nil"/>
                    <w:bottom w:val="single" w:sz="4" w:space="0" w:color="auto"/>
                    <w:right w:val="single" w:sz="4" w:space="0" w:color="auto"/>
                  </w:tcBorders>
                  <w:shd w:val="clear" w:color="auto" w:fill="auto"/>
                  <w:hideMark/>
                </w:tcPr>
                <w:p w14:paraId="1F5BBD5F"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1D7CBB9B"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tcPr>
                <w:p w14:paraId="5535F7D5" w14:textId="77777777" w:rsidR="00812FEA" w:rsidRPr="002605F8" w:rsidRDefault="00812FEA" w:rsidP="00C86C76">
                  <w:pPr>
                    <w:pStyle w:val="Geenafstand"/>
                    <w:rPr>
                      <w:sz w:val="18"/>
                      <w:szCs w:val="18"/>
                    </w:rPr>
                  </w:pPr>
                </w:p>
              </w:tc>
              <w:tc>
                <w:tcPr>
                  <w:tcW w:w="884" w:type="pct"/>
                  <w:tcBorders>
                    <w:top w:val="nil"/>
                    <w:left w:val="nil"/>
                    <w:bottom w:val="single" w:sz="4" w:space="0" w:color="auto"/>
                    <w:right w:val="single" w:sz="4" w:space="0" w:color="auto"/>
                  </w:tcBorders>
                </w:tcPr>
                <w:p w14:paraId="12718E02" w14:textId="77777777" w:rsidR="00812FEA" w:rsidRPr="002605F8" w:rsidRDefault="00812FEA" w:rsidP="00C86C76">
                  <w:pPr>
                    <w:pStyle w:val="Geenafstand"/>
                    <w:rPr>
                      <w:sz w:val="18"/>
                      <w:szCs w:val="18"/>
                    </w:rPr>
                  </w:pPr>
                </w:p>
              </w:tc>
            </w:tr>
            <w:tr w:rsidR="00812FEA" w:rsidRPr="002605F8" w14:paraId="6B15523C"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20FFACBA" w14:textId="77777777" w:rsidR="00812FEA" w:rsidRPr="002605F8" w:rsidRDefault="00812FEA" w:rsidP="00C86C76">
                  <w:pPr>
                    <w:pStyle w:val="Geenafstand"/>
                    <w:rPr>
                      <w:sz w:val="18"/>
                      <w:szCs w:val="18"/>
                    </w:rPr>
                  </w:pPr>
                  <w:r w:rsidRPr="002605F8">
                    <w:rPr>
                      <w:sz w:val="18"/>
                      <w:szCs w:val="18"/>
                    </w:rPr>
                    <w:t xml:space="preserve">Meeting costs </w:t>
                  </w:r>
                </w:p>
              </w:tc>
              <w:tc>
                <w:tcPr>
                  <w:tcW w:w="850" w:type="pct"/>
                  <w:tcBorders>
                    <w:top w:val="nil"/>
                    <w:left w:val="nil"/>
                    <w:bottom w:val="single" w:sz="4" w:space="0" w:color="auto"/>
                    <w:right w:val="single" w:sz="4" w:space="0" w:color="auto"/>
                  </w:tcBorders>
                  <w:shd w:val="clear" w:color="auto" w:fill="auto"/>
                  <w:hideMark/>
                </w:tcPr>
                <w:p w14:paraId="0B922202"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002F5051"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tcPr>
                <w:p w14:paraId="3228DFA2" w14:textId="77777777" w:rsidR="00812FEA" w:rsidRPr="002605F8" w:rsidRDefault="00812FEA" w:rsidP="00C86C76">
                  <w:pPr>
                    <w:pStyle w:val="Geenafstand"/>
                    <w:rPr>
                      <w:sz w:val="18"/>
                      <w:szCs w:val="18"/>
                    </w:rPr>
                  </w:pPr>
                </w:p>
              </w:tc>
              <w:tc>
                <w:tcPr>
                  <w:tcW w:w="884" w:type="pct"/>
                  <w:tcBorders>
                    <w:top w:val="nil"/>
                    <w:left w:val="nil"/>
                    <w:bottom w:val="single" w:sz="4" w:space="0" w:color="auto"/>
                    <w:right w:val="single" w:sz="4" w:space="0" w:color="auto"/>
                  </w:tcBorders>
                </w:tcPr>
                <w:p w14:paraId="65182A22" w14:textId="77777777" w:rsidR="00812FEA" w:rsidRPr="002605F8" w:rsidRDefault="00812FEA" w:rsidP="00C86C76">
                  <w:pPr>
                    <w:pStyle w:val="Geenafstand"/>
                    <w:rPr>
                      <w:sz w:val="18"/>
                      <w:szCs w:val="18"/>
                    </w:rPr>
                  </w:pPr>
                </w:p>
              </w:tc>
            </w:tr>
            <w:tr w:rsidR="00812FEA" w:rsidRPr="002605F8" w14:paraId="574CB788" w14:textId="77777777" w:rsidTr="00C86C76">
              <w:trPr>
                <w:trHeight w:val="264"/>
              </w:trPr>
              <w:tc>
                <w:tcPr>
                  <w:tcW w:w="1491" w:type="pct"/>
                  <w:tcBorders>
                    <w:top w:val="nil"/>
                    <w:left w:val="single" w:sz="4" w:space="0" w:color="auto"/>
                    <w:bottom w:val="single" w:sz="4" w:space="0" w:color="auto"/>
                    <w:right w:val="single" w:sz="4" w:space="0" w:color="auto"/>
                  </w:tcBorders>
                  <w:shd w:val="clear" w:color="auto" w:fill="auto"/>
                  <w:hideMark/>
                </w:tcPr>
                <w:p w14:paraId="1B7B6690" w14:textId="582C9C57" w:rsidR="00812FEA" w:rsidRPr="002605F8" w:rsidRDefault="00812FEA" w:rsidP="00D82919">
                  <w:pPr>
                    <w:pStyle w:val="Geenafstand"/>
                    <w:rPr>
                      <w:b/>
                      <w:sz w:val="18"/>
                      <w:szCs w:val="18"/>
                    </w:rPr>
                  </w:pPr>
                  <w:r w:rsidRPr="002605F8">
                    <w:rPr>
                      <w:b/>
                      <w:sz w:val="18"/>
                      <w:szCs w:val="18"/>
                    </w:rPr>
                    <w:t xml:space="preserve">Total estimate: </w:t>
                  </w:r>
                </w:p>
              </w:tc>
              <w:tc>
                <w:tcPr>
                  <w:tcW w:w="850" w:type="pct"/>
                  <w:tcBorders>
                    <w:top w:val="nil"/>
                    <w:left w:val="nil"/>
                    <w:bottom w:val="single" w:sz="4" w:space="0" w:color="auto"/>
                    <w:right w:val="single" w:sz="4" w:space="0" w:color="auto"/>
                  </w:tcBorders>
                  <w:shd w:val="clear" w:color="auto" w:fill="auto"/>
                  <w:hideMark/>
                </w:tcPr>
                <w:p w14:paraId="681A6020" w14:textId="77777777" w:rsidR="00812FEA" w:rsidRPr="002605F8" w:rsidRDefault="00812FEA" w:rsidP="00C86C76">
                  <w:pPr>
                    <w:pStyle w:val="Geenafstand"/>
                    <w:rPr>
                      <w:sz w:val="18"/>
                      <w:szCs w:val="18"/>
                    </w:rPr>
                  </w:pPr>
                  <w:r w:rsidRPr="002605F8">
                    <w:rPr>
                      <w:sz w:val="18"/>
                      <w:szCs w:val="18"/>
                    </w:rPr>
                    <w:t> </w:t>
                  </w:r>
                </w:p>
              </w:tc>
              <w:tc>
                <w:tcPr>
                  <w:tcW w:w="891" w:type="pct"/>
                  <w:tcBorders>
                    <w:top w:val="nil"/>
                    <w:left w:val="nil"/>
                    <w:bottom w:val="single" w:sz="4" w:space="0" w:color="auto"/>
                    <w:right w:val="single" w:sz="4" w:space="0" w:color="auto"/>
                  </w:tcBorders>
                  <w:shd w:val="clear" w:color="auto" w:fill="auto"/>
                  <w:hideMark/>
                </w:tcPr>
                <w:p w14:paraId="56E6A635" w14:textId="77777777" w:rsidR="00812FEA" w:rsidRPr="002605F8" w:rsidRDefault="00812FEA" w:rsidP="00C86C76">
                  <w:pPr>
                    <w:pStyle w:val="Geenafstand"/>
                    <w:rPr>
                      <w:sz w:val="18"/>
                      <w:szCs w:val="18"/>
                    </w:rPr>
                  </w:pPr>
                  <w:r w:rsidRPr="002605F8">
                    <w:rPr>
                      <w:sz w:val="18"/>
                      <w:szCs w:val="18"/>
                    </w:rPr>
                    <w:t> </w:t>
                  </w:r>
                </w:p>
              </w:tc>
              <w:tc>
                <w:tcPr>
                  <w:tcW w:w="884" w:type="pct"/>
                  <w:tcBorders>
                    <w:top w:val="nil"/>
                    <w:left w:val="nil"/>
                    <w:bottom w:val="single" w:sz="4" w:space="0" w:color="auto"/>
                    <w:right w:val="single" w:sz="4" w:space="0" w:color="auto"/>
                  </w:tcBorders>
                  <w:shd w:val="clear" w:color="auto" w:fill="auto"/>
                  <w:noWrap/>
                  <w:hideMark/>
                </w:tcPr>
                <w:p w14:paraId="69831F62" w14:textId="77777777" w:rsidR="00812FEA" w:rsidRPr="002605F8" w:rsidRDefault="00812FEA" w:rsidP="00C86C76">
                  <w:pPr>
                    <w:pStyle w:val="Geenafstand"/>
                    <w:rPr>
                      <w:sz w:val="18"/>
                      <w:szCs w:val="18"/>
                    </w:rPr>
                  </w:pPr>
                  <w:r w:rsidRPr="002605F8">
                    <w:rPr>
                      <w:sz w:val="18"/>
                      <w:szCs w:val="18"/>
                    </w:rPr>
                    <w:t xml:space="preserve">€   - </w:t>
                  </w:r>
                </w:p>
              </w:tc>
              <w:tc>
                <w:tcPr>
                  <w:tcW w:w="884" w:type="pct"/>
                  <w:tcBorders>
                    <w:top w:val="nil"/>
                    <w:left w:val="nil"/>
                    <w:bottom w:val="single" w:sz="4" w:space="0" w:color="auto"/>
                    <w:right w:val="single" w:sz="4" w:space="0" w:color="auto"/>
                  </w:tcBorders>
                </w:tcPr>
                <w:p w14:paraId="6657F486" w14:textId="77777777" w:rsidR="00812FEA" w:rsidRPr="002605F8" w:rsidRDefault="00812FEA" w:rsidP="00C86C76">
                  <w:pPr>
                    <w:pStyle w:val="Geenafstand"/>
                    <w:rPr>
                      <w:sz w:val="18"/>
                      <w:szCs w:val="18"/>
                    </w:rPr>
                  </w:pPr>
                </w:p>
              </w:tc>
            </w:tr>
          </w:tbl>
          <w:p w14:paraId="3529CA1A" w14:textId="77777777" w:rsidR="00812FEA" w:rsidRPr="002605F8" w:rsidRDefault="00812FEA" w:rsidP="00C86C76">
            <w:pPr>
              <w:pStyle w:val="Opsommingsymbool0"/>
              <w:numPr>
                <w:ilvl w:val="0"/>
                <w:numId w:val="0"/>
              </w:numPr>
              <w:ind w:left="284" w:hanging="284"/>
              <w:rPr>
                <w:sz w:val="18"/>
                <w:szCs w:val="18"/>
                <w:lang w:val="en-GB"/>
              </w:rPr>
            </w:pPr>
          </w:p>
        </w:tc>
      </w:tr>
      <w:tr w:rsidR="00812FEA" w:rsidRPr="0049591E" w14:paraId="067D338A" w14:textId="77777777" w:rsidTr="00C86C76">
        <w:tc>
          <w:tcPr>
            <w:tcW w:w="2268" w:type="dxa"/>
          </w:tcPr>
          <w:p w14:paraId="3A05C45D" w14:textId="77777777" w:rsidR="00812FEA" w:rsidRPr="002605F8" w:rsidRDefault="00812FEA" w:rsidP="00C86C76">
            <w:pPr>
              <w:rPr>
                <w:b/>
                <w:sz w:val="18"/>
                <w:szCs w:val="18"/>
                <w:lang w:val="en-GB"/>
              </w:rPr>
            </w:pPr>
          </w:p>
        </w:tc>
        <w:tc>
          <w:tcPr>
            <w:tcW w:w="7667" w:type="dxa"/>
            <w:gridSpan w:val="2"/>
          </w:tcPr>
          <w:p w14:paraId="0A4B0891" w14:textId="77777777" w:rsidR="00812FEA" w:rsidRPr="002605F8" w:rsidRDefault="00812FEA" w:rsidP="00C86C76">
            <w:pPr>
              <w:pStyle w:val="Opsommingsymbool0"/>
              <w:spacing w:line="240" w:lineRule="auto"/>
              <w:jc w:val="both"/>
              <w:rPr>
                <w:i/>
                <w:sz w:val="18"/>
                <w:szCs w:val="18"/>
                <w:lang w:val="en-GB"/>
              </w:rPr>
            </w:pPr>
            <w:r w:rsidRPr="002605F8">
              <w:rPr>
                <w:i/>
                <w:sz w:val="18"/>
                <w:szCs w:val="18"/>
                <w:lang w:val="en-GB"/>
              </w:rPr>
              <w:t>Other cost components</w:t>
            </w:r>
          </w:p>
          <w:p w14:paraId="7B9461E9" w14:textId="77777777" w:rsidR="00812FEA" w:rsidRPr="002605F8" w:rsidRDefault="00812FEA" w:rsidP="00C86C76">
            <w:pPr>
              <w:pStyle w:val="Opsommingsymbool0"/>
              <w:spacing w:line="240" w:lineRule="auto"/>
              <w:jc w:val="both"/>
              <w:rPr>
                <w:i/>
                <w:sz w:val="18"/>
                <w:szCs w:val="18"/>
                <w:lang w:val="en-GB"/>
              </w:rPr>
            </w:pPr>
            <w:r w:rsidRPr="002605F8">
              <w:rPr>
                <w:i/>
                <w:sz w:val="18"/>
                <w:szCs w:val="18"/>
                <w:lang w:val="en-GB"/>
              </w:rPr>
              <w:t>(relevant table to be included)</w:t>
            </w:r>
          </w:p>
        </w:tc>
      </w:tr>
      <w:tr w:rsidR="00812FEA" w:rsidRPr="0049591E" w14:paraId="6AEED991" w14:textId="77777777" w:rsidTr="00C86C76">
        <w:tc>
          <w:tcPr>
            <w:tcW w:w="2268" w:type="dxa"/>
            <w:shd w:val="clear" w:color="auto" w:fill="DBE5F1" w:themeFill="accent1" w:themeFillTint="33"/>
          </w:tcPr>
          <w:p w14:paraId="1BEFB18C" w14:textId="77777777" w:rsidR="00812FEA" w:rsidRPr="002605F8" w:rsidRDefault="00812FEA" w:rsidP="00C86C76">
            <w:pPr>
              <w:rPr>
                <w:b/>
                <w:sz w:val="18"/>
                <w:szCs w:val="18"/>
                <w:lang w:val="en-GB"/>
              </w:rPr>
            </w:pPr>
            <w:r w:rsidRPr="002605F8">
              <w:rPr>
                <w:b/>
                <w:sz w:val="18"/>
                <w:szCs w:val="18"/>
                <w:lang w:val="en-GB"/>
              </w:rPr>
              <w:t>Operational action 3</w:t>
            </w:r>
          </w:p>
        </w:tc>
        <w:tc>
          <w:tcPr>
            <w:tcW w:w="7667" w:type="dxa"/>
            <w:gridSpan w:val="2"/>
            <w:shd w:val="clear" w:color="auto" w:fill="DBE5F1" w:themeFill="accent1" w:themeFillTint="33"/>
          </w:tcPr>
          <w:p w14:paraId="557B0154" w14:textId="77777777" w:rsidR="00812FEA" w:rsidRPr="002605F8" w:rsidRDefault="00812FEA" w:rsidP="00C86C76">
            <w:pPr>
              <w:spacing w:line="240" w:lineRule="auto"/>
              <w:rPr>
                <w:rFonts w:cs="Arial"/>
                <w:i/>
                <w:sz w:val="18"/>
                <w:szCs w:val="18"/>
                <w:lang w:val="en-GB"/>
              </w:rPr>
            </w:pPr>
            <w:r w:rsidRPr="002605F8">
              <w:rPr>
                <w:rFonts w:cs="Arial"/>
                <w:i/>
                <w:sz w:val="18"/>
                <w:szCs w:val="18"/>
                <w:lang w:val="en-GB"/>
              </w:rPr>
              <w:t>(To be worked out in a similar way as defined above)</w:t>
            </w:r>
          </w:p>
        </w:tc>
      </w:tr>
      <w:tr w:rsidR="00812FEA" w:rsidRPr="0049591E" w14:paraId="1CE1474D" w14:textId="77777777" w:rsidTr="00C86C76">
        <w:tc>
          <w:tcPr>
            <w:tcW w:w="2268" w:type="dxa"/>
          </w:tcPr>
          <w:p w14:paraId="681D78A6" w14:textId="77777777" w:rsidR="00812FEA" w:rsidRPr="002605F8" w:rsidRDefault="00812FEA" w:rsidP="00C86C76">
            <w:pPr>
              <w:rPr>
                <w:b/>
                <w:sz w:val="18"/>
                <w:szCs w:val="18"/>
                <w:lang w:val="en-GB"/>
              </w:rPr>
            </w:pPr>
          </w:p>
        </w:tc>
        <w:tc>
          <w:tcPr>
            <w:tcW w:w="7667" w:type="dxa"/>
            <w:gridSpan w:val="2"/>
          </w:tcPr>
          <w:p w14:paraId="4DAA6493" w14:textId="77777777" w:rsidR="00812FEA" w:rsidRPr="002605F8" w:rsidRDefault="00812FEA" w:rsidP="00C86C76">
            <w:pPr>
              <w:spacing w:line="240" w:lineRule="auto"/>
              <w:rPr>
                <w:rFonts w:cs="Arial"/>
                <w:i/>
                <w:sz w:val="18"/>
                <w:szCs w:val="18"/>
                <w:lang w:val="en-GB"/>
              </w:rPr>
            </w:pPr>
          </w:p>
        </w:tc>
      </w:tr>
      <w:tr w:rsidR="00812FEA" w:rsidRPr="0049591E" w14:paraId="6E9977F5" w14:textId="77777777" w:rsidTr="00C86C76">
        <w:tc>
          <w:tcPr>
            <w:tcW w:w="2268" w:type="dxa"/>
            <w:shd w:val="clear" w:color="auto" w:fill="D6E3BC" w:themeFill="accent3" w:themeFillTint="66"/>
          </w:tcPr>
          <w:p w14:paraId="09791E08" w14:textId="77777777" w:rsidR="00812FEA" w:rsidRPr="002605F8" w:rsidRDefault="00812FEA" w:rsidP="00C86C76">
            <w:pPr>
              <w:rPr>
                <w:b/>
                <w:sz w:val="18"/>
                <w:szCs w:val="18"/>
                <w:lang w:val="en-GB"/>
              </w:rPr>
            </w:pPr>
            <w:r w:rsidRPr="002605F8">
              <w:rPr>
                <w:b/>
                <w:sz w:val="18"/>
                <w:szCs w:val="18"/>
                <w:lang w:val="en-GB"/>
              </w:rPr>
              <w:t>Total cost of measure (6 years)</w:t>
            </w:r>
          </w:p>
        </w:tc>
        <w:tc>
          <w:tcPr>
            <w:tcW w:w="7667" w:type="dxa"/>
            <w:gridSpan w:val="2"/>
            <w:shd w:val="clear" w:color="auto" w:fill="D6E3BC" w:themeFill="accent3" w:themeFillTint="66"/>
          </w:tcPr>
          <w:p w14:paraId="0681D035" w14:textId="0FD9CA96" w:rsidR="00812FEA" w:rsidRPr="002605F8" w:rsidRDefault="00812FEA" w:rsidP="00C86C76">
            <w:pPr>
              <w:spacing w:line="240" w:lineRule="auto"/>
              <w:rPr>
                <w:rFonts w:cs="Arial"/>
                <w:i/>
                <w:sz w:val="18"/>
                <w:szCs w:val="18"/>
                <w:lang w:val="en-GB"/>
              </w:rPr>
            </w:pPr>
            <w:r w:rsidRPr="002605F8">
              <w:rPr>
                <w:rFonts w:cs="Arial"/>
                <w:i/>
                <w:sz w:val="18"/>
                <w:szCs w:val="18"/>
                <w:lang w:val="en-GB"/>
              </w:rPr>
              <w:t>Total One-off cost</w:t>
            </w:r>
            <w:r w:rsidR="00D82919">
              <w:rPr>
                <w:rFonts w:cs="Arial"/>
                <w:i/>
                <w:sz w:val="18"/>
                <w:szCs w:val="18"/>
                <w:lang w:val="en-GB"/>
              </w:rPr>
              <w:t xml:space="preserve"> within MSFD cycle (6years) per MS</w:t>
            </w:r>
            <w:r w:rsidRPr="002605F8">
              <w:rPr>
                <w:rFonts w:cs="Arial"/>
                <w:i/>
                <w:sz w:val="18"/>
                <w:szCs w:val="18"/>
                <w:lang w:val="en-GB"/>
              </w:rPr>
              <w:t>:</w:t>
            </w:r>
          </w:p>
          <w:p w14:paraId="68D28086" w14:textId="77777777" w:rsidR="00812FEA" w:rsidRPr="002605F8" w:rsidRDefault="00812FEA" w:rsidP="00D82919">
            <w:pPr>
              <w:spacing w:line="240" w:lineRule="auto"/>
              <w:rPr>
                <w:rFonts w:cs="Arial"/>
                <w:i/>
                <w:sz w:val="18"/>
                <w:szCs w:val="18"/>
                <w:lang w:val="en-GB"/>
              </w:rPr>
            </w:pPr>
          </w:p>
        </w:tc>
      </w:tr>
      <w:tr w:rsidR="00812FEA" w:rsidRPr="002605F8" w14:paraId="75590CC5" w14:textId="77777777" w:rsidTr="00C86C76">
        <w:tc>
          <w:tcPr>
            <w:tcW w:w="2268" w:type="dxa"/>
            <w:shd w:val="clear" w:color="auto" w:fill="D6E3BC" w:themeFill="accent3" w:themeFillTint="66"/>
          </w:tcPr>
          <w:p w14:paraId="109BE5B2" w14:textId="77777777" w:rsidR="00812FEA" w:rsidRPr="002605F8" w:rsidRDefault="00812FEA" w:rsidP="00C86C76">
            <w:pPr>
              <w:rPr>
                <w:b/>
                <w:sz w:val="18"/>
                <w:szCs w:val="18"/>
                <w:lang w:val="en-GB"/>
              </w:rPr>
            </w:pPr>
          </w:p>
        </w:tc>
        <w:tc>
          <w:tcPr>
            <w:tcW w:w="7667" w:type="dxa"/>
            <w:gridSpan w:val="2"/>
            <w:shd w:val="clear" w:color="auto" w:fill="D6E3BC" w:themeFill="accent3" w:themeFillTint="66"/>
          </w:tcPr>
          <w:p w14:paraId="47C7A286" w14:textId="77777777" w:rsidR="00812FEA" w:rsidRPr="002605F8" w:rsidRDefault="00812FEA" w:rsidP="00C86C76">
            <w:pPr>
              <w:spacing w:line="240" w:lineRule="auto"/>
              <w:rPr>
                <w:rFonts w:cs="Arial"/>
                <w:i/>
                <w:sz w:val="18"/>
                <w:szCs w:val="18"/>
                <w:lang w:val="en-GB"/>
              </w:rPr>
            </w:pPr>
            <w:r w:rsidRPr="002605F8">
              <w:rPr>
                <w:rFonts w:cs="Arial"/>
                <w:i/>
                <w:sz w:val="18"/>
                <w:szCs w:val="18"/>
                <w:lang w:val="en-GB"/>
              </w:rPr>
              <w:t>Overall uncertainty:</w:t>
            </w:r>
          </w:p>
          <w:p w14:paraId="50B2C5BF" w14:textId="77777777" w:rsidR="00812FEA" w:rsidRPr="002605F8" w:rsidRDefault="00812FEA" w:rsidP="00C86C76">
            <w:pPr>
              <w:spacing w:line="240" w:lineRule="auto"/>
              <w:rPr>
                <w:rFonts w:cs="Arial"/>
                <w:i/>
                <w:sz w:val="18"/>
                <w:szCs w:val="18"/>
                <w:lang w:val="en-GB"/>
              </w:rPr>
            </w:pPr>
          </w:p>
        </w:tc>
      </w:tr>
      <w:tr w:rsidR="00812FEA" w:rsidRPr="002605F8" w14:paraId="76C27876" w14:textId="77777777" w:rsidTr="00C86C76">
        <w:tc>
          <w:tcPr>
            <w:tcW w:w="2268" w:type="dxa"/>
            <w:shd w:val="clear" w:color="auto" w:fill="D6E3BC" w:themeFill="accent3" w:themeFillTint="66"/>
          </w:tcPr>
          <w:p w14:paraId="744BE058" w14:textId="77777777" w:rsidR="00812FEA" w:rsidRPr="002605F8" w:rsidRDefault="00812FEA" w:rsidP="00C86C76">
            <w:pPr>
              <w:rPr>
                <w:b/>
                <w:sz w:val="18"/>
                <w:szCs w:val="18"/>
                <w:lang w:val="en-GB"/>
              </w:rPr>
            </w:pPr>
          </w:p>
        </w:tc>
        <w:tc>
          <w:tcPr>
            <w:tcW w:w="7667" w:type="dxa"/>
            <w:gridSpan w:val="2"/>
            <w:shd w:val="clear" w:color="auto" w:fill="D6E3BC" w:themeFill="accent3" w:themeFillTint="66"/>
          </w:tcPr>
          <w:p w14:paraId="1DEA76B3" w14:textId="77777777" w:rsidR="00812FEA" w:rsidRPr="002605F8" w:rsidRDefault="00812FEA" w:rsidP="00C86C76">
            <w:pPr>
              <w:spacing w:line="240" w:lineRule="auto"/>
              <w:rPr>
                <w:rFonts w:cs="Arial"/>
                <w:i/>
                <w:sz w:val="18"/>
                <w:szCs w:val="18"/>
                <w:lang w:val="en-GB"/>
              </w:rPr>
            </w:pPr>
            <w:r w:rsidRPr="002605F8">
              <w:rPr>
                <w:rFonts w:cs="Arial"/>
                <w:i/>
                <w:sz w:val="18"/>
                <w:szCs w:val="18"/>
                <w:lang w:val="en-GB"/>
              </w:rPr>
              <w:t>Scoring (size class):</w:t>
            </w:r>
          </w:p>
          <w:p w14:paraId="46D865B4" w14:textId="77777777" w:rsidR="00812FEA" w:rsidRPr="002605F8" w:rsidRDefault="00812FEA" w:rsidP="00C86C76">
            <w:pPr>
              <w:spacing w:line="240" w:lineRule="auto"/>
              <w:rPr>
                <w:rFonts w:cs="Arial"/>
                <w:i/>
                <w:sz w:val="18"/>
                <w:szCs w:val="18"/>
                <w:lang w:val="en-GB"/>
              </w:rPr>
            </w:pPr>
          </w:p>
        </w:tc>
      </w:tr>
    </w:tbl>
    <w:p w14:paraId="315AB077" w14:textId="77777777" w:rsidR="00746E24" w:rsidRDefault="00746E24" w:rsidP="00746E24">
      <w:pPr>
        <w:pStyle w:val="ARCADISStandaard"/>
        <w:rPr>
          <w:lang w:val="en-GB"/>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67"/>
      </w:tblGrid>
      <w:tr w:rsidR="00812FEA" w:rsidRPr="004F43D3" w14:paraId="79DF8D34" w14:textId="77777777" w:rsidTr="009970E8">
        <w:trPr>
          <w:cnfStyle w:val="100000000000" w:firstRow="1" w:lastRow="0" w:firstColumn="0" w:lastColumn="0" w:oddVBand="0" w:evenVBand="0" w:oddHBand="0" w:evenHBand="0" w:firstRowFirstColumn="0" w:firstRowLastColumn="0" w:lastRowFirstColumn="0" w:lastRowLastColumn="0"/>
          <w:tblHeader/>
        </w:trPr>
        <w:tc>
          <w:tcPr>
            <w:tcW w:w="2268" w:type="dxa"/>
          </w:tcPr>
          <w:p w14:paraId="4EDC8B78" w14:textId="77777777" w:rsidR="00812FEA" w:rsidRPr="004F43D3" w:rsidRDefault="00812FEA" w:rsidP="00C86C76">
            <w:pPr>
              <w:rPr>
                <w:b w:val="0"/>
                <w:color w:val="FFFFFF" w:themeColor="background1"/>
                <w:sz w:val="18"/>
                <w:szCs w:val="18"/>
              </w:rPr>
            </w:pPr>
            <w:r w:rsidRPr="004F43D3">
              <w:rPr>
                <w:color w:val="FFFFFF" w:themeColor="background1"/>
                <w:sz w:val="18"/>
                <w:szCs w:val="18"/>
              </w:rPr>
              <w:t>PART II</w:t>
            </w:r>
          </w:p>
        </w:tc>
        <w:tc>
          <w:tcPr>
            <w:tcW w:w="7667" w:type="dxa"/>
          </w:tcPr>
          <w:p w14:paraId="7DDF4824" w14:textId="77777777" w:rsidR="00812FEA" w:rsidRPr="004F43D3" w:rsidRDefault="00812FEA" w:rsidP="00C86C76">
            <w:pPr>
              <w:rPr>
                <w:b w:val="0"/>
                <w:i/>
                <w:color w:val="FFFFFF" w:themeColor="background1"/>
                <w:sz w:val="18"/>
                <w:szCs w:val="18"/>
              </w:rPr>
            </w:pPr>
            <w:r w:rsidRPr="004F43D3">
              <w:rPr>
                <w:i/>
                <w:color w:val="FFFFFF" w:themeColor="background1"/>
                <w:sz w:val="18"/>
                <w:szCs w:val="18"/>
              </w:rPr>
              <w:t>Benefit assessment</w:t>
            </w:r>
          </w:p>
        </w:tc>
      </w:tr>
      <w:tr w:rsidR="00812FEA" w:rsidRPr="0049591E" w14:paraId="2D83B5A2" w14:textId="77777777" w:rsidTr="00C86C76">
        <w:tc>
          <w:tcPr>
            <w:tcW w:w="2268" w:type="dxa"/>
            <w:shd w:val="clear" w:color="auto" w:fill="auto"/>
          </w:tcPr>
          <w:p w14:paraId="1038F51C" w14:textId="77777777" w:rsidR="00812FEA" w:rsidRPr="00AF520D" w:rsidRDefault="00812FEA" w:rsidP="00C86C76">
            <w:pPr>
              <w:rPr>
                <w:b/>
                <w:sz w:val="18"/>
                <w:szCs w:val="18"/>
              </w:rPr>
            </w:pPr>
            <w:r>
              <w:rPr>
                <w:b/>
                <w:sz w:val="18"/>
                <w:szCs w:val="18"/>
              </w:rPr>
              <w:t>Scoring</w:t>
            </w:r>
          </w:p>
        </w:tc>
        <w:tc>
          <w:tcPr>
            <w:tcW w:w="7667" w:type="dxa"/>
            <w:shd w:val="clear" w:color="auto" w:fill="auto"/>
          </w:tcPr>
          <w:p w14:paraId="741FF854" w14:textId="77777777" w:rsidR="00812FEA" w:rsidRPr="00AF520D" w:rsidRDefault="00812FEA" w:rsidP="00C86C76">
            <w:pPr>
              <w:rPr>
                <w:b/>
                <w:sz w:val="18"/>
                <w:szCs w:val="18"/>
              </w:rPr>
            </w:pPr>
          </w:p>
          <w:tbl>
            <w:tblPr>
              <w:tblW w:w="5000" w:type="pct"/>
              <w:tblLook w:val="04A0" w:firstRow="1" w:lastRow="0" w:firstColumn="1" w:lastColumn="0" w:noHBand="0" w:noVBand="1"/>
            </w:tblPr>
            <w:tblGrid>
              <w:gridCol w:w="2529"/>
              <w:gridCol w:w="1287"/>
              <w:gridCol w:w="1236"/>
              <w:gridCol w:w="1187"/>
              <w:gridCol w:w="1207"/>
            </w:tblGrid>
            <w:tr w:rsidR="00812FEA" w:rsidRPr="0049591E" w14:paraId="0EFB2198" w14:textId="77777777" w:rsidTr="00C86C76">
              <w:trPr>
                <w:trHeight w:val="624"/>
              </w:trPr>
              <w:tc>
                <w:tcPr>
                  <w:tcW w:w="1716" w:type="pct"/>
                  <w:tcBorders>
                    <w:top w:val="single" w:sz="4" w:space="0" w:color="auto"/>
                    <w:left w:val="nil"/>
                    <w:bottom w:val="single" w:sz="4" w:space="0" w:color="auto"/>
                    <w:right w:val="nil"/>
                  </w:tcBorders>
                  <w:shd w:val="clear" w:color="auto" w:fill="D8D8D8"/>
                  <w:hideMark/>
                </w:tcPr>
                <w:p w14:paraId="0986A176" w14:textId="77777777" w:rsidR="00812FEA" w:rsidRPr="0038292F" w:rsidRDefault="00812FEA" w:rsidP="00C86C76">
                  <w:pPr>
                    <w:spacing w:before="0" w:after="0" w:line="240" w:lineRule="auto"/>
                    <w:rPr>
                      <w:rFonts w:eastAsia="Times New Roman" w:cs="Arial"/>
                      <w:b/>
                      <w:bCs/>
                      <w:color w:val="000000"/>
                      <w:sz w:val="18"/>
                      <w:szCs w:val="20"/>
                    </w:rPr>
                  </w:pPr>
                  <w:proofErr w:type="spellStart"/>
                  <w:r w:rsidRPr="0038292F">
                    <w:rPr>
                      <w:rFonts w:eastAsia="Times New Roman" w:cs="Arial"/>
                      <w:b/>
                      <w:bCs/>
                      <w:color w:val="000000"/>
                      <w:sz w:val="18"/>
                      <w:szCs w:val="20"/>
                    </w:rPr>
                    <w:t>Identify</w:t>
                  </w:r>
                  <w:proofErr w:type="spellEnd"/>
                  <w:r w:rsidRPr="0038292F">
                    <w:rPr>
                      <w:rFonts w:eastAsia="Times New Roman" w:cs="Arial"/>
                      <w:b/>
                      <w:bCs/>
                      <w:color w:val="000000"/>
                      <w:sz w:val="18"/>
                      <w:szCs w:val="20"/>
                    </w:rPr>
                    <w:t xml:space="preserve"> range of benefits</w:t>
                  </w:r>
                </w:p>
              </w:tc>
              <w:tc>
                <w:tcPr>
                  <w:tcW w:w="847" w:type="pct"/>
                  <w:tcBorders>
                    <w:top w:val="single" w:sz="4" w:space="0" w:color="auto"/>
                    <w:left w:val="nil"/>
                    <w:bottom w:val="single" w:sz="4" w:space="0" w:color="auto"/>
                    <w:right w:val="single" w:sz="4" w:space="0" w:color="auto"/>
                  </w:tcBorders>
                  <w:shd w:val="clear" w:color="auto" w:fill="D8D8D8"/>
                  <w:hideMark/>
                </w:tcPr>
                <w:p w14:paraId="0CECD18F" w14:textId="77777777" w:rsidR="00812FEA" w:rsidRPr="00812FEA" w:rsidRDefault="00812FEA" w:rsidP="00C86C76">
                  <w:pPr>
                    <w:spacing w:before="0" w:after="0" w:line="240" w:lineRule="auto"/>
                    <w:rPr>
                      <w:rFonts w:eastAsia="Times New Roman" w:cs="Arial"/>
                      <w:b/>
                      <w:bCs/>
                      <w:color w:val="000000"/>
                      <w:sz w:val="18"/>
                      <w:szCs w:val="20"/>
                      <w:lang w:val="en-US"/>
                    </w:rPr>
                  </w:pPr>
                  <w:r w:rsidRPr="00812FEA">
                    <w:rPr>
                      <w:rFonts w:eastAsia="Times New Roman" w:cs="Arial"/>
                      <w:b/>
                      <w:bCs/>
                      <w:color w:val="000000"/>
                      <w:sz w:val="18"/>
                      <w:szCs w:val="20"/>
                      <w:lang w:val="en-US"/>
                    </w:rPr>
                    <w:t xml:space="preserve">Consider time scale (immediate </w:t>
                  </w:r>
                  <w:proofErr w:type="spellStart"/>
                  <w:r w:rsidRPr="00812FEA">
                    <w:rPr>
                      <w:rFonts w:eastAsia="Times New Roman" w:cs="Arial"/>
                      <w:b/>
                      <w:bCs/>
                      <w:color w:val="000000"/>
                      <w:sz w:val="18"/>
                      <w:szCs w:val="20"/>
                      <w:lang w:val="en-US"/>
                    </w:rPr>
                    <w:t>to</w:t>
                  </w:r>
                  <w:proofErr w:type="spellEnd"/>
                  <w:r w:rsidRPr="00812FEA">
                    <w:rPr>
                      <w:rFonts w:eastAsia="Times New Roman" w:cs="Arial"/>
                      <w:b/>
                      <w:bCs/>
                      <w:color w:val="000000"/>
                      <w:sz w:val="18"/>
                      <w:szCs w:val="20"/>
                      <w:lang w:val="en-US"/>
                    </w:rPr>
                    <w:t xml:space="preserve"> long term benefits) (long 1, </w:t>
                  </w:r>
                  <w:r w:rsidRPr="00812FEA">
                    <w:rPr>
                      <w:rFonts w:eastAsia="Times New Roman" w:cs="Arial"/>
                      <w:b/>
                      <w:bCs/>
                      <w:color w:val="000000"/>
                      <w:sz w:val="18"/>
                      <w:szCs w:val="20"/>
                      <w:lang w:val="en-US"/>
                    </w:rPr>
                    <w:lastRenderedPageBreak/>
                    <w:t xml:space="preserve">intermediate 3, short 5) </w:t>
                  </w:r>
                </w:p>
              </w:tc>
              <w:tc>
                <w:tcPr>
                  <w:tcW w:w="847" w:type="pct"/>
                  <w:tcBorders>
                    <w:top w:val="single" w:sz="4" w:space="0" w:color="auto"/>
                    <w:left w:val="nil"/>
                    <w:bottom w:val="single" w:sz="4" w:space="0" w:color="auto"/>
                    <w:right w:val="single" w:sz="4" w:space="0" w:color="auto"/>
                  </w:tcBorders>
                  <w:shd w:val="clear" w:color="auto" w:fill="D8D8D8"/>
                  <w:hideMark/>
                </w:tcPr>
                <w:p w14:paraId="74301C6F" w14:textId="77777777" w:rsidR="00812FEA" w:rsidRPr="00812FEA" w:rsidRDefault="00812FEA" w:rsidP="00C86C76">
                  <w:pPr>
                    <w:spacing w:before="0" w:after="0" w:line="240" w:lineRule="auto"/>
                    <w:rPr>
                      <w:rFonts w:eastAsia="Times New Roman" w:cs="Arial"/>
                      <w:b/>
                      <w:bCs/>
                      <w:color w:val="000000"/>
                      <w:sz w:val="18"/>
                      <w:szCs w:val="20"/>
                      <w:lang w:val="en-US"/>
                    </w:rPr>
                  </w:pPr>
                  <w:r w:rsidRPr="00812FEA">
                    <w:rPr>
                      <w:rFonts w:eastAsia="Times New Roman" w:cs="Arial"/>
                      <w:b/>
                      <w:bCs/>
                      <w:color w:val="000000"/>
                      <w:sz w:val="18"/>
                      <w:szCs w:val="20"/>
                      <w:lang w:val="en-US"/>
                    </w:rPr>
                    <w:lastRenderedPageBreak/>
                    <w:t xml:space="preserve">Benefits over the </w:t>
                  </w:r>
                  <w:proofErr w:type="spellStart"/>
                  <w:r w:rsidRPr="00812FEA">
                    <w:rPr>
                      <w:rFonts w:eastAsia="Times New Roman" w:cs="Arial"/>
                      <w:b/>
                      <w:bCs/>
                      <w:color w:val="000000"/>
                      <w:sz w:val="18"/>
                      <w:szCs w:val="20"/>
                      <w:lang w:val="en-US"/>
                    </w:rPr>
                    <w:t>analysed</w:t>
                  </w:r>
                  <w:proofErr w:type="spellEnd"/>
                  <w:r w:rsidRPr="00812FEA">
                    <w:rPr>
                      <w:rFonts w:eastAsia="Times New Roman" w:cs="Arial"/>
                      <w:b/>
                      <w:bCs/>
                      <w:color w:val="000000"/>
                      <w:sz w:val="18"/>
                      <w:szCs w:val="20"/>
                      <w:lang w:val="en-US"/>
                    </w:rPr>
                    <w:t xml:space="preserve"> period (monetary if possible) </w:t>
                  </w:r>
                  <w:r w:rsidRPr="00812FEA">
                    <w:rPr>
                      <w:rFonts w:eastAsia="Times New Roman" w:cs="Arial"/>
                      <w:b/>
                      <w:bCs/>
                      <w:color w:val="000000"/>
                      <w:sz w:val="18"/>
                      <w:szCs w:val="20"/>
                      <w:lang w:val="en-US"/>
                    </w:rPr>
                    <w:lastRenderedPageBreak/>
                    <w:t>(1 low 3 medium 5 high)</w:t>
                  </w:r>
                </w:p>
              </w:tc>
              <w:tc>
                <w:tcPr>
                  <w:tcW w:w="763" w:type="pct"/>
                  <w:tcBorders>
                    <w:top w:val="single" w:sz="4" w:space="0" w:color="auto"/>
                    <w:left w:val="nil"/>
                    <w:bottom w:val="single" w:sz="4" w:space="0" w:color="auto"/>
                    <w:right w:val="single" w:sz="4" w:space="0" w:color="auto"/>
                  </w:tcBorders>
                  <w:shd w:val="clear" w:color="auto" w:fill="D8D8D8"/>
                  <w:hideMark/>
                </w:tcPr>
                <w:p w14:paraId="74BFC515" w14:textId="77777777" w:rsidR="00812FEA" w:rsidRPr="00812FEA" w:rsidRDefault="00812FEA" w:rsidP="00C86C76">
                  <w:pPr>
                    <w:spacing w:before="0" w:after="0" w:line="240" w:lineRule="auto"/>
                    <w:rPr>
                      <w:rFonts w:eastAsia="Times New Roman" w:cs="Arial"/>
                      <w:b/>
                      <w:bCs/>
                      <w:color w:val="000000"/>
                      <w:sz w:val="18"/>
                      <w:szCs w:val="20"/>
                      <w:lang w:val="en-US"/>
                    </w:rPr>
                  </w:pPr>
                  <w:r w:rsidRPr="00812FEA">
                    <w:rPr>
                      <w:rFonts w:eastAsia="Times New Roman" w:cs="Arial"/>
                      <w:b/>
                      <w:bCs/>
                      <w:color w:val="000000"/>
                      <w:sz w:val="18"/>
                      <w:szCs w:val="20"/>
                      <w:lang w:val="en-US"/>
                    </w:rPr>
                    <w:lastRenderedPageBreak/>
                    <w:t xml:space="preserve">Qualitative description of benefits (if valuation is not </w:t>
                  </w:r>
                  <w:r w:rsidRPr="00812FEA">
                    <w:rPr>
                      <w:rFonts w:eastAsia="Times New Roman" w:cs="Arial"/>
                      <w:b/>
                      <w:bCs/>
                      <w:color w:val="000000"/>
                      <w:sz w:val="18"/>
                      <w:szCs w:val="20"/>
                      <w:lang w:val="en-US"/>
                    </w:rPr>
                    <w:lastRenderedPageBreak/>
                    <w:t>possible)</w:t>
                  </w:r>
                </w:p>
              </w:tc>
              <w:tc>
                <w:tcPr>
                  <w:tcW w:w="827" w:type="pct"/>
                  <w:tcBorders>
                    <w:top w:val="single" w:sz="4" w:space="0" w:color="auto"/>
                    <w:left w:val="nil"/>
                    <w:bottom w:val="single" w:sz="4" w:space="0" w:color="auto"/>
                    <w:right w:val="single" w:sz="4" w:space="0" w:color="auto"/>
                  </w:tcBorders>
                  <w:shd w:val="clear" w:color="auto" w:fill="D8D8D8"/>
                  <w:hideMark/>
                </w:tcPr>
                <w:p w14:paraId="7BF8B315" w14:textId="77777777" w:rsidR="00812FEA" w:rsidRPr="00D82919" w:rsidRDefault="00812FEA" w:rsidP="00C86C76">
                  <w:pPr>
                    <w:spacing w:before="0" w:after="0" w:line="240" w:lineRule="auto"/>
                    <w:rPr>
                      <w:rFonts w:eastAsia="Times New Roman" w:cs="Arial"/>
                      <w:b/>
                      <w:bCs/>
                      <w:color w:val="000000"/>
                      <w:sz w:val="18"/>
                      <w:szCs w:val="20"/>
                      <w:lang w:val="en-US"/>
                    </w:rPr>
                  </w:pPr>
                  <w:r w:rsidRPr="00D82919">
                    <w:rPr>
                      <w:rFonts w:eastAsia="Times New Roman" w:cs="Arial"/>
                      <w:b/>
                      <w:bCs/>
                      <w:color w:val="000000"/>
                      <w:sz w:val="18"/>
                      <w:szCs w:val="20"/>
                      <w:lang w:val="en-US"/>
                    </w:rPr>
                    <w:lastRenderedPageBreak/>
                    <w:t>Benefit estimate (weighted</w:t>
                  </w:r>
                  <w:r>
                    <w:rPr>
                      <w:rStyle w:val="Voetnootmarkering"/>
                      <w:rFonts w:eastAsia="Times New Roman" w:cs="Arial"/>
                      <w:b/>
                      <w:bCs/>
                      <w:color w:val="000000"/>
                      <w:szCs w:val="20"/>
                    </w:rPr>
                    <w:footnoteReference w:id="5"/>
                  </w:r>
                  <w:r w:rsidRPr="00D82919">
                    <w:rPr>
                      <w:rFonts w:eastAsia="Times New Roman" w:cs="Arial"/>
                      <w:b/>
                      <w:bCs/>
                      <w:color w:val="000000"/>
                      <w:sz w:val="18"/>
                      <w:szCs w:val="20"/>
                      <w:lang w:val="en-US"/>
                    </w:rPr>
                    <w:t xml:space="preserve"> AVG of time scale score and </w:t>
                  </w:r>
                  <w:r w:rsidRPr="00D82919">
                    <w:rPr>
                      <w:rFonts w:eastAsia="Times New Roman" w:cs="Arial"/>
                      <w:b/>
                      <w:bCs/>
                      <w:color w:val="000000"/>
                      <w:sz w:val="18"/>
                      <w:szCs w:val="20"/>
                      <w:lang w:val="en-US"/>
                    </w:rPr>
                    <w:lastRenderedPageBreak/>
                    <w:t xml:space="preserve">benefit score) </w:t>
                  </w:r>
                </w:p>
              </w:tc>
            </w:tr>
            <w:tr w:rsidR="00812FEA" w:rsidRPr="0049591E" w14:paraId="67AE24C8" w14:textId="77777777" w:rsidTr="00C86C76">
              <w:trPr>
                <w:trHeight w:val="448"/>
              </w:trPr>
              <w:tc>
                <w:tcPr>
                  <w:tcW w:w="1716" w:type="pct"/>
                  <w:tcBorders>
                    <w:top w:val="nil"/>
                    <w:left w:val="nil"/>
                    <w:bottom w:val="single" w:sz="4" w:space="0" w:color="auto"/>
                    <w:right w:val="nil"/>
                  </w:tcBorders>
                </w:tcPr>
                <w:p w14:paraId="53448C86" w14:textId="77777777" w:rsidR="00812FEA" w:rsidRPr="00D82919" w:rsidRDefault="00812FEA" w:rsidP="00C86C76">
                  <w:pPr>
                    <w:spacing w:before="0" w:after="0" w:line="240" w:lineRule="auto"/>
                    <w:rPr>
                      <w:rFonts w:eastAsia="Times New Roman" w:cs="Arial"/>
                      <w:color w:val="000000"/>
                      <w:sz w:val="18"/>
                      <w:szCs w:val="20"/>
                      <w:lang w:val="en-US"/>
                    </w:rPr>
                  </w:pPr>
                </w:p>
              </w:tc>
              <w:tc>
                <w:tcPr>
                  <w:tcW w:w="847" w:type="pct"/>
                  <w:tcBorders>
                    <w:top w:val="nil"/>
                    <w:left w:val="nil"/>
                    <w:bottom w:val="single" w:sz="4" w:space="0" w:color="auto"/>
                    <w:right w:val="single" w:sz="4" w:space="0" w:color="auto"/>
                  </w:tcBorders>
                </w:tcPr>
                <w:p w14:paraId="07CFD563" w14:textId="77777777" w:rsidR="00812FEA" w:rsidRPr="00D82919" w:rsidRDefault="00812FEA" w:rsidP="00C86C76">
                  <w:pPr>
                    <w:spacing w:before="0" w:after="0" w:line="240" w:lineRule="auto"/>
                    <w:rPr>
                      <w:rFonts w:eastAsia="Times New Roman" w:cs="Arial"/>
                      <w:color w:val="000000"/>
                      <w:sz w:val="18"/>
                      <w:szCs w:val="20"/>
                      <w:lang w:val="en-US"/>
                    </w:rPr>
                  </w:pPr>
                </w:p>
              </w:tc>
              <w:tc>
                <w:tcPr>
                  <w:tcW w:w="847" w:type="pct"/>
                  <w:tcBorders>
                    <w:top w:val="nil"/>
                    <w:left w:val="nil"/>
                    <w:bottom w:val="single" w:sz="4" w:space="0" w:color="auto"/>
                    <w:right w:val="single" w:sz="4" w:space="0" w:color="auto"/>
                  </w:tcBorders>
                </w:tcPr>
                <w:p w14:paraId="4B39EF3C" w14:textId="77777777" w:rsidR="00812FEA" w:rsidRPr="00D82919" w:rsidRDefault="00812FEA" w:rsidP="00C86C76">
                  <w:pPr>
                    <w:spacing w:before="0" w:after="0" w:line="240" w:lineRule="auto"/>
                    <w:rPr>
                      <w:rFonts w:eastAsia="Times New Roman" w:cs="Arial"/>
                      <w:color w:val="000000"/>
                      <w:sz w:val="18"/>
                      <w:szCs w:val="20"/>
                      <w:lang w:val="en-US"/>
                    </w:rPr>
                  </w:pPr>
                </w:p>
              </w:tc>
              <w:tc>
                <w:tcPr>
                  <w:tcW w:w="763" w:type="pct"/>
                  <w:tcBorders>
                    <w:top w:val="nil"/>
                    <w:left w:val="nil"/>
                    <w:bottom w:val="single" w:sz="4" w:space="0" w:color="auto"/>
                    <w:right w:val="single" w:sz="4" w:space="0" w:color="auto"/>
                  </w:tcBorders>
                </w:tcPr>
                <w:p w14:paraId="089BBA73" w14:textId="77777777" w:rsidR="00812FEA" w:rsidRPr="00D82919" w:rsidRDefault="00812FEA" w:rsidP="00C86C76">
                  <w:pPr>
                    <w:spacing w:before="0" w:after="0" w:line="240" w:lineRule="auto"/>
                    <w:jc w:val="right"/>
                    <w:rPr>
                      <w:rFonts w:eastAsia="Times New Roman" w:cs="Arial"/>
                      <w:color w:val="000000"/>
                      <w:sz w:val="18"/>
                      <w:szCs w:val="20"/>
                      <w:lang w:val="en-US"/>
                    </w:rPr>
                  </w:pPr>
                </w:p>
              </w:tc>
              <w:tc>
                <w:tcPr>
                  <w:tcW w:w="827" w:type="pct"/>
                  <w:tcBorders>
                    <w:top w:val="nil"/>
                    <w:left w:val="nil"/>
                    <w:bottom w:val="single" w:sz="4" w:space="0" w:color="auto"/>
                    <w:right w:val="single" w:sz="4" w:space="0" w:color="auto"/>
                  </w:tcBorders>
                  <w:hideMark/>
                </w:tcPr>
                <w:p w14:paraId="594C8599" w14:textId="77777777" w:rsidR="00812FEA" w:rsidRPr="00D82919" w:rsidRDefault="00812FEA" w:rsidP="00C86C76">
                  <w:pPr>
                    <w:spacing w:before="0" w:after="0" w:line="240" w:lineRule="auto"/>
                    <w:jc w:val="right"/>
                    <w:rPr>
                      <w:rFonts w:eastAsia="Times New Roman" w:cs="Arial"/>
                      <w:color w:val="000000"/>
                      <w:sz w:val="18"/>
                      <w:szCs w:val="20"/>
                      <w:lang w:val="en-US"/>
                    </w:rPr>
                  </w:pPr>
                </w:p>
              </w:tc>
            </w:tr>
          </w:tbl>
          <w:p w14:paraId="1EC60392" w14:textId="77777777" w:rsidR="00812FEA" w:rsidRPr="00AF520D" w:rsidRDefault="00812FEA" w:rsidP="00C86C76">
            <w:pPr>
              <w:rPr>
                <w:b/>
                <w:sz w:val="18"/>
                <w:szCs w:val="18"/>
              </w:rPr>
            </w:pPr>
          </w:p>
        </w:tc>
      </w:tr>
      <w:tr w:rsidR="00812FEA" w:rsidRPr="004F43D3" w14:paraId="62C9008D" w14:textId="77777777" w:rsidTr="00C86C76">
        <w:tc>
          <w:tcPr>
            <w:tcW w:w="2268" w:type="dxa"/>
            <w:shd w:val="clear" w:color="auto" w:fill="auto"/>
          </w:tcPr>
          <w:p w14:paraId="30DBC72B" w14:textId="77777777" w:rsidR="00812FEA" w:rsidRPr="00AF520D" w:rsidRDefault="00812FEA" w:rsidP="00C86C76">
            <w:pPr>
              <w:rPr>
                <w:b/>
                <w:sz w:val="18"/>
                <w:szCs w:val="18"/>
              </w:rPr>
            </w:pPr>
            <w:r>
              <w:rPr>
                <w:b/>
                <w:sz w:val="18"/>
                <w:szCs w:val="18"/>
              </w:rPr>
              <w:lastRenderedPageBreak/>
              <w:t>Other</w:t>
            </w:r>
          </w:p>
        </w:tc>
        <w:tc>
          <w:tcPr>
            <w:tcW w:w="7667" w:type="dxa"/>
            <w:shd w:val="clear" w:color="auto" w:fill="auto"/>
          </w:tcPr>
          <w:p w14:paraId="7A7482C0" w14:textId="77777777" w:rsidR="00812FEA" w:rsidRPr="00AF520D" w:rsidRDefault="00812FEA" w:rsidP="00C86C76">
            <w:pPr>
              <w:pStyle w:val="Opsommingsymbool0"/>
              <w:spacing w:line="240" w:lineRule="auto"/>
              <w:rPr>
                <w:i/>
                <w:sz w:val="18"/>
                <w:szCs w:val="18"/>
              </w:rPr>
            </w:pPr>
            <w:r w:rsidRPr="00AF520D">
              <w:rPr>
                <w:i/>
                <w:sz w:val="18"/>
                <w:szCs w:val="18"/>
              </w:rPr>
              <w:t>Other remarks</w:t>
            </w:r>
          </w:p>
        </w:tc>
      </w:tr>
    </w:tbl>
    <w:p w14:paraId="259B38BE" w14:textId="77777777" w:rsidR="00812FEA" w:rsidRPr="002605F8" w:rsidRDefault="00812FEA" w:rsidP="00746E24">
      <w:pPr>
        <w:pStyle w:val="ARCADISStandaard"/>
        <w:rPr>
          <w:lang w:val="en-GB"/>
        </w:rPr>
      </w:pPr>
    </w:p>
    <w:sectPr w:rsidR="00812FEA" w:rsidRPr="002605F8" w:rsidSect="009970E8">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D92D1" w14:textId="77777777" w:rsidR="004F354A" w:rsidRDefault="004F354A" w:rsidP="00770759">
      <w:pPr>
        <w:spacing w:before="0" w:after="0" w:line="240" w:lineRule="auto"/>
      </w:pPr>
      <w:r>
        <w:separator/>
      </w:r>
    </w:p>
  </w:endnote>
  <w:endnote w:type="continuationSeparator" w:id="0">
    <w:p w14:paraId="0EC22832" w14:textId="77777777" w:rsidR="004F354A" w:rsidRDefault="004F354A" w:rsidP="007707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3219"/>
      <w:docPartObj>
        <w:docPartGallery w:val="Page Numbers (Bottom of Page)"/>
        <w:docPartUnique/>
      </w:docPartObj>
    </w:sdtPr>
    <w:sdtEndPr/>
    <w:sdtContent>
      <w:p w14:paraId="3755D344" w14:textId="77777777" w:rsidR="004F354A" w:rsidRDefault="004F354A">
        <w:pPr>
          <w:pStyle w:val="Voettekst"/>
          <w:jc w:val="center"/>
        </w:pPr>
        <w:r>
          <w:fldChar w:fldCharType="begin"/>
        </w:r>
        <w:r>
          <w:instrText>PAGE   \* MERGEFORMAT</w:instrText>
        </w:r>
        <w:r>
          <w:fldChar w:fldCharType="separate"/>
        </w:r>
        <w:r w:rsidR="009970E8" w:rsidRPr="009970E8">
          <w:rPr>
            <w:noProof/>
            <w:lang w:val="nl-NL"/>
          </w:rPr>
          <w:t>1</w:t>
        </w:r>
        <w:r>
          <w:rPr>
            <w:noProof/>
            <w:lang w:val="nl-NL"/>
          </w:rPr>
          <w:fldChar w:fldCharType="end"/>
        </w:r>
      </w:p>
    </w:sdtContent>
  </w:sdt>
  <w:p w14:paraId="7296B8BC" w14:textId="77777777" w:rsidR="004F354A" w:rsidRDefault="004F35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0394" w14:textId="77777777" w:rsidR="004F354A" w:rsidRDefault="004F354A" w:rsidP="00770759">
      <w:pPr>
        <w:spacing w:before="0" w:after="0" w:line="240" w:lineRule="auto"/>
      </w:pPr>
      <w:r>
        <w:separator/>
      </w:r>
    </w:p>
  </w:footnote>
  <w:footnote w:type="continuationSeparator" w:id="0">
    <w:p w14:paraId="3B4A8B84" w14:textId="77777777" w:rsidR="004F354A" w:rsidRDefault="004F354A" w:rsidP="00770759">
      <w:pPr>
        <w:spacing w:before="0" w:after="0" w:line="240" w:lineRule="auto"/>
      </w:pPr>
      <w:r>
        <w:continuationSeparator/>
      </w:r>
    </w:p>
  </w:footnote>
  <w:footnote w:id="1">
    <w:p w14:paraId="2687C563" w14:textId="77777777" w:rsidR="004F354A" w:rsidRPr="00A15D79" w:rsidRDefault="004F354A">
      <w:pPr>
        <w:pStyle w:val="Voetnoottekst"/>
        <w:rPr>
          <w:lang w:val="en-US"/>
        </w:rPr>
      </w:pPr>
      <w:r>
        <w:rPr>
          <w:rStyle w:val="Voetnootmarkering"/>
        </w:rPr>
        <w:footnoteRef/>
      </w:r>
      <w:r w:rsidRPr="00A15D79">
        <w:rPr>
          <w:lang w:val="en-US"/>
        </w:rPr>
        <w:t xml:space="preserve"> These costs should be interpreted as one off </w:t>
      </w:r>
      <w:r>
        <w:rPr>
          <w:lang w:val="en-US"/>
        </w:rPr>
        <w:t xml:space="preserve">costs per Member State, with yearly costs being discounted for. </w:t>
      </w:r>
    </w:p>
  </w:footnote>
  <w:footnote w:id="2">
    <w:p w14:paraId="2673AD8B" w14:textId="1CEFA740" w:rsidR="004F354A" w:rsidRPr="00D07EF3" w:rsidRDefault="004F354A">
      <w:pPr>
        <w:pStyle w:val="Voetnoottekst"/>
        <w:rPr>
          <w:lang w:val="en-US"/>
        </w:rPr>
      </w:pPr>
      <w:r>
        <w:rPr>
          <w:rStyle w:val="Voetnootmarkering"/>
        </w:rPr>
        <w:footnoteRef/>
      </w:r>
      <w:r w:rsidRPr="00D07EF3">
        <w:rPr>
          <w:lang w:val="en-US"/>
        </w:rPr>
        <w:t xml:space="preserve"> </w:t>
      </w:r>
      <w:r>
        <w:rPr>
          <w:lang w:val="en-US"/>
        </w:rPr>
        <w:t xml:space="preserve">Although Member States are free to diverge from this discount rate. E.g. the </w:t>
      </w:r>
      <w:r w:rsidRPr="00F609B6">
        <w:rPr>
          <w:lang w:val="en-US"/>
        </w:rPr>
        <w:t>UNEP/G</w:t>
      </w:r>
      <w:r>
        <w:rPr>
          <w:lang w:val="en-US"/>
        </w:rPr>
        <w:t>ui</w:t>
      </w:r>
      <w:r w:rsidRPr="00F609B6">
        <w:rPr>
          <w:lang w:val="en-US"/>
        </w:rPr>
        <w:t xml:space="preserve">dance doc (Annex G) </w:t>
      </w:r>
      <w:r>
        <w:rPr>
          <w:lang w:val="en-US"/>
        </w:rPr>
        <w:t xml:space="preserve">suggests a discount rate of 3% </w:t>
      </w:r>
      <w:r w:rsidRPr="00F609B6">
        <w:rPr>
          <w:lang w:val="en-US"/>
        </w:rPr>
        <w:t>for</w:t>
      </w:r>
      <w:r>
        <w:rPr>
          <w:lang w:val="en-US"/>
        </w:rPr>
        <w:t xml:space="preserve"> a</w:t>
      </w:r>
      <w:r w:rsidRPr="00F609B6">
        <w:rPr>
          <w:lang w:val="en-US"/>
        </w:rPr>
        <w:t xml:space="preserve"> time horizon</w:t>
      </w:r>
      <w:r>
        <w:rPr>
          <w:lang w:val="en-US"/>
        </w:rPr>
        <w:t xml:space="preserve"> of </w:t>
      </w:r>
      <w:r w:rsidRPr="00F609B6">
        <w:rPr>
          <w:lang w:val="en-US"/>
        </w:rPr>
        <w:t>10 years</w:t>
      </w:r>
      <w:r>
        <w:rPr>
          <w:lang w:val="en-US"/>
        </w:rPr>
        <w:t>. It is nonetheless important to use the same discount rate and time period through the total for all selected measures to be assessed.</w:t>
      </w:r>
    </w:p>
  </w:footnote>
  <w:footnote w:id="3">
    <w:p w14:paraId="41AC1E1D" w14:textId="77777777" w:rsidR="004F354A" w:rsidRPr="00B36820" w:rsidRDefault="004F354A" w:rsidP="005C25EA">
      <w:pPr>
        <w:pStyle w:val="Voetnoottekst"/>
        <w:rPr>
          <w:lang w:val="en-US"/>
        </w:rPr>
      </w:pPr>
      <w:r>
        <w:rPr>
          <w:rStyle w:val="Voetnootmarkering"/>
        </w:rPr>
        <w:footnoteRef/>
      </w:r>
      <w:r w:rsidRPr="00B36820">
        <w:rPr>
          <w:lang w:val="en-US"/>
        </w:rPr>
        <w:t xml:space="preserve"> This </w:t>
      </w:r>
      <w:r>
        <w:rPr>
          <w:lang w:val="en-US"/>
        </w:rPr>
        <w:t>method</w:t>
      </w:r>
      <w:r w:rsidRPr="00B36820">
        <w:rPr>
          <w:lang w:val="en-US"/>
        </w:rPr>
        <w:t xml:space="preserve"> is inspired by </w:t>
      </w:r>
      <w:r>
        <w:rPr>
          <w:lang w:val="en-US"/>
        </w:rPr>
        <w:t>the ‘</w:t>
      </w:r>
      <w:r w:rsidRPr="0022230A">
        <w:rPr>
          <w:lang w:val="en-US"/>
        </w:rPr>
        <w:t>Approach Used to Assign Certainty Terms</w:t>
      </w:r>
      <w:r>
        <w:rPr>
          <w:lang w:val="en-US"/>
        </w:rPr>
        <w:t xml:space="preserve">’ of </w:t>
      </w:r>
      <w:r w:rsidRPr="00B36820">
        <w:rPr>
          <w:lang w:val="en-US"/>
        </w:rPr>
        <w:t>The UK National Ecosystem Assessment</w:t>
      </w:r>
      <w:r>
        <w:rPr>
          <w:lang w:val="en-US"/>
        </w:rPr>
        <w:t xml:space="preserve"> (</w:t>
      </w:r>
      <w:r w:rsidRPr="007C2857">
        <w:rPr>
          <w:lang w:val="en-US"/>
        </w:rPr>
        <w:t>UNEP-WCMC, Cambridge. University</w:t>
      </w:r>
      <w:r>
        <w:rPr>
          <w:lang w:val="en-US"/>
        </w:rPr>
        <w:t xml:space="preserve">; </w:t>
      </w:r>
      <w:r w:rsidRPr="007C2857">
        <w:rPr>
          <w:lang w:val="en-US"/>
        </w:rPr>
        <w:t>2011)</w:t>
      </w:r>
      <w:r w:rsidRPr="00B36820">
        <w:rPr>
          <w:lang w:val="en-US"/>
        </w:rPr>
        <w:t>.</w:t>
      </w:r>
    </w:p>
  </w:footnote>
  <w:footnote w:id="4">
    <w:p w14:paraId="030C0C64" w14:textId="77777777" w:rsidR="004F354A" w:rsidRPr="005D21D3" w:rsidRDefault="004F354A" w:rsidP="005C25EA">
      <w:pPr>
        <w:pStyle w:val="Voetnoottekst"/>
        <w:rPr>
          <w:lang w:val="en-US"/>
        </w:rPr>
      </w:pPr>
      <w:r>
        <w:rPr>
          <w:rStyle w:val="Voetnootmarkering"/>
        </w:rPr>
        <w:footnoteRef/>
      </w:r>
      <w:r w:rsidRPr="005D21D3">
        <w:rPr>
          <w:lang w:val="en-US"/>
        </w:rPr>
        <w:t xml:space="preserve"> These scores are related to the first </w:t>
      </w:r>
      <w:r>
        <w:rPr>
          <w:lang w:val="en-US"/>
        </w:rPr>
        <w:t xml:space="preserve">rough assessment as follows: low </w:t>
      </w:r>
      <w:r w:rsidRPr="005D21D3">
        <w:rPr>
          <w:lang w:val="en-US"/>
        </w:rPr>
        <w:sym w:font="Wingdings" w:char="F0E0"/>
      </w:r>
      <w:r>
        <w:rPr>
          <w:lang w:val="en-US"/>
        </w:rPr>
        <w:t xml:space="preserve"> score 4,5; medium </w:t>
      </w:r>
      <w:r w:rsidRPr="005D21D3">
        <w:rPr>
          <w:lang w:val="en-US"/>
        </w:rPr>
        <w:sym w:font="Wingdings" w:char="F0E0"/>
      </w:r>
      <w:r>
        <w:rPr>
          <w:lang w:val="en-US"/>
        </w:rPr>
        <w:t xml:space="preserve"> score 2,3; high </w:t>
      </w:r>
      <w:r w:rsidRPr="005D21D3">
        <w:rPr>
          <w:lang w:val="en-US"/>
        </w:rPr>
        <w:sym w:font="Wingdings" w:char="F0E0"/>
      </w:r>
      <w:r>
        <w:rPr>
          <w:lang w:val="en-US"/>
        </w:rPr>
        <w:t xml:space="preserve"> score 1. </w:t>
      </w:r>
    </w:p>
  </w:footnote>
  <w:footnote w:id="5">
    <w:p w14:paraId="5427045A" w14:textId="77777777" w:rsidR="00812FEA" w:rsidRPr="00B963DD" w:rsidRDefault="00812FEA" w:rsidP="00812FEA">
      <w:pPr>
        <w:pStyle w:val="Voetnoottekst"/>
        <w:rPr>
          <w:lang w:val="en-US"/>
        </w:rPr>
      </w:pPr>
      <w:r>
        <w:rPr>
          <w:rStyle w:val="Voetnootmarkering"/>
        </w:rPr>
        <w:footnoteRef/>
      </w:r>
      <w:r>
        <w:t xml:space="preserve"> (time + 2*benefit )/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4D"/>
    <w:multiLevelType w:val="hybridMultilevel"/>
    <w:tmpl w:val="FA28831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2">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12B1483F"/>
    <w:multiLevelType w:val="hybridMultilevel"/>
    <w:tmpl w:val="9E6ABDCA"/>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4">
    <w:nsid w:val="14471D35"/>
    <w:multiLevelType w:val="hybridMultilevel"/>
    <w:tmpl w:val="54A48B0A"/>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5">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7">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8">
    <w:nsid w:val="547F44A6"/>
    <w:multiLevelType w:val="hybridMultilevel"/>
    <w:tmpl w:val="8E54C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0">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A57F3F"/>
    <w:multiLevelType w:val="hybridMultilevel"/>
    <w:tmpl w:val="44E223FC"/>
    <w:lvl w:ilvl="0" w:tplc="3E5816BA">
      <w:start w:val="1"/>
      <w:numFmt w:val="bullet"/>
      <w:lvlText w:val=""/>
      <w:lvlJc w:val="left"/>
      <w:pPr>
        <w:ind w:left="2345" w:hanging="360"/>
      </w:pPr>
      <w:rPr>
        <w:rFonts w:ascii="Wingdings" w:eastAsiaTheme="minorHAnsi" w:hAnsi="Wingdings" w:cstheme="minorBid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7"/>
  </w:num>
  <w:num w:numId="2">
    <w:abstractNumId w:val="12"/>
  </w:num>
  <w:num w:numId="3">
    <w:abstractNumId w:val="12"/>
  </w:num>
  <w:num w:numId="4">
    <w:abstractNumId w:val="5"/>
  </w:num>
  <w:num w:numId="5">
    <w:abstractNumId w:val="9"/>
  </w:num>
  <w:num w:numId="6">
    <w:abstractNumId w:val="1"/>
  </w:num>
  <w:num w:numId="7">
    <w:abstractNumId w:val="6"/>
  </w:num>
  <w:num w:numId="8">
    <w:abstractNumId w:val="13"/>
  </w:num>
  <w:num w:numId="9">
    <w:abstractNumId w:val="14"/>
  </w:num>
  <w:num w:numId="10">
    <w:abstractNumId w:val="11"/>
  </w:num>
  <w:num w:numId="11">
    <w:abstractNumId w:val="10"/>
  </w:num>
  <w:num w:numId="12">
    <w:abstractNumId w:val="16"/>
  </w:num>
  <w:num w:numId="13">
    <w:abstractNumId w:val="2"/>
  </w:num>
  <w:num w:numId="14">
    <w:abstractNumId w:val="0"/>
  </w:num>
  <w:num w:numId="15">
    <w:abstractNumId w:val="3"/>
  </w:num>
  <w:num w:numId="16">
    <w:abstractNumId w:val="4"/>
  </w:num>
  <w:num w:numId="17">
    <w:abstractNumId w:val="15"/>
  </w:num>
  <w:num w:numId="18">
    <w:abstractNumId w:val="8"/>
  </w:num>
  <w:num w:numId="19">
    <w:abstractNumId w:val="10"/>
  </w:num>
  <w:num w:numId="20">
    <w:abstractNumId w:val="10"/>
  </w:num>
  <w:num w:numId="21">
    <w:abstractNumId w:val="10"/>
  </w:num>
  <w:num w:numId="22">
    <w:abstractNumId w:val="10"/>
  </w:num>
  <w:num w:numId="23">
    <w:abstractNumId w:val="6"/>
  </w:num>
  <w:num w:numId="24">
    <w:abstractNumId w:val="6"/>
  </w:num>
  <w:num w:numId="25">
    <w:abstractNumId w:val="6"/>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6"/>
  </w:num>
  <w:num w:numId="33">
    <w:abstractNumId w:val="6"/>
  </w:num>
  <w:num w:numId="34">
    <w:abstractNumId w:val="6"/>
  </w:num>
  <w:num w:numId="35">
    <w:abstractNumId w:val="10"/>
  </w:num>
  <w:num w:numId="36">
    <w:abstractNumId w:val="10"/>
  </w:num>
  <w:num w:numId="37">
    <w:abstractNumId w:val="10"/>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59"/>
    <w:rsid w:val="000146C0"/>
    <w:rsid w:val="0002685E"/>
    <w:rsid w:val="00031D0D"/>
    <w:rsid w:val="00054C49"/>
    <w:rsid w:val="00055943"/>
    <w:rsid w:val="00071D84"/>
    <w:rsid w:val="0007687A"/>
    <w:rsid w:val="00091DE3"/>
    <w:rsid w:val="000B5266"/>
    <w:rsid w:val="000F5040"/>
    <w:rsid w:val="00122021"/>
    <w:rsid w:val="00132CFC"/>
    <w:rsid w:val="00145374"/>
    <w:rsid w:val="00170C6E"/>
    <w:rsid w:val="001918B1"/>
    <w:rsid w:val="00194FFB"/>
    <w:rsid w:val="001A5BD5"/>
    <w:rsid w:val="001F1160"/>
    <w:rsid w:val="001F2D56"/>
    <w:rsid w:val="001F659A"/>
    <w:rsid w:val="0023061B"/>
    <w:rsid w:val="00234FA4"/>
    <w:rsid w:val="002475BD"/>
    <w:rsid w:val="002605F8"/>
    <w:rsid w:val="002634F6"/>
    <w:rsid w:val="00265A16"/>
    <w:rsid w:val="002719D9"/>
    <w:rsid w:val="002820B0"/>
    <w:rsid w:val="00282FAB"/>
    <w:rsid w:val="002917E0"/>
    <w:rsid w:val="002C4E9D"/>
    <w:rsid w:val="002C6352"/>
    <w:rsid w:val="002E579E"/>
    <w:rsid w:val="002E67F5"/>
    <w:rsid w:val="0032332B"/>
    <w:rsid w:val="00367024"/>
    <w:rsid w:val="003726A0"/>
    <w:rsid w:val="00372D59"/>
    <w:rsid w:val="00381D45"/>
    <w:rsid w:val="00393F5C"/>
    <w:rsid w:val="003A16D3"/>
    <w:rsid w:val="003B7434"/>
    <w:rsid w:val="003C1907"/>
    <w:rsid w:val="003C7E4E"/>
    <w:rsid w:val="003D3810"/>
    <w:rsid w:val="003D65E7"/>
    <w:rsid w:val="003E62D6"/>
    <w:rsid w:val="003F7CC1"/>
    <w:rsid w:val="004019F0"/>
    <w:rsid w:val="00422A5F"/>
    <w:rsid w:val="00440FCE"/>
    <w:rsid w:val="00442871"/>
    <w:rsid w:val="00464CE4"/>
    <w:rsid w:val="00473FF0"/>
    <w:rsid w:val="00487377"/>
    <w:rsid w:val="004913C6"/>
    <w:rsid w:val="00493F8A"/>
    <w:rsid w:val="0049591E"/>
    <w:rsid w:val="004A0FC4"/>
    <w:rsid w:val="004B0CC4"/>
    <w:rsid w:val="004C4F44"/>
    <w:rsid w:val="004C78E5"/>
    <w:rsid w:val="004E38B1"/>
    <w:rsid w:val="004E3D5A"/>
    <w:rsid w:val="004F0D8E"/>
    <w:rsid w:val="004F354A"/>
    <w:rsid w:val="004F3A96"/>
    <w:rsid w:val="00506899"/>
    <w:rsid w:val="00512173"/>
    <w:rsid w:val="0052225E"/>
    <w:rsid w:val="00525D79"/>
    <w:rsid w:val="00550ABC"/>
    <w:rsid w:val="005551F0"/>
    <w:rsid w:val="00565D4B"/>
    <w:rsid w:val="00573A57"/>
    <w:rsid w:val="005800A7"/>
    <w:rsid w:val="005821F0"/>
    <w:rsid w:val="005926CC"/>
    <w:rsid w:val="005A2841"/>
    <w:rsid w:val="005A439E"/>
    <w:rsid w:val="005A5DDB"/>
    <w:rsid w:val="005C25EA"/>
    <w:rsid w:val="005C6447"/>
    <w:rsid w:val="005C667E"/>
    <w:rsid w:val="005D21D3"/>
    <w:rsid w:val="005E00D6"/>
    <w:rsid w:val="006036E7"/>
    <w:rsid w:val="00625ED1"/>
    <w:rsid w:val="00640ADA"/>
    <w:rsid w:val="00646A28"/>
    <w:rsid w:val="006620B9"/>
    <w:rsid w:val="00677009"/>
    <w:rsid w:val="00691FFC"/>
    <w:rsid w:val="00696E94"/>
    <w:rsid w:val="006A1A2A"/>
    <w:rsid w:val="006C6A77"/>
    <w:rsid w:val="006F1951"/>
    <w:rsid w:val="006F1C4A"/>
    <w:rsid w:val="0071133F"/>
    <w:rsid w:val="00712774"/>
    <w:rsid w:val="0073671C"/>
    <w:rsid w:val="00742FF8"/>
    <w:rsid w:val="00746E24"/>
    <w:rsid w:val="00770759"/>
    <w:rsid w:val="007C6DA2"/>
    <w:rsid w:val="007E1994"/>
    <w:rsid w:val="007E3324"/>
    <w:rsid w:val="007F7FA0"/>
    <w:rsid w:val="00804FCA"/>
    <w:rsid w:val="00805384"/>
    <w:rsid w:val="00812FEA"/>
    <w:rsid w:val="0081589A"/>
    <w:rsid w:val="008252A7"/>
    <w:rsid w:val="00827553"/>
    <w:rsid w:val="00827C24"/>
    <w:rsid w:val="00845F92"/>
    <w:rsid w:val="008469F6"/>
    <w:rsid w:val="0085305C"/>
    <w:rsid w:val="0088037F"/>
    <w:rsid w:val="00884ABF"/>
    <w:rsid w:val="008A5618"/>
    <w:rsid w:val="008A6538"/>
    <w:rsid w:val="008B78B8"/>
    <w:rsid w:val="008C149F"/>
    <w:rsid w:val="00926152"/>
    <w:rsid w:val="00940BE1"/>
    <w:rsid w:val="00945925"/>
    <w:rsid w:val="009970E8"/>
    <w:rsid w:val="009A45A0"/>
    <w:rsid w:val="009A5391"/>
    <w:rsid w:val="009D5146"/>
    <w:rsid w:val="009D754B"/>
    <w:rsid w:val="009E59AC"/>
    <w:rsid w:val="009F0649"/>
    <w:rsid w:val="009F4EA9"/>
    <w:rsid w:val="00A020B3"/>
    <w:rsid w:val="00A03C1D"/>
    <w:rsid w:val="00A07381"/>
    <w:rsid w:val="00A10278"/>
    <w:rsid w:val="00A15D79"/>
    <w:rsid w:val="00A64DB2"/>
    <w:rsid w:val="00A94805"/>
    <w:rsid w:val="00A966F3"/>
    <w:rsid w:val="00AA0728"/>
    <w:rsid w:val="00AA0810"/>
    <w:rsid w:val="00AC0828"/>
    <w:rsid w:val="00AC41A1"/>
    <w:rsid w:val="00AD035B"/>
    <w:rsid w:val="00AF5E03"/>
    <w:rsid w:val="00B0343E"/>
    <w:rsid w:val="00B32A8A"/>
    <w:rsid w:val="00B40B68"/>
    <w:rsid w:val="00B52A3D"/>
    <w:rsid w:val="00B618F0"/>
    <w:rsid w:val="00B76C0A"/>
    <w:rsid w:val="00B87DA5"/>
    <w:rsid w:val="00BA49E0"/>
    <w:rsid w:val="00BB2188"/>
    <w:rsid w:val="00BB647F"/>
    <w:rsid w:val="00BC6E71"/>
    <w:rsid w:val="00BE5F6F"/>
    <w:rsid w:val="00BF65A4"/>
    <w:rsid w:val="00C12E90"/>
    <w:rsid w:val="00C165C3"/>
    <w:rsid w:val="00C32F93"/>
    <w:rsid w:val="00C33FAC"/>
    <w:rsid w:val="00C36815"/>
    <w:rsid w:val="00C40E5C"/>
    <w:rsid w:val="00C532E8"/>
    <w:rsid w:val="00C54C95"/>
    <w:rsid w:val="00C728D6"/>
    <w:rsid w:val="00C74FD2"/>
    <w:rsid w:val="00CC0B18"/>
    <w:rsid w:val="00CC3B0B"/>
    <w:rsid w:val="00CD1DFD"/>
    <w:rsid w:val="00CD38D4"/>
    <w:rsid w:val="00CF190F"/>
    <w:rsid w:val="00CF5A02"/>
    <w:rsid w:val="00D07EF3"/>
    <w:rsid w:val="00D35B24"/>
    <w:rsid w:val="00D5079D"/>
    <w:rsid w:val="00D65A2A"/>
    <w:rsid w:val="00D760F4"/>
    <w:rsid w:val="00D82919"/>
    <w:rsid w:val="00D87833"/>
    <w:rsid w:val="00D95D49"/>
    <w:rsid w:val="00DA4999"/>
    <w:rsid w:val="00DA6BA1"/>
    <w:rsid w:val="00DB7EF9"/>
    <w:rsid w:val="00DC6654"/>
    <w:rsid w:val="00DC7BD4"/>
    <w:rsid w:val="00DC7E05"/>
    <w:rsid w:val="00DF6C3C"/>
    <w:rsid w:val="00E008F5"/>
    <w:rsid w:val="00E119AA"/>
    <w:rsid w:val="00E14D6D"/>
    <w:rsid w:val="00E213EF"/>
    <w:rsid w:val="00E37308"/>
    <w:rsid w:val="00E779BF"/>
    <w:rsid w:val="00E850FB"/>
    <w:rsid w:val="00EA7A90"/>
    <w:rsid w:val="00EB325E"/>
    <w:rsid w:val="00ED5138"/>
    <w:rsid w:val="00ED6566"/>
    <w:rsid w:val="00EF5350"/>
    <w:rsid w:val="00F06742"/>
    <w:rsid w:val="00F14054"/>
    <w:rsid w:val="00F4457F"/>
    <w:rsid w:val="00F46B1B"/>
    <w:rsid w:val="00F609B6"/>
    <w:rsid w:val="00F642E9"/>
    <w:rsid w:val="00F6435F"/>
    <w:rsid w:val="00F741E6"/>
    <w:rsid w:val="00F85260"/>
    <w:rsid w:val="00F86B04"/>
    <w:rsid w:val="00FD35B6"/>
    <w:rsid w:val="00FD3E7A"/>
    <w:rsid w:val="00FE11BE"/>
    <w:rsid w:val="00FF1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qFormat="1"/>
    <w:lsdException w:name="caption" w:uiPriority="0" w:qFormat="1"/>
    <w:lsdException w:name="table of figures" w:uiPriority="0"/>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94805"/>
    <w:pPr>
      <w:spacing w:before="60" w:after="60" w:line="280" w:lineRule="atLeast"/>
    </w:pPr>
    <w:rPr>
      <w:rFonts w:ascii="Arial" w:hAnsi="Arial"/>
      <w:sz w:val="20"/>
    </w:rPr>
  </w:style>
  <w:style w:type="paragraph" w:styleId="Kop1">
    <w:name w:val="heading 1"/>
    <w:aliases w:val="- Niveau 1"/>
    <w:basedOn w:val="Standaard"/>
    <w:next w:val="ARCADISStandaard"/>
    <w:link w:val="Kop1Char"/>
    <w:qFormat/>
    <w:rsid w:val="009D754B"/>
    <w:pPr>
      <w:keepNext/>
      <w:numPr>
        <w:numId w:val="3"/>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3"/>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3"/>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3"/>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3"/>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3"/>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 w:val="20"/>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4"/>
      </w:numPr>
      <w:contextualSpacing/>
    </w:pPr>
  </w:style>
  <w:style w:type="paragraph" w:customStyle="1" w:styleId="OpsommingLetter">
    <w:name w:val="Opsomming Letter"/>
    <w:basedOn w:val="Standaard"/>
    <w:qFormat/>
    <w:rsid w:val="00BC6E71"/>
    <w:pPr>
      <w:numPr>
        <w:numId w:val="5"/>
      </w:numPr>
    </w:pPr>
  </w:style>
  <w:style w:type="paragraph" w:customStyle="1" w:styleId="OpsommingNummer">
    <w:name w:val="Opsomming Nummer"/>
    <w:basedOn w:val="Standaard"/>
    <w:qFormat/>
    <w:rsid w:val="00BC6E71"/>
    <w:pPr>
      <w:numPr>
        <w:numId w:val="6"/>
      </w:numPr>
    </w:pPr>
  </w:style>
  <w:style w:type="paragraph" w:customStyle="1" w:styleId="OpsommingSymbool">
    <w:name w:val="Opsomming Symbool"/>
    <w:basedOn w:val="Standaard"/>
    <w:qFormat/>
    <w:rsid w:val="00BC6E71"/>
    <w:pPr>
      <w:numPr>
        <w:numId w:val="7"/>
      </w:numPr>
    </w:pPr>
  </w:style>
  <w:style w:type="paragraph" w:customStyle="1" w:styleId="Samenvatting-Niveau1">
    <w:name w:val="Samenvatting - Niveau 1"/>
    <w:basedOn w:val="Standaard"/>
    <w:next w:val="ARCADISStandaard"/>
    <w:qFormat/>
    <w:rsid w:val="00CD38D4"/>
    <w:pPr>
      <w:numPr>
        <w:numId w:val="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8"/>
      </w:numPr>
    </w:pPr>
    <w:rPr>
      <w:color w:val="0079A2"/>
    </w:rPr>
  </w:style>
  <w:style w:type="paragraph" w:customStyle="1" w:styleId="Samenvatting-Niveau5">
    <w:name w:val="Samenvatting - Niveau 5"/>
    <w:basedOn w:val="Standaard"/>
    <w:next w:val="ARCADISStandaard"/>
    <w:qFormat/>
    <w:rsid w:val="00CD38D4"/>
    <w:pPr>
      <w:keepNext/>
      <w:numPr>
        <w:ilvl w:val="4"/>
        <w:numId w:val="8"/>
      </w:numPr>
    </w:pPr>
    <w:rPr>
      <w:color w:val="0079A2"/>
    </w:rPr>
  </w:style>
  <w:style w:type="paragraph" w:customStyle="1" w:styleId="Samenvatting-Niveau6">
    <w:name w:val="Samenvatting - Niveau 6"/>
    <w:basedOn w:val="Standaard"/>
    <w:next w:val="ARCADISStandaard"/>
    <w:qFormat/>
    <w:rsid w:val="00CD38D4"/>
    <w:pPr>
      <w:keepNext/>
      <w:numPr>
        <w:ilvl w:val="5"/>
        <w:numId w:val="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1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FR, BVI fnr"/>
    <w:basedOn w:val="Standaardalinea-lettertype"/>
    <w:uiPriority w:val="99"/>
    <w:qFormat/>
    <w:rsid w:val="00CD38D4"/>
    <w:rPr>
      <w:rFonts w:ascii="Arial" w:hAnsi="Arial"/>
      <w:sz w:val="16"/>
      <w:vertAlign w:val="superscript"/>
    </w:rPr>
  </w:style>
  <w:style w:type="paragraph" w:styleId="Voetnoottekst">
    <w:name w:val="footnote text"/>
    <w:aliases w:val="M Footnotes"/>
    <w:basedOn w:val="Standaard"/>
    <w:link w:val="VoetnoottekstChar"/>
    <w:autoRedefine/>
    <w:qFormat/>
    <w:rsid w:val="00CD38D4"/>
    <w:pPr>
      <w:spacing w:before="20" w:after="20" w:line="240" w:lineRule="auto"/>
    </w:pPr>
    <w:rPr>
      <w:sz w:val="16"/>
      <w:szCs w:val="20"/>
    </w:rPr>
  </w:style>
  <w:style w:type="character" w:customStyle="1" w:styleId="VoetnoottekstChar">
    <w:name w:val="Voetnoottekst Char"/>
    <w:aliases w:val="M Footnotes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11"/>
      </w:numPr>
    </w:pPr>
  </w:style>
  <w:style w:type="paragraph" w:customStyle="1" w:styleId="OpsommingLetter0">
    <w:name w:val="Opsomming Letter 0"/>
    <w:basedOn w:val="Lijstalinea"/>
    <w:qFormat/>
    <w:rsid w:val="003B7434"/>
    <w:pPr>
      <w:numPr>
        <w:numId w:val="12"/>
      </w:numPr>
    </w:pPr>
  </w:style>
  <w:style w:type="paragraph" w:customStyle="1" w:styleId="OpsommingNummer0">
    <w:name w:val="Opsomming Nummer 0"/>
    <w:basedOn w:val="Lijstalinea"/>
    <w:qFormat/>
    <w:rsid w:val="003B7434"/>
    <w:pPr>
      <w:numPr>
        <w:numId w:val="13"/>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paragraph" w:styleId="Tekstopmerking">
    <w:name w:val="annotation text"/>
    <w:basedOn w:val="Standaard"/>
    <w:link w:val="TekstopmerkingChar"/>
    <w:uiPriority w:val="99"/>
    <w:semiHidden/>
    <w:unhideWhenUsed/>
    <w:rsid w:val="00F14054"/>
    <w:pPr>
      <w:spacing w:line="240" w:lineRule="auto"/>
    </w:pPr>
    <w:rPr>
      <w:szCs w:val="20"/>
    </w:rPr>
  </w:style>
  <w:style w:type="character" w:customStyle="1" w:styleId="TekstopmerkingChar">
    <w:name w:val="Tekst opmerking Char"/>
    <w:basedOn w:val="Standaardalinea-lettertype"/>
    <w:link w:val="Tekstopmerking"/>
    <w:uiPriority w:val="99"/>
    <w:semiHidden/>
    <w:rsid w:val="00F140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14054"/>
    <w:rPr>
      <w:b/>
      <w:bCs/>
    </w:rPr>
  </w:style>
  <w:style w:type="character" w:customStyle="1" w:styleId="OnderwerpvanopmerkingChar">
    <w:name w:val="Onderwerp van opmerking Char"/>
    <w:basedOn w:val="TekstopmerkingChar"/>
    <w:link w:val="Onderwerpvanopmerking"/>
    <w:uiPriority w:val="99"/>
    <w:semiHidden/>
    <w:rsid w:val="00F14054"/>
    <w:rPr>
      <w:rFonts w:ascii="Arial" w:hAnsi="Arial"/>
      <w:b/>
      <w:bCs/>
      <w:sz w:val="20"/>
      <w:szCs w:val="20"/>
    </w:rPr>
  </w:style>
  <w:style w:type="table" w:customStyle="1" w:styleId="Stijl2">
    <w:name w:val="Stijl2"/>
    <w:basedOn w:val="Standaardtabel"/>
    <w:uiPriority w:val="99"/>
    <w:rsid w:val="002C4E9D"/>
    <w:pPr>
      <w:spacing w:after="0" w:line="240" w:lineRule="auto"/>
    </w:pPr>
    <w:rPr>
      <w:rFonts w:ascii="Arial" w:eastAsia="Calibri" w:hAnsi="Arial" w:cs="Times New Roman"/>
      <w:sz w:val="18"/>
      <w:szCs w:val="20"/>
      <w:lang w:val="en-US"/>
    </w:rPr>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rPr>
      <w:tblPr/>
      <w:tcPr>
        <w:shd w:val="clear" w:color="auto" w:fill="0079A3"/>
      </w:tcPr>
    </w:tblStylePr>
  </w:style>
  <w:style w:type="paragraph" w:styleId="Geenafstand">
    <w:name w:val="No Spacing"/>
    <w:uiPriority w:val="1"/>
    <w:qFormat/>
    <w:rsid w:val="002C4E9D"/>
    <w:pPr>
      <w:spacing w:after="0" w:line="240" w:lineRule="auto"/>
      <w:jc w:val="both"/>
    </w:pPr>
    <w:rPr>
      <w:rFonts w:ascii="Arial" w:hAnsi="Arial"/>
      <w:sz w:val="20"/>
      <w:lang w:val="en-GB"/>
    </w:rPr>
  </w:style>
  <w:style w:type="character" w:customStyle="1" w:styleId="ARCADISStandaardChar">
    <w:name w:val="ARCADIS Standaard Char"/>
    <w:basedOn w:val="Standaardalinea-lettertype"/>
    <w:link w:val="ARCADISStandaard"/>
    <w:locked/>
    <w:rsid w:val="005C667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qFormat="1"/>
    <w:lsdException w:name="caption" w:uiPriority="0" w:qFormat="1"/>
    <w:lsdException w:name="table of figures" w:uiPriority="0"/>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94805"/>
    <w:pPr>
      <w:spacing w:before="60" w:after="60" w:line="280" w:lineRule="atLeast"/>
    </w:pPr>
    <w:rPr>
      <w:rFonts w:ascii="Arial" w:hAnsi="Arial"/>
      <w:sz w:val="20"/>
    </w:rPr>
  </w:style>
  <w:style w:type="paragraph" w:styleId="Kop1">
    <w:name w:val="heading 1"/>
    <w:aliases w:val="- Niveau 1"/>
    <w:basedOn w:val="Standaard"/>
    <w:next w:val="ARCADISStandaard"/>
    <w:link w:val="Kop1Char"/>
    <w:qFormat/>
    <w:rsid w:val="009D754B"/>
    <w:pPr>
      <w:keepNext/>
      <w:numPr>
        <w:numId w:val="3"/>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3"/>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3"/>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3"/>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3"/>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3"/>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 w:val="20"/>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4"/>
      </w:numPr>
      <w:contextualSpacing/>
    </w:pPr>
  </w:style>
  <w:style w:type="paragraph" w:customStyle="1" w:styleId="OpsommingLetter">
    <w:name w:val="Opsomming Letter"/>
    <w:basedOn w:val="Standaard"/>
    <w:qFormat/>
    <w:rsid w:val="00BC6E71"/>
    <w:pPr>
      <w:numPr>
        <w:numId w:val="5"/>
      </w:numPr>
    </w:pPr>
  </w:style>
  <w:style w:type="paragraph" w:customStyle="1" w:styleId="OpsommingNummer">
    <w:name w:val="Opsomming Nummer"/>
    <w:basedOn w:val="Standaard"/>
    <w:qFormat/>
    <w:rsid w:val="00BC6E71"/>
    <w:pPr>
      <w:numPr>
        <w:numId w:val="6"/>
      </w:numPr>
    </w:pPr>
  </w:style>
  <w:style w:type="paragraph" w:customStyle="1" w:styleId="OpsommingSymbool">
    <w:name w:val="Opsomming Symbool"/>
    <w:basedOn w:val="Standaard"/>
    <w:qFormat/>
    <w:rsid w:val="00BC6E71"/>
    <w:pPr>
      <w:numPr>
        <w:numId w:val="7"/>
      </w:numPr>
    </w:pPr>
  </w:style>
  <w:style w:type="paragraph" w:customStyle="1" w:styleId="Samenvatting-Niveau1">
    <w:name w:val="Samenvatting - Niveau 1"/>
    <w:basedOn w:val="Standaard"/>
    <w:next w:val="ARCADISStandaard"/>
    <w:qFormat/>
    <w:rsid w:val="00CD38D4"/>
    <w:pPr>
      <w:numPr>
        <w:numId w:val="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8"/>
      </w:numPr>
    </w:pPr>
    <w:rPr>
      <w:color w:val="0079A2"/>
    </w:rPr>
  </w:style>
  <w:style w:type="paragraph" w:customStyle="1" w:styleId="Samenvatting-Niveau5">
    <w:name w:val="Samenvatting - Niveau 5"/>
    <w:basedOn w:val="Standaard"/>
    <w:next w:val="ARCADISStandaard"/>
    <w:qFormat/>
    <w:rsid w:val="00CD38D4"/>
    <w:pPr>
      <w:keepNext/>
      <w:numPr>
        <w:ilvl w:val="4"/>
        <w:numId w:val="8"/>
      </w:numPr>
    </w:pPr>
    <w:rPr>
      <w:color w:val="0079A2"/>
    </w:rPr>
  </w:style>
  <w:style w:type="paragraph" w:customStyle="1" w:styleId="Samenvatting-Niveau6">
    <w:name w:val="Samenvatting - Niveau 6"/>
    <w:basedOn w:val="Standaard"/>
    <w:next w:val="ARCADISStandaard"/>
    <w:qFormat/>
    <w:rsid w:val="00CD38D4"/>
    <w:pPr>
      <w:keepNext/>
      <w:numPr>
        <w:ilvl w:val="5"/>
        <w:numId w:val="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1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FR, BVI fnr"/>
    <w:basedOn w:val="Standaardalinea-lettertype"/>
    <w:uiPriority w:val="99"/>
    <w:qFormat/>
    <w:rsid w:val="00CD38D4"/>
    <w:rPr>
      <w:rFonts w:ascii="Arial" w:hAnsi="Arial"/>
      <w:sz w:val="16"/>
      <w:vertAlign w:val="superscript"/>
    </w:rPr>
  </w:style>
  <w:style w:type="paragraph" w:styleId="Voetnoottekst">
    <w:name w:val="footnote text"/>
    <w:aliases w:val="M Footnotes"/>
    <w:basedOn w:val="Standaard"/>
    <w:link w:val="VoetnoottekstChar"/>
    <w:autoRedefine/>
    <w:qFormat/>
    <w:rsid w:val="00CD38D4"/>
    <w:pPr>
      <w:spacing w:before="20" w:after="20" w:line="240" w:lineRule="auto"/>
    </w:pPr>
    <w:rPr>
      <w:sz w:val="16"/>
      <w:szCs w:val="20"/>
    </w:rPr>
  </w:style>
  <w:style w:type="character" w:customStyle="1" w:styleId="VoetnoottekstChar">
    <w:name w:val="Voetnoottekst Char"/>
    <w:aliases w:val="M Footnotes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11"/>
      </w:numPr>
    </w:pPr>
  </w:style>
  <w:style w:type="paragraph" w:customStyle="1" w:styleId="OpsommingLetter0">
    <w:name w:val="Opsomming Letter 0"/>
    <w:basedOn w:val="Lijstalinea"/>
    <w:qFormat/>
    <w:rsid w:val="003B7434"/>
    <w:pPr>
      <w:numPr>
        <w:numId w:val="12"/>
      </w:numPr>
    </w:pPr>
  </w:style>
  <w:style w:type="paragraph" w:customStyle="1" w:styleId="OpsommingNummer0">
    <w:name w:val="Opsomming Nummer 0"/>
    <w:basedOn w:val="Lijstalinea"/>
    <w:qFormat/>
    <w:rsid w:val="003B7434"/>
    <w:pPr>
      <w:numPr>
        <w:numId w:val="13"/>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paragraph" w:styleId="Tekstopmerking">
    <w:name w:val="annotation text"/>
    <w:basedOn w:val="Standaard"/>
    <w:link w:val="TekstopmerkingChar"/>
    <w:uiPriority w:val="99"/>
    <w:semiHidden/>
    <w:unhideWhenUsed/>
    <w:rsid w:val="00F14054"/>
    <w:pPr>
      <w:spacing w:line="240" w:lineRule="auto"/>
    </w:pPr>
    <w:rPr>
      <w:szCs w:val="20"/>
    </w:rPr>
  </w:style>
  <w:style w:type="character" w:customStyle="1" w:styleId="TekstopmerkingChar">
    <w:name w:val="Tekst opmerking Char"/>
    <w:basedOn w:val="Standaardalinea-lettertype"/>
    <w:link w:val="Tekstopmerking"/>
    <w:uiPriority w:val="99"/>
    <w:semiHidden/>
    <w:rsid w:val="00F140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14054"/>
    <w:rPr>
      <w:b/>
      <w:bCs/>
    </w:rPr>
  </w:style>
  <w:style w:type="character" w:customStyle="1" w:styleId="OnderwerpvanopmerkingChar">
    <w:name w:val="Onderwerp van opmerking Char"/>
    <w:basedOn w:val="TekstopmerkingChar"/>
    <w:link w:val="Onderwerpvanopmerking"/>
    <w:uiPriority w:val="99"/>
    <w:semiHidden/>
    <w:rsid w:val="00F14054"/>
    <w:rPr>
      <w:rFonts w:ascii="Arial" w:hAnsi="Arial"/>
      <w:b/>
      <w:bCs/>
      <w:sz w:val="20"/>
      <w:szCs w:val="20"/>
    </w:rPr>
  </w:style>
  <w:style w:type="table" w:customStyle="1" w:styleId="Stijl2">
    <w:name w:val="Stijl2"/>
    <w:basedOn w:val="Standaardtabel"/>
    <w:uiPriority w:val="99"/>
    <w:rsid w:val="002C4E9D"/>
    <w:pPr>
      <w:spacing w:after="0" w:line="240" w:lineRule="auto"/>
    </w:pPr>
    <w:rPr>
      <w:rFonts w:ascii="Arial" w:eastAsia="Calibri" w:hAnsi="Arial" w:cs="Times New Roman"/>
      <w:sz w:val="18"/>
      <w:szCs w:val="20"/>
      <w:lang w:val="en-US"/>
    </w:rPr>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rPr>
      <w:tblPr/>
      <w:tcPr>
        <w:shd w:val="clear" w:color="auto" w:fill="0079A3"/>
      </w:tcPr>
    </w:tblStylePr>
  </w:style>
  <w:style w:type="paragraph" w:styleId="Geenafstand">
    <w:name w:val="No Spacing"/>
    <w:uiPriority w:val="1"/>
    <w:qFormat/>
    <w:rsid w:val="002C4E9D"/>
    <w:pPr>
      <w:spacing w:after="0" w:line="240" w:lineRule="auto"/>
      <w:jc w:val="both"/>
    </w:pPr>
    <w:rPr>
      <w:rFonts w:ascii="Arial" w:hAnsi="Arial"/>
      <w:sz w:val="20"/>
      <w:lang w:val="en-GB"/>
    </w:rPr>
  </w:style>
  <w:style w:type="character" w:customStyle="1" w:styleId="ARCADISStandaardChar">
    <w:name w:val="ARCADIS Standaard Char"/>
    <w:basedOn w:val="Standaardalinea-lettertype"/>
    <w:link w:val="ARCADISStandaard"/>
    <w:locked/>
    <w:rsid w:val="005C667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76">
      <w:bodyDiv w:val="1"/>
      <w:marLeft w:val="0"/>
      <w:marRight w:val="0"/>
      <w:marTop w:val="0"/>
      <w:marBottom w:val="0"/>
      <w:divBdr>
        <w:top w:val="none" w:sz="0" w:space="0" w:color="auto"/>
        <w:left w:val="none" w:sz="0" w:space="0" w:color="auto"/>
        <w:bottom w:val="none" w:sz="0" w:space="0" w:color="auto"/>
        <w:right w:val="none" w:sz="0" w:space="0" w:color="auto"/>
      </w:divBdr>
    </w:div>
    <w:div w:id="146479618">
      <w:bodyDiv w:val="1"/>
      <w:marLeft w:val="0"/>
      <w:marRight w:val="0"/>
      <w:marTop w:val="0"/>
      <w:marBottom w:val="0"/>
      <w:divBdr>
        <w:top w:val="none" w:sz="0" w:space="0" w:color="auto"/>
        <w:left w:val="none" w:sz="0" w:space="0" w:color="auto"/>
        <w:bottom w:val="none" w:sz="0" w:space="0" w:color="auto"/>
        <w:right w:val="none" w:sz="0" w:space="0" w:color="auto"/>
      </w:divBdr>
    </w:div>
    <w:div w:id="152793058">
      <w:bodyDiv w:val="1"/>
      <w:marLeft w:val="0"/>
      <w:marRight w:val="0"/>
      <w:marTop w:val="0"/>
      <w:marBottom w:val="0"/>
      <w:divBdr>
        <w:top w:val="none" w:sz="0" w:space="0" w:color="auto"/>
        <w:left w:val="none" w:sz="0" w:space="0" w:color="auto"/>
        <w:bottom w:val="none" w:sz="0" w:space="0" w:color="auto"/>
        <w:right w:val="none" w:sz="0" w:space="0" w:color="auto"/>
      </w:divBdr>
    </w:div>
    <w:div w:id="342434912">
      <w:bodyDiv w:val="1"/>
      <w:marLeft w:val="0"/>
      <w:marRight w:val="0"/>
      <w:marTop w:val="0"/>
      <w:marBottom w:val="0"/>
      <w:divBdr>
        <w:top w:val="none" w:sz="0" w:space="0" w:color="auto"/>
        <w:left w:val="none" w:sz="0" w:space="0" w:color="auto"/>
        <w:bottom w:val="none" w:sz="0" w:space="0" w:color="auto"/>
        <w:right w:val="none" w:sz="0" w:space="0" w:color="auto"/>
      </w:divBdr>
    </w:div>
    <w:div w:id="493375083">
      <w:bodyDiv w:val="1"/>
      <w:marLeft w:val="0"/>
      <w:marRight w:val="0"/>
      <w:marTop w:val="0"/>
      <w:marBottom w:val="0"/>
      <w:divBdr>
        <w:top w:val="none" w:sz="0" w:space="0" w:color="auto"/>
        <w:left w:val="none" w:sz="0" w:space="0" w:color="auto"/>
        <w:bottom w:val="none" w:sz="0" w:space="0" w:color="auto"/>
        <w:right w:val="none" w:sz="0" w:space="0" w:color="auto"/>
      </w:divBdr>
    </w:div>
    <w:div w:id="815727673">
      <w:bodyDiv w:val="1"/>
      <w:marLeft w:val="0"/>
      <w:marRight w:val="0"/>
      <w:marTop w:val="0"/>
      <w:marBottom w:val="0"/>
      <w:divBdr>
        <w:top w:val="none" w:sz="0" w:space="0" w:color="auto"/>
        <w:left w:val="none" w:sz="0" w:space="0" w:color="auto"/>
        <w:bottom w:val="none" w:sz="0" w:space="0" w:color="auto"/>
        <w:right w:val="none" w:sz="0" w:space="0" w:color="auto"/>
      </w:divBdr>
    </w:div>
    <w:div w:id="915937562">
      <w:bodyDiv w:val="1"/>
      <w:marLeft w:val="0"/>
      <w:marRight w:val="0"/>
      <w:marTop w:val="0"/>
      <w:marBottom w:val="0"/>
      <w:divBdr>
        <w:top w:val="none" w:sz="0" w:space="0" w:color="auto"/>
        <w:left w:val="none" w:sz="0" w:space="0" w:color="auto"/>
        <w:bottom w:val="none" w:sz="0" w:space="0" w:color="auto"/>
        <w:right w:val="none" w:sz="0" w:space="0" w:color="auto"/>
      </w:divBdr>
    </w:div>
    <w:div w:id="951404283">
      <w:bodyDiv w:val="1"/>
      <w:marLeft w:val="0"/>
      <w:marRight w:val="0"/>
      <w:marTop w:val="0"/>
      <w:marBottom w:val="0"/>
      <w:divBdr>
        <w:top w:val="none" w:sz="0" w:space="0" w:color="auto"/>
        <w:left w:val="none" w:sz="0" w:space="0" w:color="auto"/>
        <w:bottom w:val="none" w:sz="0" w:space="0" w:color="auto"/>
        <w:right w:val="none" w:sz="0" w:space="0" w:color="auto"/>
      </w:divBdr>
    </w:div>
    <w:div w:id="1045180054">
      <w:bodyDiv w:val="1"/>
      <w:marLeft w:val="0"/>
      <w:marRight w:val="0"/>
      <w:marTop w:val="0"/>
      <w:marBottom w:val="0"/>
      <w:divBdr>
        <w:top w:val="none" w:sz="0" w:space="0" w:color="auto"/>
        <w:left w:val="none" w:sz="0" w:space="0" w:color="auto"/>
        <w:bottom w:val="none" w:sz="0" w:space="0" w:color="auto"/>
        <w:right w:val="none" w:sz="0" w:space="0" w:color="auto"/>
      </w:divBdr>
    </w:div>
    <w:div w:id="1053584162">
      <w:bodyDiv w:val="1"/>
      <w:marLeft w:val="0"/>
      <w:marRight w:val="0"/>
      <w:marTop w:val="0"/>
      <w:marBottom w:val="0"/>
      <w:divBdr>
        <w:top w:val="none" w:sz="0" w:space="0" w:color="auto"/>
        <w:left w:val="none" w:sz="0" w:space="0" w:color="auto"/>
        <w:bottom w:val="none" w:sz="0" w:space="0" w:color="auto"/>
        <w:right w:val="none" w:sz="0" w:space="0" w:color="auto"/>
      </w:divBdr>
    </w:div>
    <w:div w:id="1114206357">
      <w:bodyDiv w:val="1"/>
      <w:marLeft w:val="0"/>
      <w:marRight w:val="0"/>
      <w:marTop w:val="0"/>
      <w:marBottom w:val="0"/>
      <w:divBdr>
        <w:top w:val="none" w:sz="0" w:space="0" w:color="auto"/>
        <w:left w:val="none" w:sz="0" w:space="0" w:color="auto"/>
        <w:bottom w:val="none" w:sz="0" w:space="0" w:color="auto"/>
        <w:right w:val="none" w:sz="0" w:space="0" w:color="auto"/>
      </w:divBdr>
    </w:div>
    <w:div w:id="1227762272">
      <w:bodyDiv w:val="1"/>
      <w:marLeft w:val="0"/>
      <w:marRight w:val="0"/>
      <w:marTop w:val="0"/>
      <w:marBottom w:val="0"/>
      <w:divBdr>
        <w:top w:val="none" w:sz="0" w:space="0" w:color="auto"/>
        <w:left w:val="none" w:sz="0" w:space="0" w:color="auto"/>
        <w:bottom w:val="none" w:sz="0" w:space="0" w:color="auto"/>
        <w:right w:val="none" w:sz="0" w:space="0" w:color="auto"/>
      </w:divBdr>
    </w:div>
    <w:div w:id="1270775635">
      <w:bodyDiv w:val="1"/>
      <w:marLeft w:val="0"/>
      <w:marRight w:val="0"/>
      <w:marTop w:val="0"/>
      <w:marBottom w:val="0"/>
      <w:divBdr>
        <w:top w:val="none" w:sz="0" w:space="0" w:color="auto"/>
        <w:left w:val="none" w:sz="0" w:space="0" w:color="auto"/>
        <w:bottom w:val="none" w:sz="0" w:space="0" w:color="auto"/>
        <w:right w:val="none" w:sz="0" w:space="0" w:color="auto"/>
      </w:divBdr>
    </w:div>
    <w:div w:id="1474520623">
      <w:bodyDiv w:val="1"/>
      <w:marLeft w:val="0"/>
      <w:marRight w:val="0"/>
      <w:marTop w:val="0"/>
      <w:marBottom w:val="0"/>
      <w:divBdr>
        <w:top w:val="none" w:sz="0" w:space="0" w:color="auto"/>
        <w:left w:val="none" w:sz="0" w:space="0" w:color="auto"/>
        <w:bottom w:val="none" w:sz="0" w:space="0" w:color="auto"/>
        <w:right w:val="none" w:sz="0" w:space="0" w:color="auto"/>
      </w:divBdr>
    </w:div>
    <w:div w:id="1488086662">
      <w:bodyDiv w:val="1"/>
      <w:marLeft w:val="0"/>
      <w:marRight w:val="0"/>
      <w:marTop w:val="0"/>
      <w:marBottom w:val="0"/>
      <w:divBdr>
        <w:top w:val="none" w:sz="0" w:space="0" w:color="auto"/>
        <w:left w:val="none" w:sz="0" w:space="0" w:color="auto"/>
        <w:bottom w:val="none" w:sz="0" w:space="0" w:color="auto"/>
        <w:right w:val="none" w:sz="0" w:space="0" w:color="auto"/>
      </w:divBdr>
    </w:div>
    <w:div w:id="1556698200">
      <w:bodyDiv w:val="1"/>
      <w:marLeft w:val="0"/>
      <w:marRight w:val="0"/>
      <w:marTop w:val="0"/>
      <w:marBottom w:val="0"/>
      <w:divBdr>
        <w:top w:val="none" w:sz="0" w:space="0" w:color="auto"/>
        <w:left w:val="none" w:sz="0" w:space="0" w:color="auto"/>
        <w:bottom w:val="none" w:sz="0" w:space="0" w:color="auto"/>
        <w:right w:val="none" w:sz="0" w:space="0" w:color="auto"/>
      </w:divBdr>
    </w:div>
    <w:div w:id="1642034620">
      <w:bodyDiv w:val="1"/>
      <w:marLeft w:val="0"/>
      <w:marRight w:val="0"/>
      <w:marTop w:val="0"/>
      <w:marBottom w:val="0"/>
      <w:divBdr>
        <w:top w:val="none" w:sz="0" w:space="0" w:color="auto"/>
        <w:left w:val="none" w:sz="0" w:space="0" w:color="auto"/>
        <w:bottom w:val="none" w:sz="0" w:space="0" w:color="auto"/>
        <w:right w:val="none" w:sz="0" w:space="0" w:color="auto"/>
      </w:divBdr>
    </w:div>
    <w:div w:id="1656910889">
      <w:bodyDiv w:val="1"/>
      <w:marLeft w:val="0"/>
      <w:marRight w:val="0"/>
      <w:marTop w:val="0"/>
      <w:marBottom w:val="0"/>
      <w:divBdr>
        <w:top w:val="none" w:sz="0" w:space="0" w:color="auto"/>
        <w:left w:val="none" w:sz="0" w:space="0" w:color="auto"/>
        <w:bottom w:val="none" w:sz="0" w:space="0" w:color="auto"/>
        <w:right w:val="none" w:sz="0" w:space="0" w:color="auto"/>
      </w:divBdr>
    </w:div>
    <w:div w:id="1690373134">
      <w:bodyDiv w:val="1"/>
      <w:marLeft w:val="0"/>
      <w:marRight w:val="0"/>
      <w:marTop w:val="0"/>
      <w:marBottom w:val="0"/>
      <w:divBdr>
        <w:top w:val="none" w:sz="0" w:space="0" w:color="auto"/>
        <w:left w:val="none" w:sz="0" w:space="0" w:color="auto"/>
        <w:bottom w:val="none" w:sz="0" w:space="0" w:color="auto"/>
        <w:right w:val="none" w:sz="0" w:space="0" w:color="auto"/>
      </w:divBdr>
    </w:div>
    <w:div w:id="1750998945">
      <w:bodyDiv w:val="1"/>
      <w:marLeft w:val="0"/>
      <w:marRight w:val="0"/>
      <w:marTop w:val="0"/>
      <w:marBottom w:val="0"/>
      <w:divBdr>
        <w:top w:val="none" w:sz="0" w:space="0" w:color="auto"/>
        <w:left w:val="none" w:sz="0" w:space="0" w:color="auto"/>
        <w:bottom w:val="none" w:sz="0" w:space="0" w:color="auto"/>
        <w:right w:val="none" w:sz="0" w:space="0" w:color="auto"/>
      </w:divBdr>
    </w:div>
    <w:div w:id="1787654507">
      <w:bodyDiv w:val="1"/>
      <w:marLeft w:val="0"/>
      <w:marRight w:val="0"/>
      <w:marTop w:val="0"/>
      <w:marBottom w:val="0"/>
      <w:divBdr>
        <w:top w:val="none" w:sz="0" w:space="0" w:color="auto"/>
        <w:left w:val="none" w:sz="0" w:space="0" w:color="auto"/>
        <w:bottom w:val="none" w:sz="0" w:space="0" w:color="auto"/>
        <w:right w:val="none" w:sz="0" w:space="0" w:color="auto"/>
      </w:divBdr>
    </w:div>
    <w:div w:id="1789623217">
      <w:bodyDiv w:val="1"/>
      <w:marLeft w:val="0"/>
      <w:marRight w:val="0"/>
      <w:marTop w:val="0"/>
      <w:marBottom w:val="0"/>
      <w:divBdr>
        <w:top w:val="none" w:sz="0" w:space="0" w:color="auto"/>
        <w:left w:val="none" w:sz="0" w:space="0" w:color="auto"/>
        <w:bottom w:val="none" w:sz="0" w:space="0" w:color="auto"/>
        <w:right w:val="none" w:sz="0" w:space="0" w:color="auto"/>
      </w:divBdr>
    </w:div>
    <w:div w:id="1885478038">
      <w:bodyDiv w:val="1"/>
      <w:marLeft w:val="0"/>
      <w:marRight w:val="0"/>
      <w:marTop w:val="0"/>
      <w:marBottom w:val="0"/>
      <w:divBdr>
        <w:top w:val="none" w:sz="0" w:space="0" w:color="auto"/>
        <w:left w:val="none" w:sz="0" w:space="0" w:color="auto"/>
        <w:bottom w:val="none" w:sz="0" w:space="0" w:color="auto"/>
        <w:right w:val="none" w:sz="0" w:space="0" w:color="auto"/>
      </w:divBdr>
    </w:div>
    <w:div w:id="1929609190">
      <w:bodyDiv w:val="1"/>
      <w:marLeft w:val="0"/>
      <w:marRight w:val="0"/>
      <w:marTop w:val="0"/>
      <w:marBottom w:val="0"/>
      <w:divBdr>
        <w:top w:val="none" w:sz="0" w:space="0" w:color="auto"/>
        <w:left w:val="none" w:sz="0" w:space="0" w:color="auto"/>
        <w:bottom w:val="none" w:sz="0" w:space="0" w:color="auto"/>
        <w:right w:val="none" w:sz="0" w:space="0" w:color="auto"/>
      </w:divBdr>
    </w:div>
    <w:div w:id="1943101860">
      <w:bodyDiv w:val="1"/>
      <w:marLeft w:val="0"/>
      <w:marRight w:val="0"/>
      <w:marTop w:val="0"/>
      <w:marBottom w:val="0"/>
      <w:divBdr>
        <w:top w:val="none" w:sz="0" w:space="0" w:color="auto"/>
        <w:left w:val="none" w:sz="0" w:space="0" w:color="auto"/>
        <w:bottom w:val="none" w:sz="0" w:space="0" w:color="auto"/>
        <w:right w:val="none" w:sz="0" w:space="0" w:color="auto"/>
      </w:divBdr>
    </w:div>
    <w:div w:id="2011062509">
      <w:bodyDiv w:val="1"/>
      <w:marLeft w:val="0"/>
      <w:marRight w:val="0"/>
      <w:marTop w:val="0"/>
      <w:marBottom w:val="0"/>
      <w:divBdr>
        <w:top w:val="none" w:sz="0" w:space="0" w:color="auto"/>
        <w:left w:val="none" w:sz="0" w:space="0" w:color="auto"/>
        <w:bottom w:val="none" w:sz="0" w:space="0" w:color="auto"/>
        <w:right w:val="none" w:sz="0" w:space="0" w:color="auto"/>
      </w:divBdr>
    </w:div>
    <w:div w:id="20817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smart-regulation/impact/commission_guidelines/docs/iag_2009_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63A4A3E-25AE-42F8-93C3-EB8E7ED4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3559</Words>
  <Characters>19577</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Stijn</dc:creator>
  <cp:lastModifiedBy>inge</cp:lastModifiedBy>
  <cp:revision>10</cp:revision>
  <dcterms:created xsi:type="dcterms:W3CDTF">2015-11-27T16:16:00Z</dcterms:created>
  <dcterms:modified xsi:type="dcterms:W3CDTF">2015-12-02T19:01:00Z</dcterms:modified>
</cp:coreProperties>
</file>