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E" w:rsidRDefault="00A32AFE" w:rsidP="00A32AFE">
      <w:pPr>
        <w:pStyle w:val="Samenvatting-Niveau1"/>
        <w:numPr>
          <w:ilvl w:val="0"/>
          <w:numId w:val="0"/>
        </w:numPr>
        <w:ind w:left="1701" w:hanging="1701"/>
      </w:pPr>
      <w:r>
        <w:t xml:space="preserve">Annex </w:t>
      </w:r>
      <w:r w:rsidR="001A79EE">
        <w:t>6</w:t>
      </w:r>
      <w:r>
        <w:t xml:space="preserve">: Draft </w:t>
      </w:r>
      <w:r w:rsidR="00E8296A">
        <w:t>fact sheet measure</w:t>
      </w:r>
      <w:bookmarkStart w:id="0" w:name="_GoBack"/>
      <w:bookmarkEnd w:id="0"/>
      <w:r>
        <w:t xml:space="preserve"> </w:t>
      </w:r>
    </w:p>
    <w:tbl>
      <w:tblPr>
        <w:tblStyle w:val="Stijl2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A32AFE" w:rsidRPr="0044794B" w:rsidTr="0064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68" w:type="dxa"/>
          </w:tcPr>
          <w:p w:rsidR="00A32AFE" w:rsidRPr="0044794B" w:rsidRDefault="00A32AFE" w:rsidP="00E77C89">
            <w:pPr>
              <w:rPr>
                <w:szCs w:val="18"/>
              </w:rPr>
            </w:pPr>
            <w:r w:rsidRPr="0044794B">
              <w:rPr>
                <w:szCs w:val="18"/>
              </w:rPr>
              <w:t xml:space="preserve">MEASURE FACT SHEET </w:t>
            </w:r>
            <w:proofErr w:type="spellStart"/>
            <w:r w:rsidRPr="0044794B">
              <w:rPr>
                <w:szCs w:val="18"/>
              </w:rPr>
              <w:t>n°xx</w:t>
            </w:r>
            <w:proofErr w:type="spellEnd"/>
          </w:p>
        </w:tc>
        <w:tc>
          <w:tcPr>
            <w:tcW w:w="7513" w:type="dxa"/>
          </w:tcPr>
          <w:p w:rsidR="00A32AFE" w:rsidRPr="0044794B" w:rsidRDefault="00A32AFE" w:rsidP="00E77C89">
            <w:pPr>
              <w:jc w:val="right"/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>Existing / New measure</w:t>
            </w:r>
          </w:p>
        </w:tc>
      </w:tr>
      <w:tr w:rsidR="00A32AFE" w:rsidRPr="0044794B" w:rsidTr="00E77C89">
        <w:tc>
          <w:tcPr>
            <w:tcW w:w="9781" w:type="dxa"/>
            <w:gridSpan w:val="2"/>
            <w:shd w:val="clear" w:color="auto" w:fill="0079A3"/>
          </w:tcPr>
          <w:p w:rsidR="00A32AFE" w:rsidRPr="0044794B" w:rsidRDefault="00A32AFE" w:rsidP="00E77C89">
            <w:pPr>
              <w:rPr>
                <w:b/>
                <w:color w:val="FFFFFF"/>
                <w:szCs w:val="18"/>
              </w:rPr>
            </w:pPr>
            <w:r w:rsidRPr="0044794B">
              <w:rPr>
                <w:b/>
                <w:color w:val="FFFFFF"/>
                <w:szCs w:val="18"/>
              </w:rPr>
              <w:t>Name of the measure</w:t>
            </w:r>
          </w:p>
        </w:tc>
      </w:tr>
      <w:tr w:rsidR="00A32AFE" w:rsidRPr="0044794B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Short description 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 xml:space="preserve">Description of the measure 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>Category (EC POM</w:t>
            </w:r>
            <w:r w:rsidRPr="0044794B">
              <w:rPr>
                <w:i/>
                <w:sz w:val="16"/>
                <w:szCs w:val="18"/>
                <w:vertAlign w:val="superscript"/>
              </w:rPr>
              <w:footnoteReference w:id="1"/>
            </w:r>
            <w:r w:rsidRPr="0044794B">
              <w:rPr>
                <w:i/>
                <w:szCs w:val="18"/>
              </w:rPr>
              <w:t>)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Existing measure (category 1):</w:t>
            </w:r>
          </w:p>
          <w:p w:rsidR="00A32AFE" w:rsidRPr="0044794B" w:rsidRDefault="00A32AFE" w:rsidP="00A32AFE">
            <w:pPr>
              <w:numPr>
                <w:ilvl w:val="2"/>
                <w:numId w:val="12"/>
              </w:numPr>
              <w:tabs>
                <w:tab w:val="clear" w:pos="2552"/>
              </w:tabs>
              <w:spacing w:line="240" w:lineRule="auto"/>
              <w:ind w:left="74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Category 1.a</w:t>
            </w:r>
            <w:r w:rsidRPr="0044794B">
              <w:rPr>
                <w:color w:val="808080"/>
                <w:szCs w:val="18"/>
              </w:rPr>
              <w:t xml:space="preserve">: Measures relevant for the maintenance and achievement of GES under the MSFD, that have been </w:t>
            </w:r>
            <w:r w:rsidRPr="0044794B">
              <w:rPr>
                <w:i/>
                <w:color w:val="808080"/>
                <w:szCs w:val="18"/>
              </w:rPr>
              <w:t>adopted under other policies and implemented</w:t>
            </w:r>
            <w:r w:rsidRPr="0044794B">
              <w:rPr>
                <w:color w:val="808080"/>
                <w:szCs w:val="18"/>
              </w:rPr>
              <w:t>;</w:t>
            </w:r>
          </w:p>
          <w:p w:rsidR="00A32AFE" w:rsidRPr="0044794B" w:rsidRDefault="00A32AFE" w:rsidP="00A32AFE">
            <w:pPr>
              <w:numPr>
                <w:ilvl w:val="2"/>
                <w:numId w:val="12"/>
              </w:numPr>
              <w:tabs>
                <w:tab w:val="clear" w:pos="2552"/>
              </w:tabs>
              <w:spacing w:line="240" w:lineRule="auto"/>
              <w:ind w:left="74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Category 1.b</w:t>
            </w:r>
            <w:r w:rsidRPr="0044794B">
              <w:rPr>
                <w:color w:val="808080"/>
                <w:szCs w:val="18"/>
              </w:rPr>
              <w:t xml:space="preserve">: Measures relevant for the maintenance and achievement of GES under the MSFD that have been adopted under other policies but that have </w:t>
            </w:r>
            <w:r w:rsidRPr="0044794B">
              <w:rPr>
                <w:i/>
                <w:color w:val="808080"/>
                <w:szCs w:val="18"/>
              </w:rPr>
              <w:t>not yet been implemented or fully implemented</w:t>
            </w:r>
            <w:r w:rsidRPr="0044794B">
              <w:rPr>
                <w:color w:val="808080"/>
                <w:szCs w:val="18"/>
              </w:rPr>
              <w:t>;</w:t>
            </w:r>
          </w:p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New measure (category 2):</w:t>
            </w:r>
          </w:p>
          <w:p w:rsidR="00A32AFE" w:rsidRPr="0044794B" w:rsidRDefault="00A32AFE" w:rsidP="00A32AFE">
            <w:pPr>
              <w:numPr>
                <w:ilvl w:val="2"/>
                <w:numId w:val="12"/>
              </w:numPr>
              <w:tabs>
                <w:tab w:val="clear" w:pos="2552"/>
              </w:tabs>
              <w:spacing w:line="240" w:lineRule="auto"/>
              <w:ind w:left="74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Category 2.a</w:t>
            </w:r>
            <w:r w:rsidRPr="0044794B">
              <w:rPr>
                <w:color w:val="808080"/>
                <w:szCs w:val="18"/>
              </w:rPr>
              <w:t>: Additional measures to maintain and achieve GES which build on existing implementation processes regarding other EU legislation and international agreements but go beyond what is already required under these;</w:t>
            </w:r>
          </w:p>
          <w:p w:rsidR="00A32AFE" w:rsidRPr="0044794B" w:rsidRDefault="00A32AFE" w:rsidP="00A32AFE">
            <w:pPr>
              <w:numPr>
                <w:ilvl w:val="2"/>
                <w:numId w:val="12"/>
              </w:numPr>
              <w:tabs>
                <w:tab w:val="clear" w:pos="2552"/>
              </w:tabs>
              <w:spacing w:line="240" w:lineRule="auto"/>
              <w:ind w:left="74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Category 2.b</w:t>
            </w:r>
            <w:r w:rsidRPr="0044794B">
              <w:rPr>
                <w:color w:val="808080"/>
                <w:szCs w:val="18"/>
              </w:rPr>
              <w:t xml:space="preserve">: Additional measures to maintain and achieve GES which do not build on existing EU legislation or international agreements. 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Type of measure </w:t>
            </w:r>
            <w:r w:rsidRPr="0044794B">
              <w:rPr>
                <w:i/>
                <w:szCs w:val="18"/>
              </w:rPr>
              <w:br/>
              <w:t>(MSFD Annex VI)</w:t>
            </w:r>
          </w:p>
        </w:tc>
        <w:tc>
          <w:tcPr>
            <w:tcW w:w="7513" w:type="dxa"/>
          </w:tcPr>
          <w:p w:rsidR="00A32AFE" w:rsidRPr="0044794B" w:rsidRDefault="00A32AFE" w:rsidP="00A32AFE">
            <w:pPr>
              <w:pStyle w:val="Lijstalinea"/>
              <w:numPr>
                <w:ilvl w:val="0"/>
                <w:numId w:val="25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Legislative measures</w:t>
            </w:r>
            <w:r w:rsidRPr="0044794B">
              <w:rPr>
                <w:color w:val="808080"/>
                <w:szCs w:val="18"/>
              </w:rPr>
              <w:t>: measures adapting or supplementing national environmental law and other national legislation influencing the marine environment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5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Technical measures</w:t>
            </w:r>
            <w:r w:rsidRPr="0044794B">
              <w:rPr>
                <w:color w:val="808080"/>
                <w:szCs w:val="18"/>
              </w:rPr>
              <w:t>: measures that one can see in the field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5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Spatial and temporal distribution</w:t>
            </w:r>
            <w:r w:rsidRPr="0044794B">
              <w:rPr>
                <w:color w:val="808080"/>
                <w:szCs w:val="18"/>
              </w:rPr>
              <w:t xml:space="preserve"> controls: management measures that influence where and when an activity is allowed to occur.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5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Management coordination</w:t>
            </w:r>
            <w:r w:rsidRPr="0044794B">
              <w:rPr>
                <w:color w:val="808080"/>
                <w:szCs w:val="18"/>
              </w:rPr>
              <w:t xml:space="preserve"> measures: tools to ensure that management is coordinated.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5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Economic</w:t>
            </w:r>
            <w:r w:rsidRPr="0044794B">
              <w:rPr>
                <w:color w:val="808080"/>
                <w:szCs w:val="18"/>
              </w:rPr>
              <w:t xml:space="preserve"> incentives: management measures which make it in the economic interest of those using the marine ecosystems to act in ways which help to achieve the good environmental status objective.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5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Communication/education</w:t>
            </w:r>
            <w:r w:rsidRPr="0044794B">
              <w:rPr>
                <w:color w:val="808080"/>
                <w:szCs w:val="18"/>
              </w:rPr>
              <w:t>, stakeholder involvement and raising public awareness.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5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  <w:u w:val="single"/>
              </w:rPr>
              <w:t>Monitoring/ research</w:t>
            </w:r>
            <w:r w:rsidRPr="0044794B">
              <w:rPr>
                <w:color w:val="808080"/>
                <w:szCs w:val="18"/>
              </w:rPr>
              <w:t xml:space="preserve"> oriented measures to improve the traceability, where feasible, of marine </w:t>
            </w:r>
            <w:r w:rsidRPr="0044794B">
              <w:rPr>
                <w:color w:val="808080" w:themeColor="background1" w:themeShade="80"/>
                <w:szCs w:val="18"/>
              </w:rPr>
              <w:t>pollution.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>Link to Descriptor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Descriptor which the measure affects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Link to environmental target (and indicator) 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Environmental targets which the measure affects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>Link to pressure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Pressure which the measure affects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Link to driver 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Sector in which the measure applies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>Link to other directive/legislation/pol</w:t>
            </w:r>
            <w:r w:rsidRPr="0044794B">
              <w:rPr>
                <w:i/>
                <w:szCs w:val="18"/>
              </w:rPr>
              <w:lastRenderedPageBreak/>
              <w:t>icy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lastRenderedPageBreak/>
              <w:t>Relevant (EU) legislation that has a link with the measure or within which the measure is defined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lastRenderedPageBreak/>
              <w:t>Link to MPA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Contribution of the measure to the development of a coherent network of MPAs in the regional sea</w:t>
            </w:r>
          </w:p>
        </w:tc>
      </w:tr>
      <w:tr w:rsidR="00A32AFE" w:rsidRPr="0044794B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>Technical feasibility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 xml:space="preserve">Options: 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6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Frequently applied, Best Available Technologies (BAT)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6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Frequently applied; extensive experience / evidence of good practice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6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Applied; limited experience / uncertainties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6"/>
              </w:numPr>
              <w:spacing w:line="240" w:lineRule="auto"/>
              <w:jc w:val="left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New development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Effectiveness   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pStyle w:val="Teksttabel"/>
              <w:rPr>
                <w:color w:val="808080" w:themeColor="background1" w:themeShade="80"/>
                <w:lang w:val="en-GB"/>
              </w:rPr>
            </w:pPr>
            <w:r w:rsidRPr="0044794B">
              <w:rPr>
                <w:color w:val="808080" w:themeColor="background1" w:themeShade="80"/>
                <w:lang w:val="en-GB"/>
              </w:rPr>
              <w:t>Very low / Low / Moderate / High / Very high</w:t>
            </w:r>
          </w:p>
        </w:tc>
      </w:tr>
      <w:tr w:rsidR="00A32AFE" w:rsidRPr="0044794B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Benefits 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 w:themeColor="background1" w:themeShade="80"/>
              </w:rPr>
            </w:pPr>
            <w:r w:rsidRPr="0044794B">
              <w:rPr>
                <w:color w:val="808080" w:themeColor="background1" w:themeShade="80"/>
              </w:rPr>
              <w:t xml:space="preserve">Description of the benefits </w:t>
            </w:r>
          </w:p>
        </w:tc>
      </w:tr>
      <w:tr w:rsidR="00A32AFE" w:rsidRPr="0044794B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Costs  </w:t>
            </w:r>
          </w:p>
        </w:tc>
        <w:tc>
          <w:tcPr>
            <w:tcW w:w="7513" w:type="dxa"/>
          </w:tcPr>
          <w:p w:rsidR="00A32AFE" w:rsidRPr="0044794B" w:rsidRDefault="00A32AFE" w:rsidP="00A32AFE">
            <w:pPr>
              <w:pStyle w:val="Lijstalinea"/>
              <w:numPr>
                <w:ilvl w:val="0"/>
                <w:numId w:val="26"/>
              </w:numPr>
              <w:spacing w:line="240" w:lineRule="auto"/>
              <w:jc w:val="left"/>
              <w:rPr>
                <w:color w:val="808080" w:themeColor="background1" w:themeShade="80"/>
                <w:szCs w:val="18"/>
              </w:rPr>
            </w:pPr>
            <w:r w:rsidRPr="0044794B">
              <w:rPr>
                <w:color w:val="808080" w:themeColor="background1" w:themeShade="80"/>
                <w:szCs w:val="18"/>
              </w:rPr>
              <w:t xml:space="preserve">Yearly cost 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6"/>
              </w:numPr>
              <w:spacing w:line="240" w:lineRule="auto"/>
              <w:jc w:val="left"/>
              <w:rPr>
                <w:color w:val="808080" w:themeColor="background1" w:themeShade="80"/>
                <w:szCs w:val="18"/>
              </w:rPr>
            </w:pPr>
            <w:r w:rsidRPr="0044794B">
              <w:rPr>
                <w:color w:val="808080" w:themeColor="background1" w:themeShade="80"/>
                <w:szCs w:val="18"/>
              </w:rPr>
              <w:t>Private / Public</w:t>
            </w:r>
          </w:p>
          <w:p w:rsidR="00A32AFE" w:rsidRPr="0044794B" w:rsidRDefault="00A32AFE" w:rsidP="00A32AFE">
            <w:pPr>
              <w:pStyle w:val="Lijstalinea"/>
              <w:numPr>
                <w:ilvl w:val="0"/>
                <w:numId w:val="26"/>
              </w:numPr>
              <w:spacing w:line="240" w:lineRule="auto"/>
              <w:jc w:val="left"/>
              <w:rPr>
                <w:color w:val="808080" w:themeColor="background1" w:themeShade="80"/>
              </w:rPr>
            </w:pPr>
            <w:r w:rsidRPr="0044794B">
              <w:rPr>
                <w:color w:val="808080" w:themeColor="background1" w:themeShade="80"/>
                <w:szCs w:val="18"/>
              </w:rPr>
              <w:t>Sector / Authority</w:t>
            </w:r>
          </w:p>
        </w:tc>
      </w:tr>
      <w:tr w:rsidR="00A32AFE" w:rsidRPr="00535E18" w:rsidTr="00E77C89"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Cost-effectiveness </w:t>
            </w:r>
          </w:p>
        </w:tc>
        <w:tc>
          <w:tcPr>
            <w:tcW w:w="7513" w:type="dxa"/>
          </w:tcPr>
          <w:p w:rsidR="00A32AFE" w:rsidRPr="0044794B" w:rsidRDefault="00A32AFE" w:rsidP="00E77C89">
            <w:r w:rsidRPr="0044794B">
              <w:rPr>
                <w:color w:val="808080" w:themeColor="background1" w:themeShade="80"/>
              </w:rPr>
              <w:t>Very low / Low / Moderate / High / Very high</w:t>
            </w:r>
          </w:p>
        </w:tc>
      </w:tr>
      <w:tr w:rsidR="00A32AFE" w:rsidRPr="00535E18" w:rsidTr="00E77C89">
        <w:trPr>
          <w:trHeight w:val="309"/>
        </w:trPr>
        <w:tc>
          <w:tcPr>
            <w:tcW w:w="2268" w:type="dxa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Cost-benefits 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 w:themeColor="background1" w:themeShade="80"/>
              </w:rPr>
              <w:t>Very low / Low / Moderate / High / Very high</w:t>
            </w:r>
          </w:p>
        </w:tc>
      </w:tr>
      <w:tr w:rsidR="00A32AFE" w:rsidRPr="00535E18" w:rsidTr="00E77C89">
        <w:trPr>
          <w:trHeight w:val="309"/>
        </w:trPr>
        <w:tc>
          <w:tcPr>
            <w:tcW w:w="2268" w:type="dxa"/>
            <w:vMerge w:val="restart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>Implementation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Authority: which authority is responsible for the implementation of the measure</w:t>
            </w:r>
          </w:p>
        </w:tc>
      </w:tr>
      <w:tr w:rsidR="00A32AFE" w:rsidRPr="00535E18" w:rsidTr="00E77C89">
        <w:tc>
          <w:tcPr>
            <w:tcW w:w="2268" w:type="dxa"/>
            <w:vMerge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</w:p>
        </w:tc>
        <w:tc>
          <w:tcPr>
            <w:tcW w:w="7513" w:type="dxa"/>
          </w:tcPr>
          <w:p w:rsidR="00A32AFE" w:rsidRPr="0044794B" w:rsidRDefault="00A32AFE" w:rsidP="00E77C89">
            <w:pPr>
              <w:ind w:left="283" w:hanging="28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Timing: Implemented / Implementation before 2020 / Implementation after 2020</w:t>
            </w:r>
          </w:p>
        </w:tc>
      </w:tr>
      <w:tr w:rsidR="00A32AFE" w:rsidRPr="00535E18" w:rsidTr="00E77C89">
        <w:tc>
          <w:tcPr>
            <w:tcW w:w="2268" w:type="dxa"/>
            <w:vMerge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</w:p>
        </w:tc>
        <w:tc>
          <w:tcPr>
            <w:tcW w:w="7513" w:type="dxa"/>
          </w:tcPr>
          <w:p w:rsidR="00A32AFE" w:rsidRPr="0044794B" w:rsidRDefault="00A32AFE" w:rsidP="00E77C89">
            <w:pPr>
              <w:ind w:left="283" w:hanging="28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Method of implementation: on the basis of legal, policy or financial instruments</w:t>
            </w:r>
          </w:p>
        </w:tc>
      </w:tr>
      <w:tr w:rsidR="00A32AFE" w:rsidRPr="0044794B" w:rsidTr="00E77C89">
        <w:tc>
          <w:tcPr>
            <w:tcW w:w="2268" w:type="dxa"/>
            <w:vMerge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</w:p>
        </w:tc>
        <w:tc>
          <w:tcPr>
            <w:tcW w:w="7513" w:type="dxa"/>
          </w:tcPr>
          <w:p w:rsidR="00A32AFE" w:rsidRPr="0044794B" w:rsidRDefault="00A32AFE" w:rsidP="00E77C89">
            <w:pPr>
              <w:ind w:left="283" w:hanging="283"/>
              <w:rPr>
                <w:color w:val="808080"/>
                <w:szCs w:val="18"/>
                <w:highlight w:val="red"/>
              </w:rPr>
            </w:pPr>
            <w:r w:rsidRPr="0044794B">
              <w:rPr>
                <w:color w:val="808080"/>
                <w:szCs w:val="18"/>
              </w:rPr>
              <w:t xml:space="preserve">Exceptions (article 14) </w:t>
            </w:r>
          </w:p>
        </w:tc>
      </w:tr>
      <w:tr w:rsidR="00A32AFE" w:rsidRPr="0044794B" w:rsidTr="00E77C89">
        <w:tc>
          <w:tcPr>
            <w:tcW w:w="2268" w:type="dxa"/>
            <w:vMerge w:val="restart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>Coordination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ind w:left="283" w:hanging="28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 xml:space="preserve">Level required: National / Regional </w:t>
            </w:r>
          </w:p>
        </w:tc>
      </w:tr>
      <w:tr w:rsidR="00A32AFE" w:rsidRPr="0044794B" w:rsidTr="00E77C89">
        <w:tc>
          <w:tcPr>
            <w:tcW w:w="2268" w:type="dxa"/>
            <w:vMerge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</w:p>
        </w:tc>
        <w:tc>
          <w:tcPr>
            <w:tcW w:w="7513" w:type="dxa"/>
          </w:tcPr>
          <w:p w:rsidR="00A32AFE" w:rsidRPr="0044794B" w:rsidRDefault="00A32AFE" w:rsidP="00E77C89">
            <w:pPr>
              <w:ind w:left="283" w:hanging="28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>Description coordination process</w:t>
            </w:r>
          </w:p>
        </w:tc>
      </w:tr>
      <w:tr w:rsidR="00A32AFE" w:rsidRPr="0044794B" w:rsidTr="00E77C89">
        <w:tc>
          <w:tcPr>
            <w:tcW w:w="2268" w:type="dxa"/>
            <w:vMerge w:val="restart"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  <w:r w:rsidRPr="0044794B">
              <w:rPr>
                <w:i/>
                <w:szCs w:val="18"/>
              </w:rPr>
              <w:t xml:space="preserve">Financing </w:t>
            </w:r>
          </w:p>
        </w:tc>
        <w:tc>
          <w:tcPr>
            <w:tcW w:w="7513" w:type="dxa"/>
          </w:tcPr>
          <w:p w:rsidR="00A32AFE" w:rsidRPr="0044794B" w:rsidRDefault="00A32AFE" w:rsidP="00E77C89">
            <w:pPr>
              <w:ind w:left="283" w:hanging="28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 xml:space="preserve">EU co-financing (opportunities) </w:t>
            </w:r>
          </w:p>
        </w:tc>
      </w:tr>
      <w:tr w:rsidR="00A32AFE" w:rsidRPr="0044794B" w:rsidTr="00E77C89">
        <w:tc>
          <w:tcPr>
            <w:tcW w:w="2268" w:type="dxa"/>
            <w:vMerge/>
          </w:tcPr>
          <w:p w:rsidR="00A32AFE" w:rsidRPr="0044794B" w:rsidRDefault="00A32AFE" w:rsidP="00E77C89">
            <w:pPr>
              <w:rPr>
                <w:i/>
                <w:szCs w:val="18"/>
              </w:rPr>
            </w:pPr>
          </w:p>
        </w:tc>
        <w:tc>
          <w:tcPr>
            <w:tcW w:w="7513" w:type="dxa"/>
          </w:tcPr>
          <w:p w:rsidR="00A32AFE" w:rsidRPr="0044794B" w:rsidRDefault="00A32AFE" w:rsidP="00E77C89">
            <w:pPr>
              <w:ind w:left="283" w:hanging="283"/>
              <w:rPr>
                <w:color w:val="808080"/>
                <w:szCs w:val="18"/>
              </w:rPr>
            </w:pPr>
            <w:r w:rsidRPr="0044794B">
              <w:rPr>
                <w:color w:val="808080"/>
                <w:szCs w:val="18"/>
              </w:rPr>
              <w:t xml:space="preserve">National financing </w:t>
            </w:r>
          </w:p>
        </w:tc>
      </w:tr>
    </w:tbl>
    <w:p w:rsidR="00A32AFE" w:rsidRPr="00800495" w:rsidRDefault="00A32AFE" w:rsidP="00A32AFE">
      <w:pPr>
        <w:pStyle w:val="ARCADISStandaard"/>
      </w:pPr>
    </w:p>
    <w:p w:rsidR="00742FF8" w:rsidRPr="00A1556E" w:rsidRDefault="00742FF8" w:rsidP="00367024">
      <w:pPr>
        <w:pStyle w:val="ARCADISStandaard"/>
      </w:pPr>
    </w:p>
    <w:sectPr w:rsidR="00742FF8" w:rsidRPr="00A1556E" w:rsidSect="00AA0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FE" w:rsidRDefault="00A32AFE" w:rsidP="00A32AFE">
      <w:pPr>
        <w:spacing w:before="0" w:after="0" w:line="240" w:lineRule="auto"/>
      </w:pPr>
      <w:r>
        <w:separator/>
      </w:r>
    </w:p>
  </w:endnote>
  <w:endnote w:type="continuationSeparator" w:id="0">
    <w:p w:rsidR="00A32AFE" w:rsidRDefault="00A32AFE" w:rsidP="00A32A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13" w:rsidRDefault="0037071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13" w:rsidRDefault="0037071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13" w:rsidRDefault="0037071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FE" w:rsidRDefault="00A32AFE" w:rsidP="00A32AFE">
      <w:pPr>
        <w:spacing w:before="0" w:after="0" w:line="240" w:lineRule="auto"/>
      </w:pPr>
      <w:r>
        <w:separator/>
      </w:r>
    </w:p>
  </w:footnote>
  <w:footnote w:type="continuationSeparator" w:id="0">
    <w:p w:rsidR="00A32AFE" w:rsidRDefault="00A32AFE" w:rsidP="00A32AFE">
      <w:pPr>
        <w:spacing w:before="0" w:after="0" w:line="240" w:lineRule="auto"/>
      </w:pPr>
      <w:r>
        <w:continuationSeparator/>
      </w:r>
    </w:p>
  </w:footnote>
  <w:footnote w:id="1">
    <w:p w:rsidR="00A32AFE" w:rsidRPr="00583374" w:rsidRDefault="00A32AFE" w:rsidP="00A32AFE">
      <w:pPr>
        <w:pStyle w:val="Voetnoottekst"/>
        <w:rPr>
          <w:rFonts w:cs="Arial"/>
          <w:szCs w:val="16"/>
        </w:rPr>
      </w:pPr>
      <w:r w:rsidRPr="00583374">
        <w:rPr>
          <w:rStyle w:val="Voetnootmarkering"/>
          <w:szCs w:val="16"/>
        </w:rPr>
        <w:footnoteRef/>
      </w:r>
      <w:r w:rsidRPr="00474198">
        <w:rPr>
          <w:rFonts w:cs="Arial"/>
          <w:szCs w:val="16"/>
          <w:lang w:val="en-US"/>
        </w:rPr>
        <w:t xml:space="preserve"> Programmes of measures under MSFD. Recommendations for establishment / implementation and related reporting. </w:t>
      </w:r>
      <w:r>
        <w:rPr>
          <w:rFonts w:cs="Arial"/>
          <w:szCs w:val="16"/>
        </w:rPr>
        <w:t xml:space="preserve">European Commission. </w:t>
      </w:r>
      <w:r w:rsidRPr="00583374">
        <w:rPr>
          <w:rFonts w:cs="Arial"/>
          <w:szCs w:val="16"/>
        </w:rPr>
        <w:t xml:space="preserve">27 May 2014 </w:t>
      </w:r>
      <w:r>
        <w:rPr>
          <w:rFonts w:cs="Arial"/>
          <w:szCs w:val="16"/>
        </w:rPr>
        <w:t xml:space="preserve">- </w:t>
      </w:r>
      <w:r w:rsidRPr="00583374">
        <w:rPr>
          <w:rFonts w:cs="Arial"/>
          <w:szCs w:val="16"/>
        </w:rPr>
        <w:t>Version 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13" w:rsidRDefault="0037071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13" w:rsidRPr="00C743DE" w:rsidRDefault="00370713" w:rsidP="00370713">
    <w:pPr>
      <w:pStyle w:val="Koptekst"/>
      <w:rPr>
        <w:lang w:val="nl-NL"/>
      </w:rPr>
    </w:pPr>
    <w:r w:rsidRPr="005D31BA">
      <w:rPr>
        <w:noProof/>
        <w:lang w:val="en-US"/>
      </w:rPr>
      <w:drawing>
        <wp:inline distT="0" distB="0" distL="0" distR="0" wp14:anchorId="17B883E4" wp14:editId="1CA872C2">
          <wp:extent cx="1060138" cy="216000"/>
          <wp:effectExtent l="19050" t="0" r="6662" b="0"/>
          <wp:docPr id="2" name="Afbeelding 3" descr="SALARC-hor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ARC-hor-k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138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rPr>
          <w:color w:val="auto"/>
          <w:lang w:val="nl-NL"/>
        </w:rPr>
        <w:id w:val="69975755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</w:sdtContent>
    </w:sdt>
    <w:r>
      <w:rPr>
        <w:lang w:val="nl-NL"/>
      </w:rPr>
      <w:tab/>
    </w:r>
    <w:r>
      <w:t>BE0114000978</w:t>
    </w:r>
  </w:p>
  <w:p w:rsidR="00370713" w:rsidRDefault="0037071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13" w:rsidRDefault="003707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2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420158D"/>
    <w:multiLevelType w:val="hybridMultilevel"/>
    <w:tmpl w:val="123861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6">
    <w:nsid w:val="3F002628"/>
    <w:multiLevelType w:val="hybridMultilevel"/>
    <w:tmpl w:val="6458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076C2">
      <w:numFmt w:val="bullet"/>
      <w:lvlText w:val="•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8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617E74DB"/>
    <w:multiLevelType w:val="hybridMultilevel"/>
    <w:tmpl w:val="A224C9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4"/>
  </w:num>
  <w:num w:numId="20">
    <w:abstractNumId w:val="11"/>
  </w:num>
  <w:num w:numId="21">
    <w:abstractNumId w:val="9"/>
  </w:num>
  <w:num w:numId="22">
    <w:abstractNumId w:val="15"/>
  </w:num>
  <w:num w:numId="23">
    <w:abstractNumId w:val="2"/>
  </w:num>
  <w:num w:numId="24">
    <w:abstractNumId w:val="6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E"/>
    <w:rsid w:val="000146C0"/>
    <w:rsid w:val="00031D0D"/>
    <w:rsid w:val="00054C49"/>
    <w:rsid w:val="00055943"/>
    <w:rsid w:val="00091DE3"/>
    <w:rsid w:val="000F5040"/>
    <w:rsid w:val="00132CFC"/>
    <w:rsid w:val="00145374"/>
    <w:rsid w:val="001A79EE"/>
    <w:rsid w:val="001F659A"/>
    <w:rsid w:val="0023061B"/>
    <w:rsid w:val="002820B0"/>
    <w:rsid w:val="00282FAB"/>
    <w:rsid w:val="002C6352"/>
    <w:rsid w:val="002E67F5"/>
    <w:rsid w:val="0032332B"/>
    <w:rsid w:val="00367024"/>
    <w:rsid w:val="00370713"/>
    <w:rsid w:val="003B7434"/>
    <w:rsid w:val="003C7E4E"/>
    <w:rsid w:val="003D3810"/>
    <w:rsid w:val="003E62D6"/>
    <w:rsid w:val="003F08D6"/>
    <w:rsid w:val="004019F0"/>
    <w:rsid w:val="00402909"/>
    <w:rsid w:val="00422A5F"/>
    <w:rsid w:val="00440C8E"/>
    <w:rsid w:val="00440FCE"/>
    <w:rsid w:val="00464CE4"/>
    <w:rsid w:val="004913C6"/>
    <w:rsid w:val="004A0FC4"/>
    <w:rsid w:val="004B0CC4"/>
    <w:rsid w:val="004E38B1"/>
    <w:rsid w:val="004F0D8E"/>
    <w:rsid w:val="00506899"/>
    <w:rsid w:val="00525D79"/>
    <w:rsid w:val="005821F0"/>
    <w:rsid w:val="005926CC"/>
    <w:rsid w:val="005A2841"/>
    <w:rsid w:val="005A5EFE"/>
    <w:rsid w:val="005C6447"/>
    <w:rsid w:val="005E00D6"/>
    <w:rsid w:val="006036E7"/>
    <w:rsid w:val="00640ADA"/>
    <w:rsid w:val="006450DE"/>
    <w:rsid w:val="00646A28"/>
    <w:rsid w:val="00691FFC"/>
    <w:rsid w:val="00696E94"/>
    <w:rsid w:val="006A1A2A"/>
    <w:rsid w:val="006A1EE6"/>
    <w:rsid w:val="006C6A77"/>
    <w:rsid w:val="006F1951"/>
    <w:rsid w:val="0071133F"/>
    <w:rsid w:val="00712774"/>
    <w:rsid w:val="0073671C"/>
    <w:rsid w:val="0074052B"/>
    <w:rsid w:val="00742FF8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A5618"/>
    <w:rsid w:val="008A6538"/>
    <w:rsid w:val="008B78B8"/>
    <w:rsid w:val="00940BE1"/>
    <w:rsid w:val="00945925"/>
    <w:rsid w:val="009A149C"/>
    <w:rsid w:val="009A5391"/>
    <w:rsid w:val="009D5146"/>
    <w:rsid w:val="009D754B"/>
    <w:rsid w:val="009E1FF7"/>
    <w:rsid w:val="009F4EA9"/>
    <w:rsid w:val="00A01673"/>
    <w:rsid w:val="00A020B3"/>
    <w:rsid w:val="00A1556E"/>
    <w:rsid w:val="00A32AFE"/>
    <w:rsid w:val="00A41AD1"/>
    <w:rsid w:val="00A94805"/>
    <w:rsid w:val="00AA0728"/>
    <w:rsid w:val="00B0343E"/>
    <w:rsid w:val="00B32A8A"/>
    <w:rsid w:val="00B618F0"/>
    <w:rsid w:val="00B76C0A"/>
    <w:rsid w:val="00BC6E71"/>
    <w:rsid w:val="00BE5F6F"/>
    <w:rsid w:val="00C12E90"/>
    <w:rsid w:val="00C165C3"/>
    <w:rsid w:val="00C33FAC"/>
    <w:rsid w:val="00C40E5C"/>
    <w:rsid w:val="00C532E8"/>
    <w:rsid w:val="00C771E7"/>
    <w:rsid w:val="00CC2277"/>
    <w:rsid w:val="00CC3B0B"/>
    <w:rsid w:val="00CD38D4"/>
    <w:rsid w:val="00D462A6"/>
    <w:rsid w:val="00D65A2A"/>
    <w:rsid w:val="00D760F4"/>
    <w:rsid w:val="00D95D49"/>
    <w:rsid w:val="00DA6BA1"/>
    <w:rsid w:val="00DC6654"/>
    <w:rsid w:val="00DC7BD4"/>
    <w:rsid w:val="00DC7E05"/>
    <w:rsid w:val="00E008F5"/>
    <w:rsid w:val="00E14D6D"/>
    <w:rsid w:val="00E400C4"/>
    <w:rsid w:val="00E779BF"/>
    <w:rsid w:val="00E8296A"/>
    <w:rsid w:val="00E850FB"/>
    <w:rsid w:val="00EA7A90"/>
    <w:rsid w:val="00EB325E"/>
    <w:rsid w:val="00ED5138"/>
    <w:rsid w:val="00EE6013"/>
    <w:rsid w:val="00EF5350"/>
    <w:rsid w:val="00F06742"/>
    <w:rsid w:val="00F46B1B"/>
    <w:rsid w:val="00F642E9"/>
    <w:rsid w:val="00F741E6"/>
    <w:rsid w:val="00F85260"/>
    <w:rsid w:val="00F86B04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2AFE"/>
    <w:pPr>
      <w:spacing w:before="60" w:after="60" w:line="360" w:lineRule="auto"/>
      <w:jc w:val="both"/>
    </w:pPr>
    <w:rPr>
      <w:rFonts w:ascii="Arial" w:hAnsi="Arial"/>
      <w:sz w:val="20"/>
      <w:lang w:val="en-GB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link w:val="ARCADISStandaardChar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aliases w:val="Heading 2_sj,List Paragraph1"/>
    <w:basedOn w:val="Standaard"/>
    <w:link w:val="LijstalineaChar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uiPriority w:val="99"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character" w:customStyle="1" w:styleId="LijstalineaChar">
    <w:name w:val="Lijstalinea Char"/>
    <w:aliases w:val="Heading 2_sj Char,List Paragraph1 Char"/>
    <w:basedOn w:val="Standaardalinea-lettertype"/>
    <w:link w:val="Lijstalinea"/>
    <w:uiPriority w:val="34"/>
    <w:rsid w:val="00A32AFE"/>
    <w:rPr>
      <w:rFonts w:ascii="Arial" w:hAnsi="Arial"/>
      <w:sz w:val="20"/>
    </w:rPr>
  </w:style>
  <w:style w:type="character" w:customStyle="1" w:styleId="ARCADISStandaardChar">
    <w:name w:val="ARCADIS Standaard Char"/>
    <w:basedOn w:val="Standaardalinea-lettertype"/>
    <w:link w:val="ARCADISStandaard"/>
    <w:locked/>
    <w:rsid w:val="00A32AFE"/>
    <w:rPr>
      <w:rFonts w:ascii="Arial" w:hAnsi="Arial"/>
      <w:sz w:val="20"/>
    </w:rPr>
  </w:style>
  <w:style w:type="table" w:customStyle="1" w:styleId="Stijl2">
    <w:name w:val="Stijl2"/>
    <w:basedOn w:val="Standaardtabel"/>
    <w:uiPriority w:val="99"/>
    <w:rsid w:val="00A32AFE"/>
    <w:pPr>
      <w:spacing w:after="0" w:line="240" w:lineRule="auto"/>
    </w:pPr>
    <w:rPr>
      <w:rFonts w:ascii="Arial" w:eastAsia="Calibri" w:hAnsi="Arial" w:cs="Times New Roman"/>
      <w:sz w:val="18"/>
      <w:szCs w:val="20"/>
      <w:lang w:val="en-US"/>
    </w:rPr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/>
      </w:rPr>
      <w:tblPr/>
      <w:tcPr>
        <w:shd w:val="clear" w:color="auto" w:fill="0079A3"/>
      </w:tcPr>
    </w:tblStylePr>
  </w:style>
  <w:style w:type="paragraph" w:customStyle="1" w:styleId="Teksttabel">
    <w:name w:val="Tekst tabel"/>
    <w:basedOn w:val="Standaard"/>
    <w:qFormat/>
    <w:rsid w:val="00A32AFE"/>
    <w:pPr>
      <w:spacing w:line="240" w:lineRule="auto"/>
      <w:jc w:val="left"/>
    </w:pPr>
    <w:rPr>
      <w:rFonts w:eastAsia="Calibri" w:cs="Times New Roman"/>
      <w:sz w:val="18"/>
      <w:szCs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2AFE"/>
    <w:pPr>
      <w:spacing w:before="60" w:after="60" w:line="360" w:lineRule="auto"/>
      <w:jc w:val="both"/>
    </w:pPr>
    <w:rPr>
      <w:rFonts w:ascii="Arial" w:hAnsi="Arial"/>
      <w:sz w:val="20"/>
      <w:lang w:val="en-GB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link w:val="ARCADISStandaardChar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aliases w:val="Heading 2_sj,List Paragraph1"/>
    <w:basedOn w:val="Standaard"/>
    <w:link w:val="LijstalineaChar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uiPriority w:val="99"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character" w:customStyle="1" w:styleId="LijstalineaChar">
    <w:name w:val="Lijstalinea Char"/>
    <w:aliases w:val="Heading 2_sj Char,List Paragraph1 Char"/>
    <w:basedOn w:val="Standaardalinea-lettertype"/>
    <w:link w:val="Lijstalinea"/>
    <w:uiPriority w:val="34"/>
    <w:rsid w:val="00A32AFE"/>
    <w:rPr>
      <w:rFonts w:ascii="Arial" w:hAnsi="Arial"/>
      <w:sz w:val="20"/>
    </w:rPr>
  </w:style>
  <w:style w:type="character" w:customStyle="1" w:styleId="ARCADISStandaardChar">
    <w:name w:val="ARCADIS Standaard Char"/>
    <w:basedOn w:val="Standaardalinea-lettertype"/>
    <w:link w:val="ARCADISStandaard"/>
    <w:locked/>
    <w:rsid w:val="00A32AFE"/>
    <w:rPr>
      <w:rFonts w:ascii="Arial" w:hAnsi="Arial"/>
      <w:sz w:val="20"/>
    </w:rPr>
  </w:style>
  <w:style w:type="table" w:customStyle="1" w:styleId="Stijl2">
    <w:name w:val="Stijl2"/>
    <w:basedOn w:val="Standaardtabel"/>
    <w:uiPriority w:val="99"/>
    <w:rsid w:val="00A32AFE"/>
    <w:pPr>
      <w:spacing w:after="0" w:line="240" w:lineRule="auto"/>
    </w:pPr>
    <w:rPr>
      <w:rFonts w:ascii="Arial" w:eastAsia="Calibri" w:hAnsi="Arial" w:cs="Times New Roman"/>
      <w:sz w:val="18"/>
      <w:szCs w:val="20"/>
      <w:lang w:val="en-US"/>
    </w:rPr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/>
      </w:rPr>
      <w:tblPr/>
      <w:tcPr>
        <w:shd w:val="clear" w:color="auto" w:fill="0079A3"/>
      </w:tcPr>
    </w:tblStylePr>
  </w:style>
  <w:style w:type="paragraph" w:customStyle="1" w:styleId="Teksttabel">
    <w:name w:val="Tekst tabel"/>
    <w:basedOn w:val="Standaard"/>
    <w:qFormat/>
    <w:rsid w:val="00A32AFE"/>
    <w:pPr>
      <w:spacing w:line="240" w:lineRule="auto"/>
      <w:jc w:val="left"/>
    </w:pPr>
    <w:rPr>
      <w:rFonts w:eastAsia="Calibri" w:cs="Times New Roman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37DB5B-F07F-4EFC-845D-BCF1A04F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Adriaenssens, Veronique</dc:creator>
  <cp:lastModifiedBy>Volckaert, Annemie</cp:lastModifiedBy>
  <cp:revision>6</cp:revision>
  <dcterms:created xsi:type="dcterms:W3CDTF">2014-12-15T16:21:00Z</dcterms:created>
  <dcterms:modified xsi:type="dcterms:W3CDTF">2015-01-27T13:33:00Z</dcterms:modified>
</cp:coreProperties>
</file>