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Pr="00BD2B89" w:rsidRDefault="003067DE" w:rsidP="003067DE">
      <w:pPr>
        <w:pStyle w:val="Titel"/>
        <w:rPr>
          <w:sz w:val="28"/>
          <w:szCs w:val="28"/>
          <w:lang w:val="en-GB"/>
        </w:rPr>
      </w:pPr>
      <w:r w:rsidRPr="00BD2B89">
        <w:rPr>
          <w:sz w:val="28"/>
          <w:szCs w:val="28"/>
          <w:lang w:val="en-GB"/>
        </w:rPr>
        <w:t>Annex 2: Detailed Work</w:t>
      </w:r>
      <w:r w:rsidR="00B60792" w:rsidRPr="00BD2B89">
        <w:rPr>
          <w:sz w:val="28"/>
          <w:szCs w:val="28"/>
          <w:lang w:val="en-GB"/>
        </w:rPr>
        <w:t xml:space="preserve"> Pl</w:t>
      </w:r>
      <w:r w:rsidRPr="00BD2B89">
        <w:rPr>
          <w:sz w:val="28"/>
          <w:szCs w:val="28"/>
          <w:lang w:val="en-GB"/>
        </w:rPr>
        <w:t>an</w:t>
      </w:r>
      <w:r w:rsidR="006D3323" w:rsidRPr="00BD2B89">
        <w:rPr>
          <w:sz w:val="28"/>
          <w:szCs w:val="28"/>
          <w:lang w:val="en-GB"/>
        </w:rPr>
        <w:t xml:space="preserve"> – Phase II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"/>
        <w:gridCol w:w="3883"/>
        <w:gridCol w:w="1292"/>
        <w:gridCol w:w="2460"/>
        <w:gridCol w:w="3760"/>
        <w:gridCol w:w="1920"/>
      </w:tblGrid>
      <w:tr w:rsidR="00F5386D" w:rsidRPr="00BD2B89" w:rsidTr="000847CA">
        <w:trPr>
          <w:trHeight w:val="369"/>
          <w:tblHeader/>
        </w:trPr>
        <w:tc>
          <w:tcPr>
            <w:tcW w:w="318" w:type="pct"/>
            <w:shd w:val="clear" w:color="auto" w:fill="4F81BD" w:themeFill="accent1"/>
            <w:vAlign w:val="center"/>
          </w:tcPr>
          <w:p w:rsidR="00F5386D" w:rsidRPr="00BD2B89" w:rsidRDefault="00F5386D" w:rsidP="001C2E4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>Tasks</w:t>
            </w:r>
          </w:p>
        </w:tc>
        <w:tc>
          <w:tcPr>
            <w:tcW w:w="1365" w:type="pct"/>
            <w:shd w:val="clear" w:color="auto" w:fill="4F81BD" w:themeFill="accent1"/>
            <w:vAlign w:val="center"/>
          </w:tcPr>
          <w:p w:rsidR="00F5386D" w:rsidRPr="00BD2B89" w:rsidRDefault="00F5386D" w:rsidP="001C2E4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>Tasks &amp; Activities</w:t>
            </w:r>
          </w:p>
        </w:tc>
        <w:tc>
          <w:tcPr>
            <w:tcW w:w="454" w:type="pct"/>
            <w:shd w:val="clear" w:color="auto" w:fill="4F81BD" w:themeFill="accent1"/>
            <w:vAlign w:val="center"/>
          </w:tcPr>
          <w:p w:rsidR="00F5386D" w:rsidRPr="00BD2B89" w:rsidRDefault="00F5386D" w:rsidP="001C2E4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>Lead partner</w:t>
            </w:r>
          </w:p>
        </w:tc>
        <w:tc>
          <w:tcPr>
            <w:tcW w:w="865" w:type="pct"/>
            <w:shd w:val="clear" w:color="auto" w:fill="4F81BD" w:themeFill="accent1"/>
            <w:vAlign w:val="center"/>
          </w:tcPr>
          <w:p w:rsidR="00F5386D" w:rsidRPr="00BD2B89" w:rsidRDefault="00F5386D" w:rsidP="001C2E4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>Contributing partners</w:t>
            </w:r>
          </w:p>
        </w:tc>
        <w:tc>
          <w:tcPr>
            <w:tcW w:w="1322" w:type="pct"/>
            <w:shd w:val="clear" w:color="auto" w:fill="4F81BD" w:themeFill="accent1"/>
          </w:tcPr>
          <w:p w:rsidR="00F5386D" w:rsidRPr="00BD2B89" w:rsidRDefault="002B27C3" w:rsidP="002B27C3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>Tools &amp; Deliverables</w:t>
            </w:r>
          </w:p>
        </w:tc>
        <w:tc>
          <w:tcPr>
            <w:tcW w:w="675" w:type="pct"/>
            <w:shd w:val="clear" w:color="auto" w:fill="4F81BD" w:themeFill="accent1"/>
          </w:tcPr>
          <w:p w:rsidR="00F5386D" w:rsidRPr="00BD2B89" w:rsidRDefault="00F5386D" w:rsidP="00A91F35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>Timing</w:t>
            </w:r>
            <w:r w:rsidR="00A91F35" w:rsidRPr="00BD2B89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</w:t>
            </w:r>
          </w:p>
        </w:tc>
      </w:tr>
      <w:tr w:rsidR="00F5386D" w:rsidRPr="00BD2B89" w:rsidTr="000847CA">
        <w:tc>
          <w:tcPr>
            <w:tcW w:w="3002" w:type="pct"/>
            <w:gridSpan w:val="4"/>
            <w:shd w:val="clear" w:color="auto" w:fill="C6D9F1" w:themeFill="text2" w:themeFillTint="33"/>
          </w:tcPr>
          <w:p w:rsidR="00F5386D" w:rsidRPr="00BD2B89" w:rsidRDefault="00F5386D" w:rsidP="000B112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Task 1 – </w:t>
            </w:r>
            <w:r w:rsidR="000B1125"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Consolidating the information basis</w:t>
            </w:r>
          </w:p>
        </w:tc>
        <w:tc>
          <w:tcPr>
            <w:tcW w:w="1322" w:type="pct"/>
            <w:shd w:val="clear" w:color="auto" w:fill="C6D9F1" w:themeFill="text2" w:themeFillTint="33"/>
          </w:tcPr>
          <w:p w:rsidR="00F5386D" w:rsidRPr="00BD2B89" w:rsidRDefault="00A91F35" w:rsidP="00A91F35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/>
              <w:jc w:val="both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color w:val="0070C0"/>
                <w:sz w:val="18"/>
                <w:szCs w:val="18"/>
                <w:lang w:val="en-GB" w:eastAsia="en-GB"/>
              </w:rPr>
              <w:t xml:space="preserve">Tools in blue, </w:t>
            </w: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Deliverables in black</w:t>
            </w:r>
          </w:p>
        </w:tc>
        <w:tc>
          <w:tcPr>
            <w:tcW w:w="675" w:type="pct"/>
            <w:shd w:val="clear" w:color="auto" w:fill="C6D9F1" w:themeFill="text2" w:themeFillTint="33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F5386D" w:rsidRPr="00BD2B89" w:rsidTr="000847CA">
        <w:tc>
          <w:tcPr>
            <w:tcW w:w="318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1365" w:type="pct"/>
            <w:shd w:val="clear" w:color="auto" w:fill="auto"/>
          </w:tcPr>
          <w:p w:rsidR="00F5386D" w:rsidRPr="00BD2B89" w:rsidRDefault="000B1125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Developing programmes of measures</w:t>
            </w:r>
          </w:p>
          <w:p w:rsidR="00F5386D" w:rsidRPr="00BD2B89" w:rsidRDefault="000B1125" w:rsidP="000B1125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the assessment of previous tasks performed by BG and RO under MSFD, related to the current environmental status (Art. 8), GES (Art.9) and related targets (Art. 10)</w:t>
            </w:r>
          </w:p>
          <w:p w:rsidR="000B1125" w:rsidRPr="00BD2B89" w:rsidRDefault="000B1125" w:rsidP="000B1125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draw up a long-list of (possible) measures aimed at different sectors, starting from the existing measures and complemented with new measures –both national and joined - to fill the gaps towards GES and targets (brainstorm).</w:t>
            </w:r>
          </w:p>
          <w:p w:rsidR="000B1125" w:rsidRPr="00BD2B89" w:rsidRDefault="000B1125" w:rsidP="000B1125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 short-list will be compiled with existing and new measures - based on an initial set of selection criteria- that directly contribute to the achievement of the defined good environmental status by 2020, and for which – in case of new measures – the costs and effects should be further described</w:t>
            </w:r>
          </w:p>
          <w:p w:rsidR="000B1125" w:rsidRPr="00BD2B89" w:rsidRDefault="000B1125" w:rsidP="000B1125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The resulting list of coordinated measures and related costs and effects, will be used as a basis for sectorial consultations (see Task 2)</w:t>
            </w:r>
          </w:p>
        </w:tc>
        <w:tc>
          <w:tcPr>
            <w:tcW w:w="454" w:type="pct"/>
          </w:tcPr>
          <w:p w:rsidR="00F5386D" w:rsidRPr="00BD2B89" w:rsidRDefault="000B1125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ARCADIS</w:t>
            </w:r>
          </w:p>
        </w:tc>
        <w:tc>
          <w:tcPr>
            <w:tcW w:w="865" w:type="pct"/>
          </w:tcPr>
          <w:p w:rsidR="00F5386D" w:rsidRPr="00BD2B89" w:rsidRDefault="00E81219" w:rsidP="00E812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322" w:type="pct"/>
          </w:tcPr>
          <w:p w:rsidR="002B27C3" w:rsidRPr="00BD2B89" w:rsidRDefault="002B27C3" w:rsidP="002B27C3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Template factsheet PoM</w:t>
            </w:r>
          </w:p>
          <w:p w:rsidR="002B27C3" w:rsidRPr="00BD2B89" w:rsidRDefault="002B27C3" w:rsidP="002B27C3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Short report on consultation process for BG &amp; RO</w:t>
            </w:r>
          </w:p>
          <w:p w:rsidR="0070619F" w:rsidRPr="00BD2B89" w:rsidRDefault="0070619F" w:rsidP="0070619F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Overview tables comparative analysis (Article 8, 9, 10 and 11) (step 1)</w:t>
            </w:r>
          </w:p>
          <w:p w:rsidR="0070619F" w:rsidRPr="00BD2B89" w:rsidRDefault="0070619F" w:rsidP="0070619F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Long list of measures (existing and new) structured according to the environmental targets defined by Bulgaria and Romania.</w:t>
            </w:r>
          </w:p>
          <w:p w:rsidR="0070619F" w:rsidRPr="00BD2B89" w:rsidRDefault="0070619F" w:rsidP="0070619F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Shortlist of proposed candidates for joint or coordinated PoM</w:t>
            </w:r>
          </w:p>
          <w:p w:rsidR="00F5386D" w:rsidRPr="00BD2B89" w:rsidRDefault="000B1125" w:rsidP="000B1125">
            <w:pPr>
              <w:pStyle w:val="Opsommingsymbool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Factsheets of proposed joint or coordinated measures</w:t>
            </w:r>
          </w:p>
          <w:p w:rsidR="000B1125" w:rsidRPr="00BD2B89" w:rsidRDefault="000B1125" w:rsidP="000B1125">
            <w:pPr>
              <w:pStyle w:val="Opsommingsymbool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Draft joint or coordinated PoMs showing a clear interrelation towards the GES and targets defined by Bulgaria and Romania (in English; translated in BG &amp; RO) (prior to consultation)</w:t>
            </w:r>
          </w:p>
          <w:p w:rsidR="000B1125" w:rsidRPr="00BD2B89" w:rsidRDefault="000B1125" w:rsidP="000B1125">
            <w:pPr>
              <w:pStyle w:val="Opsommingsymbool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 final draft joint or coordinated PoM (in English; translated in BG &amp; RO) (including remarks of public consultation)</w:t>
            </w:r>
          </w:p>
        </w:tc>
        <w:tc>
          <w:tcPr>
            <w:tcW w:w="675" w:type="pct"/>
          </w:tcPr>
          <w:p w:rsidR="00F5386D" w:rsidRPr="00BD2B89" w:rsidRDefault="00A91F35" w:rsidP="00A91F3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 2014</w:t>
            </w:r>
          </w:p>
          <w:p w:rsidR="00F5386D" w:rsidRPr="00BD2B89" w:rsidRDefault="00A91F35" w:rsidP="00A91F3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Feb-March 2015</w:t>
            </w:r>
          </w:p>
          <w:p w:rsidR="00CA436C" w:rsidRPr="00BD2B89" w:rsidRDefault="00CA436C" w:rsidP="00CA436C">
            <w:pPr>
              <w:pStyle w:val="Opsommingsymbool0"/>
              <w:numPr>
                <w:ilvl w:val="0"/>
                <w:numId w:val="0"/>
              </w:numPr>
              <w:ind w:left="284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</w:p>
          <w:p w:rsidR="00A91F35" w:rsidRPr="00BD2B89" w:rsidRDefault="00A91F35" w:rsidP="00A91F35">
            <w:pPr>
              <w:pStyle w:val="Opsommingsymbool0"/>
              <w:rPr>
                <w:rFonts w:cs="Arial"/>
                <w:color w:val="0070C0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 March 2015</w:t>
            </w:r>
          </w:p>
          <w:p w:rsidR="00CA436C" w:rsidRPr="00BD2B89" w:rsidRDefault="00CA436C" w:rsidP="00CA436C">
            <w:pPr>
              <w:pStyle w:val="Lijstalinea"/>
              <w:rPr>
                <w:rFonts w:cs="Arial"/>
                <w:color w:val="0070C0"/>
                <w:lang w:val="en-GB" w:eastAsia="en-GB"/>
              </w:rPr>
            </w:pPr>
          </w:p>
          <w:p w:rsidR="00A91F35" w:rsidRPr="00BD2B89" w:rsidRDefault="00A91F35" w:rsidP="00A91F35">
            <w:pPr>
              <w:pStyle w:val="Opsommingsymbool0"/>
              <w:rPr>
                <w:rFonts w:cs="Arial"/>
                <w:color w:val="0070C0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 March 2015</w:t>
            </w:r>
          </w:p>
          <w:p w:rsidR="00CA436C" w:rsidRPr="00BD2B89" w:rsidRDefault="00CA436C" w:rsidP="00CA436C">
            <w:pPr>
              <w:pStyle w:val="Lijstalinea"/>
              <w:rPr>
                <w:rFonts w:cs="Arial"/>
                <w:color w:val="0070C0"/>
                <w:lang w:val="en-GB" w:eastAsia="en-GB"/>
              </w:rPr>
            </w:pPr>
          </w:p>
          <w:p w:rsidR="00A91F35" w:rsidRPr="00BD2B89" w:rsidRDefault="00A91F35" w:rsidP="00A91F35">
            <w:pPr>
              <w:pStyle w:val="Opsommingsymbool0"/>
              <w:rPr>
                <w:rFonts w:cs="Arial"/>
                <w:color w:val="0070C0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April 2015</w:t>
            </w:r>
          </w:p>
          <w:p w:rsidR="00CA436C" w:rsidRPr="00BD2B89" w:rsidRDefault="00CA436C" w:rsidP="00CA436C">
            <w:pPr>
              <w:pStyle w:val="Opsommingsymbool0"/>
              <w:numPr>
                <w:ilvl w:val="0"/>
                <w:numId w:val="0"/>
              </w:numPr>
              <w:ind w:left="284" w:hanging="284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</w:p>
          <w:p w:rsidR="00A91F35" w:rsidRPr="00BD2B89" w:rsidRDefault="00A91F35" w:rsidP="00A91F35">
            <w:pPr>
              <w:pStyle w:val="Opsommingsymbool0"/>
              <w:rPr>
                <w:rFonts w:cs="Arial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April July 2015</w:t>
            </w:r>
          </w:p>
          <w:p w:rsidR="00A91F35" w:rsidRPr="00BD2B89" w:rsidRDefault="00A91F35" w:rsidP="00A91F35">
            <w:pPr>
              <w:pStyle w:val="Opsommingsymbool0"/>
              <w:rPr>
                <w:rFonts w:cs="Arial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 July (in English); August (BG, RO)</w:t>
            </w:r>
          </w:p>
          <w:p w:rsidR="00A91F35" w:rsidRPr="00BD2B89" w:rsidRDefault="00A91F35" w:rsidP="00A91F35">
            <w:pPr>
              <w:pStyle w:val="Opsommingsymbool0"/>
              <w:rPr>
                <w:rFonts w:cs="Arial"/>
                <w:color w:val="FF0000"/>
                <w:lang w:val="en-GB" w:eastAsia="en-GB"/>
              </w:rPr>
            </w:pPr>
            <w:r w:rsidRPr="00BD2B89">
              <w:rPr>
                <w:rFonts w:cs="Arial"/>
                <w:color w:val="FF0000"/>
                <w:sz w:val="18"/>
                <w:szCs w:val="18"/>
                <w:lang w:val="en-GB" w:eastAsia="en-GB"/>
              </w:rPr>
              <w:t>Public consultation (outside scope of contract) August, September 2015</w:t>
            </w:r>
          </w:p>
          <w:p w:rsidR="00A91F35" w:rsidRPr="00BD2B89" w:rsidRDefault="00A91F35" w:rsidP="00A91F35">
            <w:pPr>
              <w:pStyle w:val="Opsommingsymbool0"/>
              <w:rPr>
                <w:rFonts w:cs="Arial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 w:rsidR="00CA436C" w:rsidRPr="00BD2B89">
              <w:rPr>
                <w:rFonts w:cs="Arial"/>
                <w:sz w:val="18"/>
                <w:szCs w:val="18"/>
                <w:lang w:val="en-GB" w:eastAsia="en-GB"/>
              </w:rPr>
              <w:t>October 2015</w:t>
            </w:r>
          </w:p>
        </w:tc>
      </w:tr>
      <w:tr w:rsidR="00F5386D" w:rsidRPr="00BD2B89" w:rsidTr="000847CA">
        <w:tc>
          <w:tcPr>
            <w:tcW w:w="318" w:type="pct"/>
          </w:tcPr>
          <w:p w:rsidR="00F5386D" w:rsidRPr="00BD2B89" w:rsidRDefault="00DD5D6C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365" w:type="pct"/>
            <w:shd w:val="clear" w:color="auto" w:fill="auto"/>
          </w:tcPr>
          <w:p w:rsidR="00F5386D" w:rsidRPr="00BD2B89" w:rsidRDefault="0070619F" w:rsidP="001C2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Maintaining the information exchange platform</w:t>
            </w:r>
          </w:p>
          <w:p w:rsidR="00F5386D" w:rsidRPr="00BD2B89" w:rsidRDefault="00F5386D" w:rsidP="00F5386D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ensuring that information is up-to-date</w:t>
            </w:r>
          </w:p>
        </w:tc>
        <w:tc>
          <w:tcPr>
            <w:tcW w:w="454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ARCADIS</w:t>
            </w:r>
          </w:p>
        </w:tc>
        <w:tc>
          <w:tcPr>
            <w:tcW w:w="865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/>
              </w:rPr>
              <w:t>Support delivery documents by all partners</w:t>
            </w:r>
          </w:p>
        </w:tc>
        <w:tc>
          <w:tcPr>
            <w:tcW w:w="1322" w:type="pct"/>
          </w:tcPr>
          <w:p w:rsidR="006D293E" w:rsidRPr="00BD2B89" w:rsidRDefault="006D293E" w:rsidP="006D293E">
            <w:pPr>
              <w:pStyle w:val="Opsommingsymbool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Up-to-date webpage (during course of the project)</w:t>
            </w:r>
          </w:p>
        </w:tc>
        <w:tc>
          <w:tcPr>
            <w:tcW w:w="675" w:type="pct"/>
          </w:tcPr>
          <w:p w:rsidR="00F5386D" w:rsidRPr="00BD2B89" w:rsidRDefault="00F5386D" w:rsidP="00F5386D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Project duration</w:t>
            </w:r>
          </w:p>
        </w:tc>
      </w:tr>
      <w:tr w:rsidR="00DD5D6C" w:rsidRPr="00BD2B89" w:rsidTr="000847CA">
        <w:tc>
          <w:tcPr>
            <w:tcW w:w="318" w:type="pct"/>
          </w:tcPr>
          <w:p w:rsidR="00DD5D6C" w:rsidRPr="00BD2B89" w:rsidRDefault="00DD5D6C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lastRenderedPageBreak/>
              <w:t>1.3</w:t>
            </w:r>
          </w:p>
        </w:tc>
        <w:tc>
          <w:tcPr>
            <w:tcW w:w="1365" w:type="pct"/>
            <w:shd w:val="clear" w:color="auto" w:fill="auto"/>
          </w:tcPr>
          <w:p w:rsidR="00DD5D6C" w:rsidRPr="00BD2B89" w:rsidRDefault="00DD5D6C" w:rsidP="001C2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Support PoM implementation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Overview of the needs identified for the Black Sea region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Defining future PoM implementation needs for BG &amp; RO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Setting appropriate time-scales and selection of priority needs for BG &amp; RO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Drafting document on the PoM implementation needs for the future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Assessment of the required financial means to address these needs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Appropriate consultation and finalisation of document</w:t>
            </w:r>
          </w:p>
          <w:p w:rsidR="00DD5D6C" w:rsidRPr="00BD2B89" w:rsidRDefault="00DD5D6C" w:rsidP="00DD5D6C">
            <w:pPr>
              <w:pStyle w:val="Lijstaline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54" w:type="pct"/>
          </w:tcPr>
          <w:p w:rsidR="00DD5D6C" w:rsidRPr="00BD2B89" w:rsidRDefault="00DD5D6C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pct"/>
          </w:tcPr>
          <w:p w:rsidR="00DD5D6C" w:rsidRPr="00BD2B89" w:rsidRDefault="00DD5D6C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2" w:type="pct"/>
          </w:tcPr>
          <w:p w:rsidR="00433005" w:rsidRPr="00BD2B89" w:rsidRDefault="00433005" w:rsidP="0043300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Template needs PoM implementation (incl. work plan)</w:t>
            </w:r>
          </w:p>
          <w:p w:rsidR="00433005" w:rsidRPr="00BD2B89" w:rsidRDefault="00433005" w:rsidP="0043300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Draft document PoM implementation needs</w:t>
            </w:r>
          </w:p>
          <w:p w:rsidR="00433005" w:rsidRPr="00BD2B89" w:rsidRDefault="00433005" w:rsidP="0043300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CBE: Review and prioritization PoM implementation needs BG &amp; RO (Task 2)</w:t>
            </w:r>
          </w:p>
          <w:p w:rsidR="00433005" w:rsidRPr="00BD2B89" w:rsidRDefault="00433005" w:rsidP="0043300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CBE: Financial assessment needs &amp; potential funding opportunities to address identified needs BG &amp; RO (Task 2)</w:t>
            </w:r>
          </w:p>
          <w:p w:rsidR="00433005" w:rsidRPr="00BD2B89" w:rsidRDefault="00433005" w:rsidP="00433005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CBE: Finalisation document PoM implementation needs (Task 2)</w:t>
            </w:r>
          </w:p>
          <w:p w:rsidR="00DD5D6C" w:rsidRPr="00BD2B89" w:rsidRDefault="00433005" w:rsidP="00433005">
            <w:pPr>
              <w:pStyle w:val="Opsommingsymbool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Final document PoM implementation needs</w:t>
            </w:r>
          </w:p>
        </w:tc>
        <w:tc>
          <w:tcPr>
            <w:tcW w:w="675" w:type="pct"/>
          </w:tcPr>
          <w:p w:rsidR="002435B1" w:rsidRDefault="002435B1" w:rsidP="002435B1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February 2015</w:t>
            </w:r>
          </w:p>
          <w:p w:rsidR="00BD2B89" w:rsidRDefault="00BD2B89" w:rsidP="00BD2B89">
            <w:pPr>
              <w:pStyle w:val="Opsommingsymbool0"/>
              <w:numPr>
                <w:ilvl w:val="0"/>
                <w:numId w:val="0"/>
              </w:numPr>
              <w:ind w:left="284" w:hanging="284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</w:p>
          <w:p w:rsidR="00BD2B89" w:rsidRPr="00BD2B89" w:rsidRDefault="00BD2B89" w:rsidP="00BD2B89">
            <w:pPr>
              <w:pStyle w:val="Opsommingsymbool0"/>
              <w:numPr>
                <w:ilvl w:val="0"/>
                <w:numId w:val="0"/>
              </w:numPr>
              <w:ind w:left="284" w:hanging="284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April 2015</w:t>
            </w:r>
          </w:p>
          <w:p w:rsidR="00DD5D6C" w:rsidRDefault="00DD5D6C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BD2B89" w:rsidRDefault="00BD2B89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BD2B89" w:rsidRPr="00BD2B89" w:rsidRDefault="00BD2B89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2435B1" w:rsidRPr="00BD2B89" w:rsidRDefault="002435B1" w:rsidP="002435B1">
            <w:pPr>
              <w:pStyle w:val="Opsommingsymbool0"/>
              <w:spacing w:line="360" w:lineRule="auto"/>
              <w:jc w:val="both"/>
              <w:rPr>
                <w:rFonts w:cs="Arial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July 2017</w:t>
            </w:r>
          </w:p>
        </w:tc>
      </w:tr>
      <w:tr w:rsidR="00F5386D" w:rsidRPr="00BD2B89" w:rsidTr="000847CA">
        <w:tc>
          <w:tcPr>
            <w:tcW w:w="318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1365" w:type="pct"/>
            <w:shd w:val="clear" w:color="auto" w:fill="auto"/>
          </w:tcPr>
          <w:p w:rsidR="00F5386D" w:rsidRPr="00BD2B89" w:rsidRDefault="0070619F" w:rsidP="001C2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Further develop a public webpage</w:t>
            </w:r>
          </w:p>
          <w:p w:rsidR="00F5386D" w:rsidRPr="00BD2B89" w:rsidRDefault="0070619F" w:rsidP="00872A25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Ensuring that further website development is continuing</w:t>
            </w:r>
          </w:p>
          <w:p w:rsidR="00F5386D" w:rsidRPr="00BD2B89" w:rsidRDefault="00F5386D" w:rsidP="001C2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54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ARCADIS</w:t>
            </w:r>
          </w:p>
        </w:tc>
        <w:tc>
          <w:tcPr>
            <w:tcW w:w="865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In close cooperation with the </w:t>
            </w:r>
            <w:r w:rsidR="001A4020" w:rsidRPr="00BD2B89">
              <w:rPr>
                <w:rFonts w:cs="Arial"/>
                <w:sz w:val="18"/>
                <w:szCs w:val="18"/>
                <w:lang w:val="en-GB" w:eastAsia="en-GB"/>
              </w:rPr>
              <w:t>n</w:t>
            </w:r>
            <w:r w:rsidR="00E81219" w:rsidRPr="00BD2B89">
              <w:rPr>
                <w:rFonts w:cs="Arial"/>
                <w:sz w:val="18"/>
                <w:szCs w:val="18"/>
                <w:lang w:val="en-GB" w:eastAsia="en-GB"/>
              </w:rPr>
              <w:t>ational focal contact points</w:t>
            </w:r>
          </w:p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If needed, support by project partners (e.g. documents, translation, etc.)</w:t>
            </w:r>
          </w:p>
        </w:tc>
        <w:tc>
          <w:tcPr>
            <w:tcW w:w="1322" w:type="pct"/>
          </w:tcPr>
          <w:p w:rsidR="006D293E" w:rsidRPr="00BD2B89" w:rsidRDefault="006D293E" w:rsidP="006D293E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Draft structure public webpage (extension towards PoM)</w:t>
            </w:r>
          </w:p>
          <w:p w:rsidR="006D293E" w:rsidRPr="00BD2B89" w:rsidRDefault="006D293E" w:rsidP="006D293E">
            <w:pPr>
              <w:pStyle w:val="Opsommingsymbool0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Agreed document on hosting/ maintenance by BG &amp; RO</w:t>
            </w:r>
          </w:p>
          <w:p w:rsidR="00F5386D" w:rsidRPr="00BD2B89" w:rsidRDefault="006D293E" w:rsidP="006D293E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Operational public web page</w:t>
            </w:r>
          </w:p>
        </w:tc>
        <w:tc>
          <w:tcPr>
            <w:tcW w:w="675" w:type="pct"/>
          </w:tcPr>
          <w:p w:rsidR="00F5386D" w:rsidRPr="00BD2B89" w:rsidRDefault="0070619F" w:rsidP="00F5386D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Project duration</w:t>
            </w:r>
          </w:p>
          <w:p w:rsidR="00F5386D" w:rsidRPr="00BD2B89" w:rsidRDefault="00F5386D" w:rsidP="001C2E4E">
            <w:pPr>
              <w:pStyle w:val="Opsommingsymbool0"/>
              <w:numPr>
                <w:ilvl w:val="0"/>
                <w:numId w:val="0"/>
              </w:numPr>
              <w:ind w:left="284" w:hanging="284"/>
              <w:rPr>
                <w:rFonts w:cs="Arial"/>
                <w:sz w:val="18"/>
                <w:szCs w:val="18"/>
                <w:lang w:val="en-GB" w:eastAsia="en-GB"/>
              </w:rPr>
            </w:pPr>
          </w:p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F5386D" w:rsidRPr="00BD2B89" w:rsidTr="000847CA">
        <w:tc>
          <w:tcPr>
            <w:tcW w:w="3002" w:type="pct"/>
            <w:gridSpan w:val="4"/>
            <w:shd w:val="clear" w:color="auto" w:fill="C6D9F1" w:themeFill="text2" w:themeFillTint="33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Task 2 – Capacity Building Events (CBE)</w:t>
            </w:r>
          </w:p>
        </w:tc>
        <w:tc>
          <w:tcPr>
            <w:tcW w:w="1322" w:type="pct"/>
            <w:shd w:val="clear" w:color="auto" w:fill="C6D9F1" w:themeFill="text2" w:themeFillTint="33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675" w:type="pct"/>
            <w:shd w:val="clear" w:color="auto" w:fill="C6D9F1" w:themeFill="text2" w:themeFillTint="33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F5386D" w:rsidRPr="00BD2B89" w:rsidTr="000847CA">
        <w:tc>
          <w:tcPr>
            <w:tcW w:w="318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1365" w:type="pct"/>
            <w:shd w:val="clear" w:color="auto" w:fill="auto"/>
          </w:tcPr>
          <w:p w:rsidR="00F5386D" w:rsidRPr="00BD2B89" w:rsidRDefault="00F5386D" w:rsidP="001A402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Drafting the list of capacity building events BG &amp; RO</w:t>
            </w:r>
          </w:p>
        </w:tc>
        <w:tc>
          <w:tcPr>
            <w:tcW w:w="454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ARCADIS</w:t>
            </w:r>
          </w:p>
        </w:tc>
        <w:tc>
          <w:tcPr>
            <w:tcW w:w="865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/>
              </w:rPr>
              <w:t>ALL partners</w:t>
            </w:r>
          </w:p>
        </w:tc>
        <w:tc>
          <w:tcPr>
            <w:tcW w:w="1322" w:type="pct"/>
          </w:tcPr>
          <w:p w:rsidR="00F5386D" w:rsidRPr="00BD2B89" w:rsidRDefault="00F5386D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Final list of CBE events (planning)</w:t>
            </w:r>
          </w:p>
        </w:tc>
        <w:tc>
          <w:tcPr>
            <w:tcW w:w="675" w:type="pct"/>
          </w:tcPr>
          <w:p w:rsidR="00F5386D" w:rsidRPr="00BD2B89" w:rsidRDefault="002435B1" w:rsidP="00B966D3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February 2015</w:t>
            </w:r>
          </w:p>
        </w:tc>
      </w:tr>
      <w:tr w:rsidR="00F5386D" w:rsidRPr="00BD2B89" w:rsidTr="000847CA">
        <w:tc>
          <w:tcPr>
            <w:tcW w:w="318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1365" w:type="pct"/>
            <w:shd w:val="clear" w:color="auto" w:fill="auto"/>
          </w:tcPr>
          <w:p w:rsidR="00F5386D" w:rsidRPr="00BD2B89" w:rsidRDefault="00F5386D" w:rsidP="001C2E4E">
            <w:pPr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/>
              </w:rPr>
              <w:t>Identifying pool of experts</w:t>
            </w:r>
            <w:r w:rsidR="006D293E" w:rsidRPr="00BD2B89">
              <w:rPr>
                <w:rFonts w:cs="Arial"/>
                <w:b/>
                <w:sz w:val="18"/>
                <w:szCs w:val="18"/>
                <w:lang w:val="en-GB"/>
              </w:rPr>
              <w:t>/stakeholders relevant for the CBE</w:t>
            </w:r>
          </w:p>
        </w:tc>
        <w:tc>
          <w:tcPr>
            <w:tcW w:w="454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ARCADIS</w:t>
            </w:r>
          </w:p>
        </w:tc>
        <w:tc>
          <w:tcPr>
            <w:tcW w:w="865" w:type="pct"/>
          </w:tcPr>
          <w:p w:rsidR="001A4020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All partners</w:t>
            </w:r>
          </w:p>
        </w:tc>
        <w:tc>
          <w:tcPr>
            <w:tcW w:w="1322" w:type="pct"/>
          </w:tcPr>
          <w:p w:rsidR="00F5386D" w:rsidRPr="00BD2B89" w:rsidRDefault="00F5386D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Matrix pool of experts</w:t>
            </w:r>
          </w:p>
        </w:tc>
        <w:tc>
          <w:tcPr>
            <w:tcW w:w="675" w:type="pct"/>
          </w:tcPr>
          <w:p w:rsidR="00F5386D" w:rsidRPr="00BD2B89" w:rsidRDefault="002435B1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February 2015</w:t>
            </w:r>
          </w:p>
        </w:tc>
      </w:tr>
      <w:tr w:rsidR="00F5386D" w:rsidRPr="00BD2B89" w:rsidTr="000847CA">
        <w:tc>
          <w:tcPr>
            <w:tcW w:w="318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lastRenderedPageBreak/>
              <w:t>2.3</w:t>
            </w:r>
          </w:p>
        </w:tc>
        <w:tc>
          <w:tcPr>
            <w:tcW w:w="1365" w:type="pct"/>
            <w:shd w:val="clear" w:color="auto" w:fill="auto"/>
          </w:tcPr>
          <w:p w:rsidR="00F5386D" w:rsidRPr="00BD2B89" w:rsidRDefault="00F5386D" w:rsidP="001C2E4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/>
              </w:rPr>
              <w:t>Organisation of the CBE</w:t>
            </w:r>
          </w:p>
          <w:p w:rsidR="00F5386D" w:rsidRPr="00BD2B89" w:rsidRDefault="00F5386D" w:rsidP="00F5386D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Selecting date, venue, location</w:t>
            </w:r>
          </w:p>
          <w:p w:rsidR="00F5386D" w:rsidRPr="00BD2B89" w:rsidRDefault="00F5386D" w:rsidP="00F5386D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Selecting pool of experts</w:t>
            </w:r>
          </w:p>
          <w:p w:rsidR="00F5386D" w:rsidRPr="00BD2B89" w:rsidRDefault="00F5386D" w:rsidP="00F5386D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Sending invitation</w:t>
            </w:r>
          </w:p>
          <w:p w:rsidR="00F5386D" w:rsidRPr="00BD2B89" w:rsidRDefault="00F5386D" w:rsidP="00F5386D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Practical organisation (venue)</w:t>
            </w:r>
          </w:p>
          <w:p w:rsidR="00F5386D" w:rsidRPr="00BD2B89" w:rsidRDefault="00F5386D" w:rsidP="00F5386D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Background doc (if relevant)</w:t>
            </w:r>
          </w:p>
          <w:p w:rsidR="00F5386D" w:rsidRPr="00BD2B89" w:rsidRDefault="00F5386D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Reimbursement</w:t>
            </w:r>
          </w:p>
        </w:tc>
        <w:tc>
          <w:tcPr>
            <w:tcW w:w="454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ARCADIS</w:t>
            </w:r>
          </w:p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BG&amp;RO authorities</w:t>
            </w:r>
          </w:p>
        </w:tc>
        <w:tc>
          <w:tcPr>
            <w:tcW w:w="865" w:type="pct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/>
              </w:rPr>
              <w:t xml:space="preserve">Organisation will be split between ARCADIS (max. 2 CBE) and </w:t>
            </w:r>
            <w:r w:rsidR="00E81219" w:rsidRPr="00BD2B89">
              <w:rPr>
                <w:rFonts w:cs="Arial"/>
                <w:sz w:val="18"/>
                <w:szCs w:val="18"/>
                <w:lang w:val="en-GB"/>
              </w:rPr>
              <w:t>National focal contact points</w:t>
            </w:r>
            <w:r w:rsidR="000D4D40" w:rsidRPr="00BD2B89">
              <w:rPr>
                <w:rFonts w:cs="Arial"/>
                <w:sz w:val="18"/>
                <w:szCs w:val="18"/>
                <w:lang w:val="en-GB"/>
              </w:rPr>
              <w:t>/local PTE coordinators</w:t>
            </w:r>
            <w:r w:rsidRPr="00BD2B89">
              <w:rPr>
                <w:rFonts w:cs="Arial"/>
                <w:sz w:val="18"/>
                <w:szCs w:val="18"/>
                <w:lang w:val="en-GB"/>
              </w:rPr>
              <w:t xml:space="preserve"> (remaining events).</w:t>
            </w:r>
          </w:p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/>
              </w:rPr>
              <w:t>Based on the CBE, support will be given by other PTE and pool of experts.</w:t>
            </w:r>
          </w:p>
        </w:tc>
        <w:tc>
          <w:tcPr>
            <w:tcW w:w="1322" w:type="pct"/>
          </w:tcPr>
          <w:p w:rsidR="00F5386D" w:rsidRPr="00BD2B89" w:rsidRDefault="00F5386D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Template invitation</w:t>
            </w:r>
          </w:p>
          <w:p w:rsidR="00F5386D" w:rsidRPr="00BD2B89" w:rsidRDefault="00F5386D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Guidelines on CBEs and steering group meetings organisation</w:t>
            </w:r>
          </w:p>
          <w:p w:rsidR="00F5386D" w:rsidRPr="00BD2B89" w:rsidRDefault="00F5386D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Calendar other relevant meetings (synergies)</w:t>
            </w:r>
          </w:p>
        </w:tc>
        <w:tc>
          <w:tcPr>
            <w:tcW w:w="675" w:type="pct"/>
          </w:tcPr>
          <w:p w:rsidR="00F5386D" w:rsidRPr="00BD2B89" w:rsidRDefault="002435B1" w:rsidP="00F5386D">
            <w:pPr>
              <w:pStyle w:val="Opsommingsymbool0"/>
              <w:spacing w:line="360" w:lineRule="auto"/>
              <w:jc w:val="both"/>
              <w:rPr>
                <w:rFonts w:cs="Arial"/>
                <w:color w:val="0070C0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February 2015</w:t>
            </w:r>
          </w:p>
        </w:tc>
      </w:tr>
      <w:tr w:rsidR="001A4020" w:rsidRPr="00BD2B89" w:rsidTr="000847CA">
        <w:tc>
          <w:tcPr>
            <w:tcW w:w="318" w:type="pct"/>
          </w:tcPr>
          <w:p w:rsidR="001A4020" w:rsidRPr="00BD2B89" w:rsidRDefault="001A4020" w:rsidP="001C2E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2.4</w:t>
            </w:r>
          </w:p>
          <w:p w:rsidR="001A4020" w:rsidRPr="00BD2B89" w:rsidRDefault="001A4020" w:rsidP="001A402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365" w:type="pct"/>
            <w:shd w:val="clear" w:color="auto" w:fill="auto"/>
          </w:tcPr>
          <w:p w:rsidR="001A4020" w:rsidRPr="00BD2B89" w:rsidRDefault="001A4020" w:rsidP="001C2E4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/>
              </w:rPr>
              <w:t>Attendance CBE event</w:t>
            </w:r>
          </w:p>
          <w:p w:rsidR="001A4020" w:rsidRPr="00BD2B89" w:rsidRDefault="001A4020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CBE </w:t>
            </w:r>
            <w:r w:rsidR="00D06B84" w:rsidRPr="00BD2B89">
              <w:rPr>
                <w:rFonts w:cs="Arial"/>
                <w:sz w:val="18"/>
                <w:szCs w:val="18"/>
                <w:lang w:val="en-GB" w:eastAsia="en-GB"/>
              </w:rPr>
              <w:t>1 -  FEB: brainstorm long list/gap analysis</w:t>
            </w:r>
          </w:p>
          <w:p w:rsidR="001A4020" w:rsidRPr="00BD2B89" w:rsidRDefault="001A4020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CBE </w:t>
            </w:r>
            <w:r w:rsidR="00D06B84" w:rsidRPr="00BD2B89">
              <w:rPr>
                <w:rFonts w:cs="Arial"/>
                <w:sz w:val="18"/>
                <w:szCs w:val="18"/>
                <w:lang w:val="en-GB" w:eastAsia="en-GB"/>
              </w:rPr>
              <w:t>2 -  MARCH: brainstorm short list / selection criteria</w:t>
            </w:r>
          </w:p>
          <w:p w:rsidR="00D06B84" w:rsidRPr="00BD2B89" w:rsidRDefault="00D06B84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CBE 3 - </w:t>
            </w:r>
            <w:r w:rsidR="00BD2B89">
              <w:rPr>
                <w:rFonts w:cs="Arial"/>
                <w:sz w:val="18"/>
                <w:szCs w:val="18"/>
                <w:lang w:val="en-GB" w:eastAsia="en-GB"/>
              </w:rPr>
              <w:t>MAY</w:t>
            </w:r>
            <w:r w:rsidRPr="00BD2B89">
              <w:rPr>
                <w:rFonts w:cs="Arial"/>
                <w:sz w:val="18"/>
                <w:szCs w:val="18"/>
                <w:lang w:val="en-GB" w:eastAsia="en-GB"/>
              </w:rPr>
              <w:t>: review and prioritization PoM implementation needs BG &amp; RO</w:t>
            </w:r>
          </w:p>
          <w:p w:rsidR="000076EB" w:rsidRPr="00BD2B89" w:rsidRDefault="000076EB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CBE4 - MAY: finance &amp; funding</w:t>
            </w:r>
          </w:p>
          <w:p w:rsidR="000076EB" w:rsidRPr="00BD2B89" w:rsidRDefault="000076EB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CBE5 – MAY: CEA PoMs</w:t>
            </w:r>
          </w:p>
          <w:p w:rsidR="000076EB" w:rsidRPr="00BD2B89" w:rsidRDefault="000076EB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CBE6 – JUNE: sectorial consultation</w:t>
            </w:r>
          </w:p>
          <w:p w:rsidR="000076EB" w:rsidRPr="00BD2B89" w:rsidRDefault="000076EB" w:rsidP="001A4020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CBE7 – JUNE: finalisation PoM</w:t>
            </w:r>
          </w:p>
          <w:p w:rsidR="001A4020" w:rsidRPr="00BD2B89" w:rsidRDefault="000076EB" w:rsidP="000076EB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cs="Arial"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CBE8: to be further defined</w:t>
            </w:r>
          </w:p>
        </w:tc>
        <w:tc>
          <w:tcPr>
            <w:tcW w:w="454" w:type="pct"/>
          </w:tcPr>
          <w:p w:rsidR="001A4020" w:rsidRPr="00BD2B89" w:rsidRDefault="001A4020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pct"/>
          </w:tcPr>
          <w:p w:rsidR="001A4020" w:rsidRPr="00BD2B89" w:rsidRDefault="001A4020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2" w:type="pct"/>
          </w:tcPr>
          <w:p w:rsidR="001A4020" w:rsidRPr="00BD2B89" w:rsidRDefault="001A4020" w:rsidP="006D293E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75" w:type="pct"/>
          </w:tcPr>
          <w:p w:rsidR="001A4020" w:rsidRPr="00BD2B89" w:rsidRDefault="00B966D3" w:rsidP="00F5386D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Project duration</w:t>
            </w:r>
          </w:p>
        </w:tc>
      </w:tr>
      <w:tr w:rsidR="006D293E" w:rsidRPr="00BD2B89" w:rsidTr="000847CA">
        <w:tc>
          <w:tcPr>
            <w:tcW w:w="318" w:type="pct"/>
          </w:tcPr>
          <w:p w:rsidR="006D293E" w:rsidRPr="00BD2B89" w:rsidRDefault="00C36523" w:rsidP="001C2E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1365" w:type="pct"/>
            <w:shd w:val="clear" w:color="auto" w:fill="auto"/>
          </w:tcPr>
          <w:p w:rsidR="006D293E" w:rsidRPr="00BD2B89" w:rsidRDefault="006D293E" w:rsidP="00C36523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BD2B89">
              <w:rPr>
                <w:rFonts w:cs="Arial"/>
                <w:b/>
                <w:sz w:val="18"/>
                <w:szCs w:val="18"/>
                <w:lang w:val="en-GB"/>
              </w:rPr>
              <w:t>Reimbursement of the CBE</w:t>
            </w:r>
          </w:p>
        </w:tc>
        <w:tc>
          <w:tcPr>
            <w:tcW w:w="454" w:type="pct"/>
          </w:tcPr>
          <w:p w:rsidR="006D293E" w:rsidRPr="00BD2B89" w:rsidRDefault="006D293E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65" w:type="pct"/>
          </w:tcPr>
          <w:p w:rsidR="006D293E" w:rsidRPr="00BD2B89" w:rsidRDefault="006D293E" w:rsidP="001A40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2" w:type="pct"/>
          </w:tcPr>
          <w:p w:rsidR="006D293E" w:rsidRPr="00BD2B89" w:rsidRDefault="00BB565F" w:rsidP="00BB565F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color w:val="0070C0"/>
                <w:sz w:val="18"/>
                <w:szCs w:val="18"/>
                <w:lang w:val="en-GB" w:eastAsia="en-GB"/>
              </w:rPr>
              <w:t>Reimbursement template</w:t>
            </w:r>
          </w:p>
        </w:tc>
        <w:tc>
          <w:tcPr>
            <w:tcW w:w="675" w:type="pct"/>
          </w:tcPr>
          <w:p w:rsidR="006D293E" w:rsidRPr="00BD2B89" w:rsidRDefault="008A7561" w:rsidP="00F5386D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Project duration</w:t>
            </w:r>
          </w:p>
        </w:tc>
      </w:tr>
      <w:tr w:rsidR="00F5386D" w:rsidRPr="00BD2B89" w:rsidTr="000847CA">
        <w:tc>
          <w:tcPr>
            <w:tcW w:w="3002" w:type="pct"/>
            <w:gridSpan w:val="4"/>
            <w:shd w:val="clear" w:color="auto" w:fill="FBD4B4" w:themeFill="accent6" w:themeFillTint="66"/>
          </w:tcPr>
          <w:p w:rsidR="00F5386D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szCs w:val="18"/>
                <w:lang w:val="en-GB" w:eastAsia="en-GB"/>
              </w:rPr>
              <w:t>Reporting</w:t>
            </w:r>
            <w:bookmarkStart w:id="0" w:name="_GoBack"/>
            <w:bookmarkEnd w:id="0"/>
          </w:p>
        </w:tc>
        <w:tc>
          <w:tcPr>
            <w:tcW w:w="1322" w:type="pct"/>
            <w:shd w:val="clear" w:color="auto" w:fill="FBD4B4" w:themeFill="accent6" w:themeFillTint="66"/>
          </w:tcPr>
          <w:p w:rsidR="00F5386D" w:rsidRPr="00BD2B89" w:rsidRDefault="00F5386D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75" w:type="pct"/>
            <w:shd w:val="clear" w:color="auto" w:fill="FBD4B4" w:themeFill="accent6" w:themeFillTint="66"/>
          </w:tcPr>
          <w:p w:rsidR="00F5386D" w:rsidRPr="00BD2B89" w:rsidRDefault="00F5386D" w:rsidP="00484D59">
            <w:pPr>
              <w:pStyle w:val="Opsommingsymbool0"/>
              <w:numPr>
                <w:ilvl w:val="0"/>
                <w:numId w:val="0"/>
              </w:numPr>
              <w:spacing w:line="360" w:lineRule="auto"/>
              <w:ind w:left="284" w:hanging="284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F66987" w:rsidRPr="00BD2B89" w:rsidTr="000847CA">
        <w:tc>
          <w:tcPr>
            <w:tcW w:w="3002" w:type="pct"/>
            <w:gridSpan w:val="4"/>
            <w:shd w:val="clear" w:color="auto" w:fill="FBD4B4" w:themeFill="accent6" w:themeFillTint="66"/>
          </w:tcPr>
          <w:p w:rsidR="00F66987" w:rsidRPr="00BD2B89" w:rsidRDefault="00F66987" w:rsidP="00484D5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i/>
                <w:sz w:val="18"/>
                <w:szCs w:val="18"/>
                <w:lang w:val="en-GB" w:eastAsia="en-GB"/>
              </w:rPr>
              <w:t>Inception report</w:t>
            </w:r>
          </w:p>
        </w:tc>
        <w:tc>
          <w:tcPr>
            <w:tcW w:w="1322" w:type="pct"/>
            <w:shd w:val="clear" w:color="auto" w:fill="FBD4B4" w:themeFill="accent6" w:themeFillTint="66"/>
          </w:tcPr>
          <w:p w:rsidR="00F66987" w:rsidRPr="00BD2B89" w:rsidRDefault="00F66987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75" w:type="pct"/>
            <w:shd w:val="clear" w:color="auto" w:fill="FBD4B4" w:themeFill="accent6" w:themeFillTint="66"/>
          </w:tcPr>
          <w:p w:rsidR="00F66987" w:rsidRPr="00BD2B89" w:rsidRDefault="002435B1" w:rsidP="001C2E4E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Draft: mid Jan</w:t>
            </w:r>
          </w:p>
          <w:p w:rsidR="002435B1" w:rsidRPr="00BD2B89" w:rsidRDefault="002435B1" w:rsidP="002435B1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Final: 1</w:t>
            </w:r>
            <w:r w:rsidRPr="00BD2B89">
              <w:rPr>
                <w:rFonts w:cs="Arial"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 week Feb</w:t>
            </w:r>
          </w:p>
        </w:tc>
      </w:tr>
      <w:tr w:rsidR="00484D59" w:rsidRPr="00BD2B89" w:rsidTr="000847CA">
        <w:tc>
          <w:tcPr>
            <w:tcW w:w="3002" w:type="pct"/>
            <w:gridSpan w:val="4"/>
            <w:shd w:val="clear" w:color="auto" w:fill="FBD4B4" w:themeFill="accent6" w:themeFillTint="66"/>
          </w:tcPr>
          <w:p w:rsidR="00484D59" w:rsidRPr="00BD2B89" w:rsidRDefault="00484D59" w:rsidP="00484D5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i/>
                <w:sz w:val="18"/>
                <w:szCs w:val="18"/>
                <w:lang w:val="en-GB" w:eastAsia="en-GB"/>
              </w:rPr>
              <w:t>Interim report</w:t>
            </w:r>
          </w:p>
        </w:tc>
        <w:tc>
          <w:tcPr>
            <w:tcW w:w="1322" w:type="pct"/>
            <w:shd w:val="clear" w:color="auto" w:fill="FBD4B4" w:themeFill="accent6" w:themeFillTint="66"/>
          </w:tcPr>
          <w:p w:rsidR="00484D59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75" w:type="pct"/>
            <w:shd w:val="clear" w:color="auto" w:fill="FBD4B4" w:themeFill="accent6" w:themeFillTint="66"/>
          </w:tcPr>
          <w:p w:rsidR="00484D59" w:rsidRPr="00BD2B89" w:rsidRDefault="002435B1" w:rsidP="001C2E4E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Draft: end Feb </w:t>
            </w:r>
          </w:p>
          <w:p w:rsidR="002435B1" w:rsidRPr="00BD2B89" w:rsidRDefault="002435B1" w:rsidP="00BB565F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Final: end March </w:t>
            </w:r>
          </w:p>
        </w:tc>
      </w:tr>
      <w:tr w:rsidR="00484D59" w:rsidRPr="00BD2B89" w:rsidTr="000847CA">
        <w:tc>
          <w:tcPr>
            <w:tcW w:w="3002" w:type="pct"/>
            <w:gridSpan w:val="4"/>
            <w:shd w:val="clear" w:color="auto" w:fill="FBD4B4" w:themeFill="accent6" w:themeFillTint="66"/>
          </w:tcPr>
          <w:p w:rsidR="00484D59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i/>
                <w:sz w:val="18"/>
                <w:szCs w:val="18"/>
                <w:lang w:val="en-GB" w:eastAsia="en-GB"/>
              </w:rPr>
              <w:lastRenderedPageBreak/>
              <w:t>Progress reports/ Steering Group meetings</w:t>
            </w:r>
          </w:p>
        </w:tc>
        <w:tc>
          <w:tcPr>
            <w:tcW w:w="1322" w:type="pct"/>
            <w:shd w:val="clear" w:color="auto" w:fill="FBD4B4" w:themeFill="accent6" w:themeFillTint="66"/>
          </w:tcPr>
          <w:p w:rsidR="00484D59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75" w:type="pct"/>
            <w:shd w:val="clear" w:color="auto" w:fill="FBD4B4" w:themeFill="accent6" w:themeFillTint="66"/>
          </w:tcPr>
          <w:p w:rsidR="000847CA" w:rsidRPr="00BD2B89" w:rsidRDefault="002435B1" w:rsidP="00BB565F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January (SGM1)</w:t>
            </w:r>
          </w:p>
          <w:p w:rsidR="000847CA" w:rsidRPr="00BD2B89" w:rsidRDefault="002435B1" w:rsidP="000847CA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May (SGM2)</w:t>
            </w:r>
          </w:p>
          <w:p w:rsidR="00484D59" w:rsidRPr="00BD2B89" w:rsidRDefault="002435B1" w:rsidP="000847CA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>Se</w:t>
            </w:r>
            <w:r w:rsidR="00BB565F" w:rsidRPr="00BD2B89">
              <w:rPr>
                <w:rFonts w:cs="Arial"/>
                <w:sz w:val="18"/>
                <w:szCs w:val="18"/>
                <w:lang w:val="en-GB" w:eastAsia="en-GB"/>
              </w:rPr>
              <w:t>p</w:t>
            </w: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tember (SGM3) </w:t>
            </w:r>
          </w:p>
        </w:tc>
      </w:tr>
      <w:tr w:rsidR="00484D59" w:rsidRPr="00BD2B89" w:rsidTr="000847CA">
        <w:tc>
          <w:tcPr>
            <w:tcW w:w="3002" w:type="pct"/>
            <w:gridSpan w:val="4"/>
            <w:shd w:val="clear" w:color="auto" w:fill="FBD4B4" w:themeFill="accent6" w:themeFillTint="66"/>
          </w:tcPr>
          <w:p w:rsidR="00484D59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i/>
                <w:sz w:val="18"/>
                <w:szCs w:val="18"/>
                <w:lang w:val="en-GB" w:eastAsia="en-GB"/>
              </w:rPr>
              <w:t>Draft Final report</w:t>
            </w:r>
          </w:p>
        </w:tc>
        <w:tc>
          <w:tcPr>
            <w:tcW w:w="1322" w:type="pct"/>
            <w:shd w:val="clear" w:color="auto" w:fill="FBD4B4" w:themeFill="accent6" w:themeFillTint="66"/>
          </w:tcPr>
          <w:p w:rsidR="00484D59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75" w:type="pct"/>
            <w:shd w:val="clear" w:color="auto" w:fill="FBD4B4" w:themeFill="accent6" w:themeFillTint="66"/>
          </w:tcPr>
          <w:p w:rsidR="00484D59" w:rsidRPr="00BD2B89" w:rsidRDefault="002435B1" w:rsidP="00BB565F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End September </w:t>
            </w:r>
          </w:p>
        </w:tc>
      </w:tr>
      <w:tr w:rsidR="00484D59" w:rsidRPr="00BD2B89" w:rsidTr="000847CA">
        <w:tc>
          <w:tcPr>
            <w:tcW w:w="3002" w:type="pct"/>
            <w:gridSpan w:val="4"/>
            <w:shd w:val="clear" w:color="auto" w:fill="FBD4B4" w:themeFill="accent6" w:themeFillTint="66"/>
          </w:tcPr>
          <w:p w:rsidR="00F66987" w:rsidRPr="00BD2B89" w:rsidRDefault="00F66987" w:rsidP="001C2E4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b/>
                <w:i/>
                <w:sz w:val="18"/>
                <w:szCs w:val="18"/>
                <w:lang w:val="en-GB" w:eastAsia="en-GB"/>
              </w:rPr>
              <w:t>Final report</w:t>
            </w:r>
          </w:p>
        </w:tc>
        <w:tc>
          <w:tcPr>
            <w:tcW w:w="1322" w:type="pct"/>
            <w:shd w:val="clear" w:color="auto" w:fill="FBD4B4" w:themeFill="accent6" w:themeFillTint="66"/>
          </w:tcPr>
          <w:p w:rsidR="00484D59" w:rsidRPr="00BD2B89" w:rsidRDefault="00484D59" w:rsidP="001C2E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75" w:type="pct"/>
            <w:shd w:val="clear" w:color="auto" w:fill="FBD4B4" w:themeFill="accent6" w:themeFillTint="66"/>
          </w:tcPr>
          <w:p w:rsidR="00484D59" w:rsidRPr="00BD2B89" w:rsidRDefault="002435B1" w:rsidP="00BB565F">
            <w:pPr>
              <w:pStyle w:val="Opsommingsymbool0"/>
              <w:spacing w:line="360" w:lineRule="auto"/>
              <w:jc w:val="both"/>
              <w:rPr>
                <w:rFonts w:cs="Arial"/>
                <w:sz w:val="18"/>
                <w:szCs w:val="18"/>
                <w:lang w:val="en-GB" w:eastAsia="en-GB"/>
              </w:rPr>
            </w:pPr>
            <w:r w:rsidRPr="00BD2B89">
              <w:rPr>
                <w:rFonts w:cs="Arial"/>
                <w:sz w:val="18"/>
                <w:szCs w:val="18"/>
                <w:lang w:val="en-GB" w:eastAsia="en-GB"/>
              </w:rPr>
              <w:t xml:space="preserve">End October </w:t>
            </w:r>
          </w:p>
        </w:tc>
      </w:tr>
    </w:tbl>
    <w:p w:rsidR="00B60792" w:rsidRPr="00BD2B89" w:rsidRDefault="00B60792">
      <w:pPr>
        <w:rPr>
          <w:rFonts w:cs="Arial"/>
          <w:lang w:val="en-GB"/>
        </w:rPr>
      </w:pPr>
    </w:p>
    <w:sectPr w:rsidR="00B60792" w:rsidRPr="00BD2B89" w:rsidSect="00306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2A" w:rsidRDefault="00603D2A" w:rsidP="00603D2A">
      <w:pPr>
        <w:spacing w:before="0" w:after="0" w:line="240" w:lineRule="auto"/>
      </w:pPr>
      <w:r>
        <w:separator/>
      </w:r>
    </w:p>
  </w:endnote>
  <w:endnote w:type="continuationSeparator" w:id="0">
    <w:p w:rsidR="00603D2A" w:rsidRDefault="00603D2A" w:rsidP="00603D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A" w:rsidRDefault="00603D2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A" w:rsidRDefault="00603D2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A" w:rsidRDefault="00603D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2A" w:rsidRDefault="00603D2A" w:rsidP="00603D2A">
      <w:pPr>
        <w:spacing w:before="0" w:after="0" w:line="240" w:lineRule="auto"/>
      </w:pPr>
      <w:r>
        <w:separator/>
      </w:r>
    </w:p>
  </w:footnote>
  <w:footnote w:type="continuationSeparator" w:id="0">
    <w:p w:rsidR="00603D2A" w:rsidRDefault="00603D2A" w:rsidP="00603D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A" w:rsidRDefault="00603D2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A" w:rsidRPr="00C743DE" w:rsidRDefault="00603D2A" w:rsidP="00603D2A">
    <w:pPr>
      <w:pStyle w:val="Koptekst"/>
      <w:tabs>
        <w:tab w:val="clear" w:pos="9639"/>
        <w:tab w:val="right" w:pos="13892"/>
      </w:tabs>
      <w:rPr>
        <w:lang w:val="nl-NL"/>
      </w:rPr>
    </w:pPr>
    <w:r w:rsidRPr="005D31BA">
      <w:rPr>
        <w:noProof/>
        <w:lang w:val="en-US"/>
      </w:rPr>
      <w:drawing>
        <wp:inline distT="0" distB="0" distL="0" distR="0" wp14:anchorId="0EBA12D1" wp14:editId="13709E77">
          <wp:extent cx="1060138" cy="216000"/>
          <wp:effectExtent l="19050" t="0" r="6662" b="0"/>
          <wp:docPr id="2" name="Afbeelding 3" descr="SALARC-hor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RC-hor-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138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rPr>
          <w:color w:val="auto"/>
          <w:lang w:val="nl-NL"/>
        </w:rPr>
        <w:id w:val="69975755"/>
        <w:docPartObj>
          <w:docPartGallery w:val="Page Numbers (Top of Page)"/>
          <w:docPartUnique/>
        </w:docPartObj>
      </w:sdtPr>
      <w:sdtEndPr/>
      <w:sdtContent/>
    </w:sdt>
    <w:r>
      <w:rPr>
        <w:lang w:val="nl-NL"/>
      </w:rPr>
      <w:tab/>
    </w:r>
    <w:r>
      <w:t>BE0114000978</w:t>
    </w:r>
  </w:p>
  <w:p w:rsidR="00603D2A" w:rsidRDefault="00603D2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A" w:rsidRDefault="00603D2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77A"/>
    <w:multiLevelType w:val="hybridMultilevel"/>
    <w:tmpl w:val="E6E0B888"/>
    <w:lvl w:ilvl="0" w:tplc="0813000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3388B"/>
    <w:multiLevelType w:val="hybridMultilevel"/>
    <w:tmpl w:val="FCB0846A"/>
    <w:lvl w:ilvl="0" w:tplc="0813000F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4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7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8">
    <w:nsid w:val="52460F06"/>
    <w:multiLevelType w:val="hybridMultilevel"/>
    <w:tmpl w:val="0E122466"/>
    <w:lvl w:ilvl="0" w:tplc="0813000F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4"/>
  </w:num>
  <w:num w:numId="20">
    <w:abstractNumId w:val="11"/>
  </w:num>
  <w:num w:numId="21">
    <w:abstractNumId w:val="10"/>
  </w:num>
  <w:num w:numId="22">
    <w:abstractNumId w:val="15"/>
  </w:num>
  <w:num w:numId="23">
    <w:abstractNumId w:val="4"/>
  </w:num>
  <w:num w:numId="24">
    <w:abstractNumId w:val="2"/>
  </w:num>
  <w:num w:numId="25">
    <w:abstractNumId w:val="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8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DE"/>
    <w:rsid w:val="000076EB"/>
    <w:rsid w:val="000146C0"/>
    <w:rsid w:val="00031D0D"/>
    <w:rsid w:val="00054C49"/>
    <w:rsid w:val="00055943"/>
    <w:rsid w:val="000847CA"/>
    <w:rsid w:val="00091DE3"/>
    <w:rsid w:val="000B1125"/>
    <w:rsid w:val="000B563A"/>
    <w:rsid w:val="000D4D40"/>
    <w:rsid w:val="000F5040"/>
    <w:rsid w:val="00132CFC"/>
    <w:rsid w:val="00145374"/>
    <w:rsid w:val="00181A14"/>
    <w:rsid w:val="001A4020"/>
    <w:rsid w:val="001F659A"/>
    <w:rsid w:val="0023061B"/>
    <w:rsid w:val="002435B1"/>
    <w:rsid w:val="002820B0"/>
    <w:rsid w:val="00282FAB"/>
    <w:rsid w:val="002B27C3"/>
    <w:rsid w:val="002C6352"/>
    <w:rsid w:val="002E67F5"/>
    <w:rsid w:val="003067DE"/>
    <w:rsid w:val="0032332B"/>
    <w:rsid w:val="00324222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33005"/>
    <w:rsid w:val="00440C8E"/>
    <w:rsid w:val="00440FCE"/>
    <w:rsid w:val="00464CE4"/>
    <w:rsid w:val="00484D59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03D2A"/>
    <w:rsid w:val="00640ADA"/>
    <w:rsid w:val="00646A28"/>
    <w:rsid w:val="00691FFC"/>
    <w:rsid w:val="00696E94"/>
    <w:rsid w:val="006A1A2A"/>
    <w:rsid w:val="006C6A77"/>
    <w:rsid w:val="006D293E"/>
    <w:rsid w:val="006D3323"/>
    <w:rsid w:val="006F1951"/>
    <w:rsid w:val="0070619F"/>
    <w:rsid w:val="0071133F"/>
    <w:rsid w:val="00712774"/>
    <w:rsid w:val="0073671C"/>
    <w:rsid w:val="0074052B"/>
    <w:rsid w:val="00742FF8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72A25"/>
    <w:rsid w:val="00884ABF"/>
    <w:rsid w:val="008A5618"/>
    <w:rsid w:val="008A6538"/>
    <w:rsid w:val="008A7561"/>
    <w:rsid w:val="008B78B8"/>
    <w:rsid w:val="008C0F21"/>
    <w:rsid w:val="008F3B82"/>
    <w:rsid w:val="00940BE1"/>
    <w:rsid w:val="00945925"/>
    <w:rsid w:val="00983331"/>
    <w:rsid w:val="009A149C"/>
    <w:rsid w:val="009A5391"/>
    <w:rsid w:val="009C7CC9"/>
    <w:rsid w:val="009D5146"/>
    <w:rsid w:val="009D754B"/>
    <w:rsid w:val="009E1FF7"/>
    <w:rsid w:val="009F4EA9"/>
    <w:rsid w:val="00A01673"/>
    <w:rsid w:val="00A020B3"/>
    <w:rsid w:val="00A1556E"/>
    <w:rsid w:val="00A41AD1"/>
    <w:rsid w:val="00A75518"/>
    <w:rsid w:val="00A91F35"/>
    <w:rsid w:val="00A94805"/>
    <w:rsid w:val="00AA0728"/>
    <w:rsid w:val="00AB0248"/>
    <w:rsid w:val="00AC3DDC"/>
    <w:rsid w:val="00AE5D05"/>
    <w:rsid w:val="00B0343E"/>
    <w:rsid w:val="00B32A8A"/>
    <w:rsid w:val="00B60792"/>
    <w:rsid w:val="00B618F0"/>
    <w:rsid w:val="00B76C0A"/>
    <w:rsid w:val="00B966D3"/>
    <w:rsid w:val="00BA08AC"/>
    <w:rsid w:val="00BB565F"/>
    <w:rsid w:val="00BC6E71"/>
    <w:rsid w:val="00BD2B89"/>
    <w:rsid w:val="00BE5F6F"/>
    <w:rsid w:val="00C12E90"/>
    <w:rsid w:val="00C165C3"/>
    <w:rsid w:val="00C33FAC"/>
    <w:rsid w:val="00C36523"/>
    <w:rsid w:val="00C40E5C"/>
    <w:rsid w:val="00C532E8"/>
    <w:rsid w:val="00C771E7"/>
    <w:rsid w:val="00CA436C"/>
    <w:rsid w:val="00CC2277"/>
    <w:rsid w:val="00CC3B0B"/>
    <w:rsid w:val="00CD38D4"/>
    <w:rsid w:val="00D06B84"/>
    <w:rsid w:val="00D462A6"/>
    <w:rsid w:val="00D65A2A"/>
    <w:rsid w:val="00D760F4"/>
    <w:rsid w:val="00D95D49"/>
    <w:rsid w:val="00DA6BA1"/>
    <w:rsid w:val="00DC6654"/>
    <w:rsid w:val="00DC7BD4"/>
    <w:rsid w:val="00DC7E05"/>
    <w:rsid w:val="00DD5D6C"/>
    <w:rsid w:val="00E008F5"/>
    <w:rsid w:val="00E14D6D"/>
    <w:rsid w:val="00E400C4"/>
    <w:rsid w:val="00E779BF"/>
    <w:rsid w:val="00E81219"/>
    <w:rsid w:val="00E850FB"/>
    <w:rsid w:val="00EA3DF9"/>
    <w:rsid w:val="00EA7A90"/>
    <w:rsid w:val="00EB325E"/>
    <w:rsid w:val="00ED5138"/>
    <w:rsid w:val="00EE6013"/>
    <w:rsid w:val="00EF5350"/>
    <w:rsid w:val="00F06742"/>
    <w:rsid w:val="00F46B1B"/>
    <w:rsid w:val="00F5386D"/>
    <w:rsid w:val="00F642E9"/>
    <w:rsid w:val="00F66987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aliases w:val="Heading 2_sj,List Paragraph1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aliases w:val="Heading 2_sj Char,List Paragraph1 Char"/>
    <w:basedOn w:val="Standaardalinea-lettertype"/>
    <w:link w:val="Lijstalinea"/>
    <w:uiPriority w:val="34"/>
    <w:rsid w:val="00F5386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aliases w:val="Heading 2_sj,List Paragraph1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aliases w:val="Heading 2_sj Char,List Paragraph1 Char"/>
    <w:basedOn w:val="Standaardalinea-lettertype"/>
    <w:link w:val="Lijstalinea"/>
    <w:uiPriority w:val="34"/>
    <w:rsid w:val="00F5386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744FE5-C335-4C9F-B0EA-11D2C6D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19</cp:revision>
  <cp:lastPrinted>2014-01-14T12:12:00Z</cp:lastPrinted>
  <dcterms:created xsi:type="dcterms:W3CDTF">2014-12-15T14:08:00Z</dcterms:created>
  <dcterms:modified xsi:type="dcterms:W3CDTF">2015-01-27T13:17:00Z</dcterms:modified>
</cp:coreProperties>
</file>