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Default="00FC3FCD" w:rsidP="00A97C72">
      <w:pPr>
        <w:pStyle w:val="Titel"/>
        <w:rPr>
          <w:sz w:val="28"/>
          <w:szCs w:val="28"/>
        </w:rPr>
      </w:pPr>
      <w:r>
        <w:rPr>
          <w:sz w:val="28"/>
          <w:szCs w:val="28"/>
        </w:rPr>
        <w:t>BS-C</w:t>
      </w:r>
      <w:r w:rsidR="00A97C72" w:rsidRPr="00A97C72">
        <w:rPr>
          <w:sz w:val="28"/>
          <w:szCs w:val="28"/>
        </w:rPr>
        <w:t>BE</w:t>
      </w:r>
      <w:r w:rsidR="00371CC9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March</w:t>
      </w:r>
      <w:r>
        <w:rPr>
          <w:sz w:val="28"/>
          <w:szCs w:val="28"/>
        </w:rPr>
        <w:t xml:space="preserve"> reporting</w:t>
      </w:r>
      <w:r w:rsidR="004E3003">
        <w:rPr>
          <w:sz w:val="28"/>
          <w:szCs w:val="28"/>
        </w:rPr>
        <w:t xml:space="preserve"> CBE </w:t>
      </w:r>
      <w:r w:rsidR="00EB2BB9">
        <w:rPr>
          <w:sz w:val="28"/>
          <w:szCs w:val="28"/>
        </w:rPr>
        <w:t>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2060"/>
        <w:gridCol w:w="2869"/>
        <w:gridCol w:w="2422"/>
      </w:tblGrid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51" w:type="dxa"/>
            <w:gridSpan w:val="3"/>
          </w:tcPr>
          <w:p w:rsidR="00CC29ED" w:rsidRPr="004E3003" w:rsidRDefault="00CC29ED" w:rsidP="00123DEE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BS Report CBE 10: </w:t>
            </w:r>
            <w:r w:rsidRPr="00CC29ED">
              <w:rPr>
                <w:b/>
                <w:color w:val="4F81BD" w:themeColor="accent1"/>
                <w:sz w:val="24"/>
                <w:szCs w:val="24"/>
              </w:rPr>
              <w:t>Potential funding opportunities to address identified needs BSC (Task 1.2)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51" w:type="dxa"/>
            <w:gridSpan w:val="3"/>
          </w:tcPr>
          <w:p w:rsidR="00FC3FCD" w:rsidRDefault="00CC29ED" w:rsidP="00467902">
            <w:r>
              <w:t>28 March 2014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351" w:type="dxa"/>
            <w:gridSpan w:val="3"/>
          </w:tcPr>
          <w:p w:rsidR="00FC3FCD" w:rsidRDefault="00CC29ED" w:rsidP="00467902">
            <w:r>
              <w:t>Brussels (Belgium)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Attendees</w:t>
            </w:r>
          </w:p>
          <w:p w:rsidR="00FC3FCD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Pr="00B36DAC" w:rsidRDefault="00FC3FCD" w:rsidP="00467902">
            <w:r w:rsidRPr="00B36DAC">
              <w:t>See participants list</w:t>
            </w:r>
          </w:p>
        </w:tc>
      </w:tr>
      <w:tr w:rsidR="00FC3FCD" w:rsidRPr="003B3FE3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Reporter name</w:t>
            </w:r>
          </w:p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Pr="00B36DAC" w:rsidRDefault="00CC29ED" w:rsidP="00467902">
            <w:pPr>
              <w:rPr>
                <w:lang w:val="nl-BE"/>
              </w:rPr>
            </w:pPr>
            <w:r w:rsidRPr="00B36DAC">
              <w:rPr>
                <w:lang w:val="nl-BE"/>
              </w:rPr>
              <w:t>Volckaert Annemie, Durinck Riet (ARCADIS Belgium)</w:t>
            </w:r>
            <w:r w:rsidR="00B36DAC" w:rsidRPr="00B36DAC">
              <w:rPr>
                <w:lang w:val="nl-BE"/>
              </w:rPr>
              <w:t>, Jeroen Klooster (ARCADIS Netherlands)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Subject</w:t>
            </w:r>
          </w:p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107314" w:rsidRDefault="000B66CE" w:rsidP="00467902">
            <w:r>
              <w:t>P</w:t>
            </w:r>
            <w:r w:rsidR="00CC29ED">
              <w:t xml:space="preserve">otential </w:t>
            </w:r>
            <w:r w:rsidR="002C1328">
              <w:t xml:space="preserve">MSFD </w:t>
            </w:r>
            <w:r w:rsidR="00CC29ED">
              <w:t>funding opportunities.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Objective</w:t>
            </w:r>
          </w:p>
        </w:tc>
        <w:tc>
          <w:tcPr>
            <w:tcW w:w="7351" w:type="dxa"/>
            <w:gridSpan w:val="3"/>
          </w:tcPr>
          <w:p w:rsidR="005362DA" w:rsidRDefault="00763E3B" w:rsidP="000B66CE">
            <w:r w:rsidRPr="00763E3B">
              <w:t>Link to the contract: Task 1.2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Pr="00B36DAC" w:rsidRDefault="00763E3B" w:rsidP="00B36DAC">
            <w:r w:rsidRPr="00B36DAC">
              <w:t xml:space="preserve">Link to the MSFD implementation stage: </w:t>
            </w:r>
            <w:r w:rsidR="00B36DAC" w:rsidRPr="00B36DAC">
              <w:t xml:space="preserve"> All (basis for funding of action points related to MSFD implementation)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Results</w:t>
            </w:r>
          </w:p>
        </w:tc>
        <w:tc>
          <w:tcPr>
            <w:tcW w:w="7351" w:type="dxa"/>
            <w:gridSpan w:val="3"/>
          </w:tcPr>
          <w:p w:rsidR="00224C0E" w:rsidRDefault="00B36DAC" w:rsidP="00224C0E">
            <w:r>
              <w:t>Main EU co-funding opportunities were discussed.</w:t>
            </w:r>
          </w:p>
          <w:p w:rsidR="00B36DAC" w:rsidRDefault="00B36DAC" w:rsidP="00224C0E">
            <w:r>
              <w:t xml:space="preserve">Special attention will go to the EMFF, as this is specifically related to marine topics. For </w:t>
            </w:r>
            <w:r w:rsidR="002C1328">
              <w:t>Regional F</w:t>
            </w:r>
            <w:r>
              <w:t>unds, competition is high between the different ministries.</w:t>
            </w:r>
            <w:r w:rsidR="002C1328">
              <w:t xml:space="preserve"> LIFE and Horizon2020 also involve more competition, as open to all MS via direct application.</w:t>
            </w:r>
          </w:p>
          <w:p w:rsidR="00D75AF3" w:rsidRDefault="00D75AF3" w:rsidP="00224C0E"/>
          <w:p w:rsidR="005362DA" w:rsidRDefault="002C1328" w:rsidP="003B3FE3">
            <w:r>
              <w:t xml:space="preserve">For both EMFF and the Regional Funds the Operational </w:t>
            </w:r>
            <w:proofErr w:type="spellStart"/>
            <w:r>
              <w:t>Programmes</w:t>
            </w:r>
            <w:proofErr w:type="spellEnd"/>
            <w:r>
              <w:t xml:space="preserve"> should adequately address MSFD actions/measures and intended funding.</w:t>
            </w:r>
          </w:p>
          <w:p w:rsidR="003B3FE3" w:rsidRDefault="003B3FE3" w:rsidP="003B3FE3"/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Issues discussed</w:t>
            </w:r>
          </w:p>
        </w:tc>
        <w:tc>
          <w:tcPr>
            <w:tcW w:w="7351" w:type="dxa"/>
            <w:gridSpan w:val="3"/>
          </w:tcPr>
          <w:p w:rsidR="00763E3B" w:rsidRPr="008B2715" w:rsidRDefault="008B2715" w:rsidP="005362DA">
            <w:r w:rsidRPr="008B2715">
              <w:t>Presentation f</w:t>
            </w:r>
            <w:r w:rsidR="00763E3B" w:rsidRPr="008B2715">
              <w:t>unding opportunities</w:t>
            </w:r>
          </w:p>
          <w:p w:rsidR="00AD4D3A" w:rsidRDefault="00AD4D3A" w:rsidP="00AD4D3A">
            <w:pPr>
              <w:pStyle w:val="Lijstalinea"/>
              <w:numPr>
                <w:ilvl w:val="0"/>
                <w:numId w:val="26"/>
              </w:numPr>
            </w:pPr>
            <w:r>
              <w:t xml:space="preserve">EMFF: important that there is no competition (only key per member state). Specific budget is foreseen for the protection of the marine environment/ reduction of the impact of fisheries. </w:t>
            </w:r>
            <w:r w:rsidR="002C1328">
              <w:t xml:space="preserve">Funding for monitoring (related to identifying pressures) is also possible under EMFF. </w:t>
            </w:r>
            <w:r w:rsidR="009816AC">
              <w:t xml:space="preserve">Co-funding by EMFF up to 75%. </w:t>
            </w:r>
            <w:r w:rsidR="008B2715">
              <w:t xml:space="preserve">Operational </w:t>
            </w:r>
            <w:proofErr w:type="spellStart"/>
            <w:r w:rsidR="002C1328">
              <w:t>Programmes</w:t>
            </w:r>
            <w:proofErr w:type="spellEnd"/>
            <w:r w:rsidR="002C1328">
              <w:t xml:space="preserve"> for EMFF</w:t>
            </w:r>
            <w:r w:rsidR="008B2715">
              <w:t xml:space="preserve"> need to be finished by autumn. </w:t>
            </w:r>
          </w:p>
          <w:p w:rsidR="00AD4D3A" w:rsidRDefault="00AD4D3A" w:rsidP="00AD4D3A">
            <w:pPr>
              <w:pStyle w:val="Lijstalinea"/>
              <w:numPr>
                <w:ilvl w:val="0"/>
                <w:numId w:val="26"/>
              </w:numPr>
            </w:pPr>
            <w:r w:rsidRPr="00AD4D3A">
              <w:t>ERDF/CF (regional funds</w:t>
            </w:r>
            <w:r w:rsidR="009816AC">
              <w:t xml:space="preserve"> / cohesion policy funds</w:t>
            </w:r>
            <w:r w:rsidRPr="00AD4D3A">
              <w:t>)</w:t>
            </w:r>
            <w:r>
              <w:t xml:space="preserve">: a lot of competition </w:t>
            </w:r>
            <w:r w:rsidR="009816AC">
              <w:t xml:space="preserve">exists </w:t>
            </w:r>
            <w:r w:rsidR="002C1328">
              <w:t xml:space="preserve">within MS (different ministries) </w:t>
            </w:r>
            <w:r>
              <w:sym w:font="Wingdings" w:char="F0E0"/>
            </w:r>
            <w:r>
              <w:t xml:space="preserve"> will potentially be difficult to raise funding for the marine environment. </w:t>
            </w:r>
          </w:p>
          <w:p w:rsidR="00AD4D3A" w:rsidRDefault="004538E3" w:rsidP="009816AC">
            <w:pPr>
              <w:pStyle w:val="Lijstalinea"/>
              <w:numPr>
                <w:ilvl w:val="0"/>
                <w:numId w:val="26"/>
              </w:numPr>
            </w:pPr>
            <w:r>
              <w:t xml:space="preserve">LIFE: scientific institutes are very interested, but </w:t>
            </w:r>
            <w:r w:rsidR="009816AC">
              <w:t xml:space="preserve">co-funding (previous LIFE+) was limited to </w:t>
            </w:r>
            <w:r>
              <w:t xml:space="preserve">50%.  </w:t>
            </w:r>
            <w:r w:rsidR="009816AC">
              <w:t>N</w:t>
            </w:r>
            <w:r w:rsidR="003B3FE3">
              <w:t>ote</w:t>
            </w:r>
            <w:r w:rsidR="009816AC">
              <w:t xml:space="preserve">: in the new LIFE </w:t>
            </w:r>
            <w:proofErr w:type="spellStart"/>
            <w:r w:rsidR="009816AC">
              <w:t>programme</w:t>
            </w:r>
            <w:proofErr w:type="spellEnd"/>
            <w:r w:rsidR="009816AC">
              <w:t xml:space="preserve"> c</w:t>
            </w:r>
            <w:r w:rsidR="009816AC" w:rsidRPr="009816AC">
              <w:t xml:space="preserve">o-financing rates vary between 55-100% depending on (sub) </w:t>
            </w:r>
            <w:proofErr w:type="spellStart"/>
            <w:r w:rsidR="009816AC" w:rsidRPr="009816AC">
              <w:t>programme</w:t>
            </w:r>
            <w:proofErr w:type="spellEnd"/>
            <w:r w:rsidR="009816AC" w:rsidRPr="009816AC">
              <w:t xml:space="preserve">. </w:t>
            </w:r>
            <w:r w:rsidR="009816AC">
              <w:t xml:space="preserve">LIFE is </w:t>
            </w:r>
            <w:r>
              <w:t xml:space="preserve">very competitive. </w:t>
            </w:r>
          </w:p>
          <w:p w:rsidR="004538E3" w:rsidRDefault="004538E3" w:rsidP="004538E3">
            <w:pPr>
              <w:pStyle w:val="Lijstalinea"/>
              <w:numPr>
                <w:ilvl w:val="0"/>
                <w:numId w:val="26"/>
              </w:numPr>
            </w:pPr>
            <w:r w:rsidRPr="004538E3">
              <w:t>Horizon 2020</w:t>
            </w:r>
            <w:r>
              <w:t xml:space="preserve">: focuses on research </w:t>
            </w:r>
            <w:r w:rsidR="009816AC">
              <w:t>and</w:t>
            </w:r>
            <w:r>
              <w:t xml:space="preserve"> development. Intended to support innovative research, not the purchase of missing material (</w:t>
            </w:r>
            <w:r w:rsidR="008B2715">
              <w:t xml:space="preserve">maybe </w:t>
            </w:r>
            <w:r>
              <w:t xml:space="preserve">unless it is very </w:t>
            </w:r>
            <w:r w:rsidR="008B2715">
              <w:t>specialized equipment). This fund covers a lot, but there is also a special allocation of the budget dedicated to the maritime environment</w:t>
            </w:r>
            <w:r w:rsidR="009816AC">
              <w:t xml:space="preserve"> (Blue Growth)</w:t>
            </w:r>
            <w:r w:rsidR="008B2715">
              <w:t xml:space="preserve">. </w:t>
            </w:r>
          </w:p>
          <w:p w:rsidR="008B2715" w:rsidRPr="008B2715" w:rsidRDefault="008B2715" w:rsidP="008B2715">
            <w:pPr>
              <w:pStyle w:val="Lijstalinea"/>
              <w:numPr>
                <w:ilvl w:val="0"/>
                <w:numId w:val="26"/>
              </w:numPr>
            </w:pPr>
            <w:r w:rsidRPr="008B2715">
              <w:t>ESF: relevant for</w:t>
            </w:r>
            <w:r w:rsidR="009070AE">
              <w:t xml:space="preserve"> capacity buil</w:t>
            </w:r>
            <w:r w:rsidRPr="008B2715">
              <w:t>ding</w:t>
            </w:r>
            <w:r w:rsidR="009816AC">
              <w:t>. Being one of the Cohesion Policy Funds, the same warning applies concerning the competition between ministries in MS.</w:t>
            </w:r>
          </w:p>
          <w:p w:rsidR="003B3FE3" w:rsidRDefault="003B3FE3" w:rsidP="009070AE">
            <w:pPr>
              <w:ind w:left="360"/>
            </w:pPr>
          </w:p>
          <w:p w:rsidR="008B2715" w:rsidRDefault="008B2715" w:rsidP="009070AE">
            <w:r>
              <w:t xml:space="preserve">There are also other funds, non-EU: </w:t>
            </w:r>
            <w:r w:rsidR="00B36DAC">
              <w:t xml:space="preserve">not the main focus of this support project, but </w:t>
            </w:r>
            <w:r>
              <w:t>also to be considered!</w:t>
            </w:r>
            <w:r w:rsidR="009070AE">
              <w:t xml:space="preserve"> A combination of different funds is also possible. </w:t>
            </w:r>
          </w:p>
          <w:p w:rsidR="003B3FE3" w:rsidRDefault="003B3FE3" w:rsidP="009070AE"/>
          <w:p w:rsidR="005362DA" w:rsidRDefault="008B2715" w:rsidP="005362DA">
            <w:r>
              <w:lastRenderedPageBreak/>
              <w:t>BG presented a spreadsheet with funding opportunities and their timeline, related to the relevant descriptors. This can also be used</w:t>
            </w:r>
            <w:r w:rsidR="00B36DAC">
              <w:t xml:space="preserve"> as a basis </w:t>
            </w:r>
            <w:r w:rsidR="003B3FE3">
              <w:t xml:space="preserve">for a similar exercise </w:t>
            </w:r>
            <w:r>
              <w:t xml:space="preserve">by RO. </w:t>
            </w:r>
          </w:p>
          <w:p w:rsidR="003B3FE3" w:rsidRDefault="003B3FE3" w:rsidP="005362DA"/>
          <w:p w:rsidR="008B2715" w:rsidRDefault="009070AE" w:rsidP="005362DA">
            <w:r>
              <w:t>There are a lot of needs concerning permitting, monitoring, capacity of institutes, drafting the POM.</w:t>
            </w:r>
          </w:p>
          <w:p w:rsidR="003B3FE3" w:rsidRDefault="003B3FE3" w:rsidP="005362DA"/>
          <w:p w:rsidR="003B3FE3" w:rsidRDefault="003B3FE3" w:rsidP="003B3FE3">
            <w:r>
              <w:t>BG &amp; RO state the lack of capacity of the institutes, next to the mandatory issues.</w:t>
            </w:r>
          </w:p>
          <w:p w:rsidR="00B36DAC" w:rsidRDefault="00B36DAC" w:rsidP="005362DA"/>
          <w:p w:rsidR="008B2715" w:rsidRDefault="008B2715" w:rsidP="005362DA">
            <w:r>
              <w:t>A template will be drafted, to provide an overview of the needs.</w:t>
            </w:r>
            <w:r w:rsidR="003B3FE3">
              <w:t xml:space="preserve"> </w:t>
            </w:r>
            <w:r w:rsidR="009070AE">
              <w:t xml:space="preserve">A </w:t>
            </w:r>
            <w:r>
              <w:t xml:space="preserve"> </w:t>
            </w:r>
            <w:r w:rsidR="009070AE">
              <w:t xml:space="preserve">second template will go in further detail into EMFF. </w:t>
            </w:r>
          </w:p>
          <w:p w:rsidR="005362DA" w:rsidRDefault="005362DA" w:rsidP="005362DA"/>
          <w:p w:rsidR="005362DA" w:rsidRDefault="005362DA" w:rsidP="005362DA"/>
        </w:tc>
      </w:tr>
      <w:tr w:rsidR="00FC3FCD" w:rsidTr="004E3003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lastRenderedPageBreak/>
              <w:t>Actions</w:t>
            </w:r>
          </w:p>
        </w:tc>
        <w:tc>
          <w:tcPr>
            <w:tcW w:w="2060" w:type="dxa"/>
            <w:shd w:val="clear" w:color="auto" w:fill="4F81BD" w:themeFill="accent1"/>
          </w:tcPr>
          <w:p w:rsidR="00FC3FCD" w:rsidRPr="004E3003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4E3003">
              <w:rPr>
                <w:color w:val="FFFFFF" w:themeColor="background1"/>
              </w:rPr>
              <w:t>WHO</w:t>
            </w:r>
          </w:p>
        </w:tc>
        <w:tc>
          <w:tcPr>
            <w:tcW w:w="2869" w:type="dxa"/>
            <w:shd w:val="clear" w:color="auto" w:fill="4F81BD" w:themeFill="accent1"/>
          </w:tcPr>
          <w:p w:rsidR="00FC3FCD" w:rsidRPr="004E3003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4E3003">
              <w:rPr>
                <w:color w:val="FFFFFF" w:themeColor="background1"/>
              </w:rPr>
              <w:t>WHAT</w:t>
            </w:r>
          </w:p>
        </w:tc>
        <w:tc>
          <w:tcPr>
            <w:tcW w:w="2422" w:type="dxa"/>
            <w:shd w:val="clear" w:color="auto" w:fill="4F81BD" w:themeFill="accent1"/>
          </w:tcPr>
          <w:p w:rsidR="00FC3FCD" w:rsidRPr="004E3003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4E3003">
              <w:rPr>
                <w:color w:val="FFFFFF" w:themeColor="background1"/>
              </w:rPr>
              <w:t>BY WHEN</w:t>
            </w:r>
          </w:p>
        </w:tc>
      </w:tr>
      <w:tr w:rsidR="00B6376B" w:rsidTr="004E3003">
        <w:tc>
          <w:tcPr>
            <w:tcW w:w="1937" w:type="dxa"/>
          </w:tcPr>
          <w:p w:rsidR="00B6376B" w:rsidRPr="00F95EB0" w:rsidRDefault="00D36DAB" w:rsidP="004679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0" w:type="dxa"/>
          </w:tcPr>
          <w:p w:rsidR="00B6376B" w:rsidRDefault="003B3FE3" w:rsidP="004404B1">
            <w:pPr>
              <w:tabs>
                <w:tab w:val="left" w:pos="1365"/>
              </w:tabs>
            </w:pPr>
            <w:proofErr w:type="spellStart"/>
            <w:r>
              <w:t>Georgi</w:t>
            </w:r>
            <w:proofErr w:type="spellEnd"/>
          </w:p>
        </w:tc>
        <w:tc>
          <w:tcPr>
            <w:tcW w:w="2869" w:type="dxa"/>
          </w:tcPr>
          <w:p w:rsidR="00B6376B" w:rsidRDefault="003B3FE3" w:rsidP="003B3FE3">
            <w:pPr>
              <w:tabs>
                <w:tab w:val="left" w:pos="1365"/>
              </w:tabs>
            </w:pPr>
            <w:r>
              <w:t>Exchange of presented spreadsheet funding opportunities BG</w:t>
            </w:r>
          </w:p>
        </w:tc>
        <w:tc>
          <w:tcPr>
            <w:tcW w:w="2422" w:type="dxa"/>
          </w:tcPr>
          <w:p w:rsidR="00B6376B" w:rsidRDefault="00D75AF3" w:rsidP="003B3FE3">
            <w:pPr>
              <w:tabs>
                <w:tab w:val="left" w:pos="1365"/>
              </w:tabs>
            </w:pPr>
            <w:r>
              <w:t>1</w:t>
            </w:r>
            <w:r w:rsidR="003B3FE3">
              <w:t>0</w:t>
            </w:r>
            <w:r>
              <w:t>/04/2014</w:t>
            </w:r>
          </w:p>
        </w:tc>
      </w:tr>
      <w:tr w:rsidR="003B3FE3" w:rsidTr="004E3003">
        <w:tc>
          <w:tcPr>
            <w:tcW w:w="1937" w:type="dxa"/>
          </w:tcPr>
          <w:p w:rsidR="003B3FE3" w:rsidRPr="00F95EB0" w:rsidRDefault="003B3FE3" w:rsidP="0046790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0" w:type="dxa"/>
          </w:tcPr>
          <w:p w:rsidR="003B3FE3" w:rsidRDefault="003B3FE3" w:rsidP="00FC3123">
            <w:pPr>
              <w:tabs>
                <w:tab w:val="left" w:pos="1365"/>
              </w:tabs>
            </w:pPr>
            <w:r>
              <w:t>ARC BE</w:t>
            </w:r>
          </w:p>
        </w:tc>
        <w:tc>
          <w:tcPr>
            <w:tcW w:w="2869" w:type="dxa"/>
          </w:tcPr>
          <w:p w:rsidR="003B3FE3" w:rsidRDefault="003B3FE3" w:rsidP="00FC3123">
            <w:pPr>
              <w:tabs>
                <w:tab w:val="left" w:pos="1365"/>
              </w:tabs>
            </w:pPr>
            <w:r>
              <w:t>Template action plan (needs)</w:t>
            </w:r>
          </w:p>
        </w:tc>
        <w:tc>
          <w:tcPr>
            <w:tcW w:w="2422" w:type="dxa"/>
          </w:tcPr>
          <w:p w:rsidR="003B3FE3" w:rsidRDefault="003B3FE3" w:rsidP="00FC3123">
            <w:pPr>
              <w:tabs>
                <w:tab w:val="left" w:pos="1365"/>
              </w:tabs>
            </w:pPr>
            <w:r>
              <w:t>15/04/2014</w:t>
            </w:r>
          </w:p>
        </w:tc>
      </w:tr>
      <w:tr w:rsidR="003B3FE3" w:rsidTr="004E3003">
        <w:tc>
          <w:tcPr>
            <w:tcW w:w="1937" w:type="dxa"/>
          </w:tcPr>
          <w:p w:rsidR="003B3FE3" w:rsidRPr="00F95EB0" w:rsidRDefault="003B3FE3" w:rsidP="0046790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0" w:type="dxa"/>
          </w:tcPr>
          <w:p w:rsidR="003B3FE3" w:rsidRDefault="003B3FE3" w:rsidP="00FC3123">
            <w:pPr>
              <w:tabs>
                <w:tab w:val="left" w:pos="1365"/>
              </w:tabs>
            </w:pPr>
            <w:r>
              <w:t>ARC NL</w:t>
            </w:r>
          </w:p>
        </w:tc>
        <w:tc>
          <w:tcPr>
            <w:tcW w:w="2869" w:type="dxa"/>
          </w:tcPr>
          <w:p w:rsidR="003B3FE3" w:rsidRDefault="003B3FE3" w:rsidP="00FC3123">
            <w:pPr>
              <w:tabs>
                <w:tab w:val="left" w:pos="1365"/>
              </w:tabs>
            </w:pPr>
            <w:r>
              <w:t>Template structuring funding  (in general) + detailed template EMFF funding</w:t>
            </w:r>
          </w:p>
        </w:tc>
        <w:tc>
          <w:tcPr>
            <w:tcW w:w="2422" w:type="dxa"/>
          </w:tcPr>
          <w:p w:rsidR="003B3FE3" w:rsidRDefault="003B3FE3" w:rsidP="00FC3123">
            <w:pPr>
              <w:tabs>
                <w:tab w:val="left" w:pos="1365"/>
              </w:tabs>
            </w:pPr>
            <w:r>
              <w:t>15/04/2014</w:t>
            </w:r>
          </w:p>
        </w:tc>
      </w:tr>
      <w:tr w:rsidR="004E3003" w:rsidTr="004E3003">
        <w:tc>
          <w:tcPr>
            <w:tcW w:w="1937" w:type="dxa"/>
          </w:tcPr>
          <w:p w:rsidR="004E3003" w:rsidRPr="00F95EB0" w:rsidRDefault="00D36DAB" w:rsidP="004679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0" w:type="dxa"/>
          </w:tcPr>
          <w:p w:rsidR="004E3003" w:rsidRDefault="004404B1" w:rsidP="00467902">
            <w:pPr>
              <w:tabs>
                <w:tab w:val="left" w:pos="1365"/>
              </w:tabs>
            </w:pPr>
            <w:r>
              <w:t>NFCP</w:t>
            </w:r>
          </w:p>
        </w:tc>
        <w:tc>
          <w:tcPr>
            <w:tcW w:w="2869" w:type="dxa"/>
          </w:tcPr>
          <w:p w:rsidR="004E3003" w:rsidRPr="00B6376B" w:rsidRDefault="004404B1" w:rsidP="00467902">
            <w:pPr>
              <w:tabs>
                <w:tab w:val="left" w:pos="1365"/>
              </w:tabs>
            </w:pPr>
            <w:r>
              <w:t>Overview current status of funding used in the operational plans (based on template</w:t>
            </w:r>
            <w:r w:rsidR="00D75AF3">
              <w:t>s</w:t>
            </w:r>
            <w:r>
              <w:t xml:space="preserve"> provided by ARC NL)</w:t>
            </w:r>
          </w:p>
        </w:tc>
        <w:tc>
          <w:tcPr>
            <w:tcW w:w="2422" w:type="dxa"/>
          </w:tcPr>
          <w:p w:rsidR="004E3003" w:rsidRDefault="00D75AF3" w:rsidP="00D75AF3">
            <w:pPr>
              <w:tabs>
                <w:tab w:val="left" w:pos="1365"/>
              </w:tabs>
            </w:pPr>
            <w:r>
              <w:t>15/05/2014</w:t>
            </w:r>
          </w:p>
        </w:tc>
      </w:tr>
      <w:tr w:rsidR="00D27C12" w:rsidTr="004E3003">
        <w:tc>
          <w:tcPr>
            <w:tcW w:w="1937" w:type="dxa"/>
          </w:tcPr>
          <w:p w:rsidR="00D27C12" w:rsidRPr="00F95EB0" w:rsidRDefault="00D27C12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D27C12" w:rsidRDefault="00D27C12" w:rsidP="00467902">
            <w:pPr>
              <w:tabs>
                <w:tab w:val="left" w:pos="1365"/>
              </w:tabs>
            </w:pPr>
          </w:p>
        </w:tc>
        <w:tc>
          <w:tcPr>
            <w:tcW w:w="2869" w:type="dxa"/>
          </w:tcPr>
          <w:p w:rsidR="00D27C12" w:rsidRPr="004E3003" w:rsidRDefault="00D27C12" w:rsidP="00467902">
            <w:pPr>
              <w:tabs>
                <w:tab w:val="left" w:pos="1365"/>
              </w:tabs>
            </w:pPr>
          </w:p>
        </w:tc>
        <w:tc>
          <w:tcPr>
            <w:tcW w:w="2422" w:type="dxa"/>
          </w:tcPr>
          <w:p w:rsidR="00D27C12" w:rsidRDefault="00D27C12" w:rsidP="00467902">
            <w:pPr>
              <w:tabs>
                <w:tab w:val="left" w:pos="1365"/>
              </w:tabs>
            </w:pPr>
          </w:p>
        </w:tc>
      </w:tr>
      <w:tr w:rsidR="00D27C12" w:rsidTr="0003312A">
        <w:tc>
          <w:tcPr>
            <w:tcW w:w="1937" w:type="dxa"/>
          </w:tcPr>
          <w:p w:rsidR="00D27C12" w:rsidRPr="00F95EB0" w:rsidRDefault="00D27C12" w:rsidP="00467902">
            <w:pPr>
              <w:rPr>
                <w:b/>
              </w:rPr>
            </w:pPr>
            <w:r w:rsidRPr="00F95EB0">
              <w:rPr>
                <w:b/>
              </w:rPr>
              <w:t>Follow-up events/activities related to CBE</w:t>
            </w:r>
          </w:p>
        </w:tc>
        <w:tc>
          <w:tcPr>
            <w:tcW w:w="7351" w:type="dxa"/>
            <w:gridSpan w:val="3"/>
          </w:tcPr>
          <w:p w:rsidR="00D27C12" w:rsidRDefault="003B3FE3" w:rsidP="003B3FE3">
            <w:pPr>
              <w:pStyle w:val="Lijstalinea"/>
              <w:numPr>
                <w:ilvl w:val="0"/>
                <w:numId w:val="24"/>
              </w:numPr>
            </w:pPr>
            <w:r>
              <w:t xml:space="preserve">Operational </w:t>
            </w:r>
            <w:proofErr w:type="spellStart"/>
            <w:r>
              <w:t>programmes</w:t>
            </w:r>
            <w:proofErr w:type="spellEnd"/>
            <w:r>
              <w:t xml:space="preserve"> to </w:t>
            </w:r>
            <w:proofErr w:type="spellStart"/>
            <w:r>
              <w:t>finalise</w:t>
            </w:r>
            <w:proofErr w:type="spellEnd"/>
            <w:r>
              <w:t xml:space="preserve"> by the BG &amp; RO authorities (outside scope project)</w:t>
            </w:r>
          </w:p>
          <w:p w:rsidR="003D3E5F" w:rsidRDefault="003D3E5F" w:rsidP="003B3FE3">
            <w:pPr>
              <w:pStyle w:val="Lijstalinea"/>
              <w:numPr>
                <w:ilvl w:val="0"/>
                <w:numId w:val="24"/>
              </w:numPr>
            </w:pPr>
            <w:r>
              <w:t>CBE: Draft work plan needs (to be linked to financing)</w:t>
            </w:r>
            <w:bookmarkStart w:id="0" w:name="_GoBack"/>
            <w:bookmarkEnd w:id="0"/>
          </w:p>
        </w:tc>
      </w:tr>
      <w:tr w:rsidR="00D27C12" w:rsidTr="0003312A">
        <w:tc>
          <w:tcPr>
            <w:tcW w:w="1937" w:type="dxa"/>
          </w:tcPr>
          <w:p w:rsidR="00D27C12" w:rsidRPr="00F95EB0" w:rsidRDefault="00D27C12" w:rsidP="00467902">
            <w:pPr>
              <w:rPr>
                <w:b/>
              </w:rPr>
            </w:pPr>
            <w:r w:rsidRPr="00F95EB0">
              <w:rPr>
                <w:b/>
              </w:rPr>
              <w:t>Annex</w:t>
            </w:r>
          </w:p>
        </w:tc>
        <w:tc>
          <w:tcPr>
            <w:tcW w:w="7351" w:type="dxa"/>
            <w:gridSpan w:val="3"/>
          </w:tcPr>
          <w:p w:rsidR="00D27C12" w:rsidRPr="00D75AF3" w:rsidRDefault="00CA71E2" w:rsidP="00D75AF3">
            <w:pPr>
              <w:rPr>
                <w:color w:val="4F81BD" w:themeColor="accent1"/>
              </w:rPr>
            </w:pPr>
            <w:r w:rsidRPr="00D75AF3">
              <w:rPr>
                <w:color w:val="4F81BD" w:themeColor="accent1"/>
              </w:rPr>
              <w:t xml:space="preserve">PREP: </w:t>
            </w:r>
            <w:r w:rsidR="00D75AF3" w:rsidRPr="00D75AF3">
              <w:rPr>
                <w:color w:val="4F81BD" w:themeColor="accent1"/>
              </w:rPr>
              <w:t>EMFF background doc</w:t>
            </w:r>
          </w:p>
        </w:tc>
      </w:tr>
      <w:tr w:rsidR="00D27C12" w:rsidTr="0003312A">
        <w:tc>
          <w:tcPr>
            <w:tcW w:w="1937" w:type="dxa"/>
          </w:tcPr>
          <w:p w:rsidR="00D27C12" w:rsidRDefault="00D27C12" w:rsidP="00467902"/>
        </w:tc>
        <w:tc>
          <w:tcPr>
            <w:tcW w:w="7351" w:type="dxa"/>
            <w:gridSpan w:val="3"/>
          </w:tcPr>
          <w:p w:rsidR="00D27C12" w:rsidRPr="003B6DEF" w:rsidRDefault="003B6DEF" w:rsidP="00763E3B">
            <w:pPr>
              <w:rPr>
                <w:color w:val="4F81BD" w:themeColor="accent1"/>
              </w:rPr>
            </w:pPr>
            <w:r w:rsidRPr="003B6DEF">
              <w:rPr>
                <w:color w:val="4F81BD" w:themeColor="accent1"/>
              </w:rPr>
              <w:t xml:space="preserve">PRES: </w:t>
            </w:r>
            <w:r w:rsidR="00763E3B" w:rsidRPr="00763E3B">
              <w:rPr>
                <w:color w:val="4F81BD" w:themeColor="accent1"/>
              </w:rPr>
              <w:t>Funding opportunities</w:t>
            </w:r>
          </w:p>
        </w:tc>
      </w:tr>
      <w:tr w:rsidR="00D75AF3" w:rsidTr="0003312A">
        <w:tc>
          <w:tcPr>
            <w:tcW w:w="1937" w:type="dxa"/>
          </w:tcPr>
          <w:p w:rsidR="00D75AF3" w:rsidRDefault="00D75AF3" w:rsidP="00467902"/>
        </w:tc>
        <w:tc>
          <w:tcPr>
            <w:tcW w:w="7351" w:type="dxa"/>
            <w:gridSpan w:val="3"/>
          </w:tcPr>
          <w:p w:rsidR="00D75AF3" w:rsidRPr="003B6DEF" w:rsidRDefault="00D75AF3" w:rsidP="00763E3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RES: Funding scan Black Sea countries</w:t>
            </w:r>
          </w:p>
        </w:tc>
      </w:tr>
    </w:tbl>
    <w:p w:rsidR="00A97C72" w:rsidRPr="00A1556E" w:rsidRDefault="00A97C72" w:rsidP="00A97C72"/>
    <w:sectPr w:rsidR="00A97C72" w:rsidRPr="00A1556E" w:rsidSect="00A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F4A3F"/>
    <w:multiLevelType w:val="hybridMultilevel"/>
    <w:tmpl w:val="E54879DE"/>
    <w:lvl w:ilvl="0" w:tplc="4F0AA35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3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6A6D54"/>
    <w:multiLevelType w:val="hybridMultilevel"/>
    <w:tmpl w:val="4B845A4C"/>
    <w:lvl w:ilvl="0" w:tplc="3D4C0E9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7">
    <w:nsid w:val="332B2DBE"/>
    <w:multiLevelType w:val="hybridMultilevel"/>
    <w:tmpl w:val="B34CEEB6"/>
    <w:lvl w:ilvl="0" w:tplc="FD1CDE1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9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4"/>
  </w:num>
  <w:num w:numId="20">
    <w:abstractNumId w:val="11"/>
  </w:num>
  <w:num w:numId="21">
    <w:abstractNumId w:val="10"/>
  </w:num>
  <w:num w:numId="22">
    <w:abstractNumId w:val="15"/>
  </w:num>
  <w:num w:numId="23">
    <w:abstractNumId w:val="3"/>
  </w:num>
  <w:num w:numId="24">
    <w:abstractNumId w:val="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46C0"/>
    <w:rsid w:val="00031D0D"/>
    <w:rsid w:val="0003312A"/>
    <w:rsid w:val="00054C49"/>
    <w:rsid w:val="00055943"/>
    <w:rsid w:val="00057853"/>
    <w:rsid w:val="00091DE3"/>
    <w:rsid w:val="000B66CE"/>
    <w:rsid w:val="000F5040"/>
    <w:rsid w:val="00107314"/>
    <w:rsid w:val="00123DEE"/>
    <w:rsid w:val="00131F50"/>
    <w:rsid w:val="00132CFC"/>
    <w:rsid w:val="00145374"/>
    <w:rsid w:val="00146F52"/>
    <w:rsid w:val="001F659A"/>
    <w:rsid w:val="00224C0E"/>
    <w:rsid w:val="0023061B"/>
    <w:rsid w:val="00232317"/>
    <w:rsid w:val="002820B0"/>
    <w:rsid w:val="00282FAB"/>
    <w:rsid w:val="002C1328"/>
    <w:rsid w:val="002C6352"/>
    <w:rsid w:val="002D0F69"/>
    <w:rsid w:val="002E67F5"/>
    <w:rsid w:val="002F0338"/>
    <w:rsid w:val="0032332B"/>
    <w:rsid w:val="003657F0"/>
    <w:rsid w:val="00367024"/>
    <w:rsid w:val="00371CC9"/>
    <w:rsid w:val="003B1C24"/>
    <w:rsid w:val="003B3FE3"/>
    <w:rsid w:val="003B6DEF"/>
    <w:rsid w:val="003B7434"/>
    <w:rsid w:val="003C7E4E"/>
    <w:rsid w:val="003D3810"/>
    <w:rsid w:val="003D3E5F"/>
    <w:rsid w:val="003E62D6"/>
    <w:rsid w:val="003F08D6"/>
    <w:rsid w:val="004019F0"/>
    <w:rsid w:val="00402909"/>
    <w:rsid w:val="00422A5F"/>
    <w:rsid w:val="004404B1"/>
    <w:rsid w:val="00440C8E"/>
    <w:rsid w:val="00440FCE"/>
    <w:rsid w:val="004538E3"/>
    <w:rsid w:val="00464CE4"/>
    <w:rsid w:val="00466EF2"/>
    <w:rsid w:val="004913C6"/>
    <w:rsid w:val="004A0FC4"/>
    <w:rsid w:val="004B0CC4"/>
    <w:rsid w:val="004E3003"/>
    <w:rsid w:val="004E38B1"/>
    <w:rsid w:val="004F0D8E"/>
    <w:rsid w:val="00506899"/>
    <w:rsid w:val="00525D79"/>
    <w:rsid w:val="005354F9"/>
    <w:rsid w:val="005362DA"/>
    <w:rsid w:val="00542FAE"/>
    <w:rsid w:val="005821F0"/>
    <w:rsid w:val="005926CC"/>
    <w:rsid w:val="00593501"/>
    <w:rsid w:val="005A2841"/>
    <w:rsid w:val="005A5EFE"/>
    <w:rsid w:val="005B29E4"/>
    <w:rsid w:val="005C6447"/>
    <w:rsid w:val="005E00D6"/>
    <w:rsid w:val="00601481"/>
    <w:rsid w:val="006036E7"/>
    <w:rsid w:val="00640ADA"/>
    <w:rsid w:val="00646A28"/>
    <w:rsid w:val="00691FFC"/>
    <w:rsid w:val="00696E94"/>
    <w:rsid w:val="006A1A2A"/>
    <w:rsid w:val="006C6A77"/>
    <w:rsid w:val="006E7421"/>
    <w:rsid w:val="006F1951"/>
    <w:rsid w:val="0071133F"/>
    <w:rsid w:val="00712774"/>
    <w:rsid w:val="00730870"/>
    <w:rsid w:val="0073671C"/>
    <w:rsid w:val="0074052B"/>
    <w:rsid w:val="00742FF8"/>
    <w:rsid w:val="00753039"/>
    <w:rsid w:val="00763E3B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95CDF"/>
    <w:rsid w:val="008A5618"/>
    <w:rsid w:val="008A6538"/>
    <w:rsid w:val="008B2715"/>
    <w:rsid w:val="008B78B8"/>
    <w:rsid w:val="008F787D"/>
    <w:rsid w:val="00900B0C"/>
    <w:rsid w:val="009070AE"/>
    <w:rsid w:val="00940BE1"/>
    <w:rsid w:val="00945925"/>
    <w:rsid w:val="009816AC"/>
    <w:rsid w:val="009A149C"/>
    <w:rsid w:val="009A5391"/>
    <w:rsid w:val="009C0242"/>
    <w:rsid w:val="009D5146"/>
    <w:rsid w:val="009D754B"/>
    <w:rsid w:val="009E1FF7"/>
    <w:rsid w:val="009E5A96"/>
    <w:rsid w:val="009F1F92"/>
    <w:rsid w:val="009F4EA9"/>
    <w:rsid w:val="00A01673"/>
    <w:rsid w:val="00A020B3"/>
    <w:rsid w:val="00A1556E"/>
    <w:rsid w:val="00A41AD1"/>
    <w:rsid w:val="00A94805"/>
    <w:rsid w:val="00A97C72"/>
    <w:rsid w:val="00AA0728"/>
    <w:rsid w:val="00AC3FDD"/>
    <w:rsid w:val="00AD4D3A"/>
    <w:rsid w:val="00B0343E"/>
    <w:rsid w:val="00B0487F"/>
    <w:rsid w:val="00B32A8A"/>
    <w:rsid w:val="00B36DAC"/>
    <w:rsid w:val="00B618F0"/>
    <w:rsid w:val="00B6376B"/>
    <w:rsid w:val="00B76C0A"/>
    <w:rsid w:val="00BC6E71"/>
    <w:rsid w:val="00BD49B9"/>
    <w:rsid w:val="00BE5F6F"/>
    <w:rsid w:val="00C12E90"/>
    <w:rsid w:val="00C165C3"/>
    <w:rsid w:val="00C33FAC"/>
    <w:rsid w:val="00C40E5C"/>
    <w:rsid w:val="00C532E8"/>
    <w:rsid w:val="00C67B06"/>
    <w:rsid w:val="00C771E7"/>
    <w:rsid w:val="00CA2B0E"/>
    <w:rsid w:val="00CA71E2"/>
    <w:rsid w:val="00CC2277"/>
    <w:rsid w:val="00CC29ED"/>
    <w:rsid w:val="00CC3B0B"/>
    <w:rsid w:val="00CD38D4"/>
    <w:rsid w:val="00CE68B5"/>
    <w:rsid w:val="00D27C12"/>
    <w:rsid w:val="00D31228"/>
    <w:rsid w:val="00D328E7"/>
    <w:rsid w:val="00D36DAB"/>
    <w:rsid w:val="00D462A6"/>
    <w:rsid w:val="00D65A2A"/>
    <w:rsid w:val="00D75AF3"/>
    <w:rsid w:val="00D760F4"/>
    <w:rsid w:val="00D87C48"/>
    <w:rsid w:val="00D95D49"/>
    <w:rsid w:val="00DA6BA1"/>
    <w:rsid w:val="00DC01EF"/>
    <w:rsid w:val="00DC6654"/>
    <w:rsid w:val="00DC7BD4"/>
    <w:rsid w:val="00DC7E05"/>
    <w:rsid w:val="00E008F5"/>
    <w:rsid w:val="00E0505D"/>
    <w:rsid w:val="00E14D6D"/>
    <w:rsid w:val="00E400C4"/>
    <w:rsid w:val="00E43945"/>
    <w:rsid w:val="00E779BF"/>
    <w:rsid w:val="00E850FB"/>
    <w:rsid w:val="00E8560C"/>
    <w:rsid w:val="00EA7A90"/>
    <w:rsid w:val="00EB2BB9"/>
    <w:rsid w:val="00EB325E"/>
    <w:rsid w:val="00ED5138"/>
    <w:rsid w:val="00EE6013"/>
    <w:rsid w:val="00EF5350"/>
    <w:rsid w:val="00F023E9"/>
    <w:rsid w:val="00F06742"/>
    <w:rsid w:val="00F43B9A"/>
    <w:rsid w:val="00F46B1B"/>
    <w:rsid w:val="00F642E9"/>
    <w:rsid w:val="00F741E6"/>
    <w:rsid w:val="00F85260"/>
    <w:rsid w:val="00F86B04"/>
    <w:rsid w:val="00FC3FCD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6D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6D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6D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6D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6D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6D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6D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6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EF6B11-EB2F-4564-9A59-AD3215F3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4</cp:revision>
  <dcterms:created xsi:type="dcterms:W3CDTF">2014-04-03T09:11:00Z</dcterms:created>
  <dcterms:modified xsi:type="dcterms:W3CDTF">2014-04-03T09:12:00Z</dcterms:modified>
</cp:coreProperties>
</file>