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80" w:rsidRPr="000138F8" w:rsidRDefault="000138F8" w:rsidP="000138F8">
      <w:pPr>
        <w:pStyle w:val="Titel"/>
        <w:rPr>
          <w:sz w:val="32"/>
          <w:szCs w:val="32"/>
          <w:lang w:val="en-US"/>
        </w:rPr>
      </w:pPr>
      <w:r w:rsidRPr="000138F8">
        <w:rPr>
          <w:sz w:val="32"/>
          <w:szCs w:val="32"/>
          <w:lang w:val="en-US"/>
        </w:rPr>
        <w:t xml:space="preserve">Annex 9: </w:t>
      </w:r>
      <w:r w:rsidR="00895E74" w:rsidRPr="000138F8">
        <w:rPr>
          <w:sz w:val="32"/>
          <w:szCs w:val="32"/>
          <w:lang w:val="en-US"/>
        </w:rPr>
        <w:t>GUIDELINES FOR CAPACITY BUILDING EVENTS</w:t>
      </w:r>
      <w:r w:rsidR="00093205" w:rsidRPr="000138F8">
        <w:rPr>
          <w:sz w:val="32"/>
          <w:szCs w:val="32"/>
          <w:lang w:val="en-US"/>
        </w:rPr>
        <w:t xml:space="preserve"> (CBEs)</w:t>
      </w:r>
      <w:r w:rsidR="00895E74" w:rsidRPr="000138F8">
        <w:rPr>
          <w:sz w:val="32"/>
          <w:szCs w:val="32"/>
          <w:lang w:val="en-US"/>
        </w:rPr>
        <w:t xml:space="preserve"> AND STEERING GROUP </w:t>
      </w:r>
      <w:r w:rsidR="00093205" w:rsidRPr="000138F8">
        <w:rPr>
          <w:sz w:val="32"/>
          <w:szCs w:val="32"/>
          <w:lang w:val="en-US"/>
        </w:rPr>
        <w:t xml:space="preserve">MEETINGS </w:t>
      </w:r>
      <w:r>
        <w:rPr>
          <w:sz w:val="32"/>
          <w:szCs w:val="32"/>
          <w:lang w:val="en-US"/>
        </w:rPr>
        <w:t>O</w:t>
      </w:r>
      <w:r w:rsidR="00895E74" w:rsidRPr="000138F8">
        <w:rPr>
          <w:sz w:val="32"/>
          <w:szCs w:val="32"/>
          <w:lang w:val="en-US"/>
        </w:rPr>
        <w:t>RGANISATION</w:t>
      </w:r>
    </w:p>
    <w:p w:rsidR="00DE5980" w:rsidRPr="00D277F6" w:rsidRDefault="00DE5980" w:rsidP="00DE5980">
      <w:pPr>
        <w:pStyle w:val="ARCADISStandaard"/>
        <w:spacing w:before="0" w:after="0" w:line="240" w:lineRule="auto"/>
        <w:ind w:left="0"/>
        <w:rPr>
          <w:rFonts w:cs="Arial"/>
          <w:b/>
          <w:color w:val="4F81BD" w:themeColor="accent1"/>
          <w:szCs w:val="20"/>
          <w:lang w:val="en-US"/>
        </w:rPr>
      </w:pPr>
    </w:p>
    <w:p w:rsidR="00DE5980" w:rsidRPr="000C746D" w:rsidRDefault="000C746D" w:rsidP="00DE5980">
      <w:pPr>
        <w:spacing w:before="0" w:after="0" w:line="240" w:lineRule="auto"/>
        <w:rPr>
          <w:rFonts w:cs="Arial"/>
          <w:szCs w:val="20"/>
          <w:lang w:val="en-US"/>
        </w:rPr>
      </w:pPr>
      <w:r w:rsidRPr="00D67168">
        <w:rPr>
          <w:szCs w:val="24"/>
          <w:lang w:val="en-GB"/>
        </w:rPr>
        <w:t xml:space="preserve">referred to hereafter as the "the </w:t>
      </w:r>
      <w:r w:rsidR="0048545B">
        <w:rPr>
          <w:szCs w:val="24"/>
          <w:lang w:val="en-GB"/>
        </w:rPr>
        <w:t>Letter of commitment</w:t>
      </w:r>
      <w:r w:rsidRPr="00D67168">
        <w:rPr>
          <w:szCs w:val="24"/>
          <w:lang w:val="en-GB"/>
        </w:rPr>
        <w:t>",</w:t>
      </w:r>
    </w:p>
    <w:p w:rsidR="00DE5980" w:rsidRPr="000C746D" w:rsidRDefault="00DE5980" w:rsidP="00DE5980">
      <w:pPr>
        <w:spacing w:before="0" w:after="0" w:line="240" w:lineRule="auto"/>
        <w:rPr>
          <w:rFonts w:cs="Arial"/>
          <w:szCs w:val="20"/>
          <w:lang w:val="en-US"/>
        </w:rPr>
      </w:pPr>
    </w:p>
    <w:p w:rsidR="00DE5980" w:rsidRPr="000C746D" w:rsidRDefault="00DE5980" w:rsidP="00DE5980">
      <w:pPr>
        <w:spacing w:before="0" w:after="0" w:line="240" w:lineRule="auto"/>
        <w:jc w:val="both"/>
        <w:rPr>
          <w:rFonts w:cs="Arial"/>
          <w:szCs w:val="20"/>
          <w:lang w:val="en-US"/>
        </w:rPr>
      </w:pPr>
    </w:p>
    <w:p w:rsidR="000C746D" w:rsidRPr="00065151" w:rsidRDefault="000C746D" w:rsidP="000C746D">
      <w:pPr>
        <w:spacing w:before="0" w:after="0" w:line="240" w:lineRule="auto"/>
        <w:jc w:val="both"/>
        <w:rPr>
          <w:szCs w:val="24"/>
          <w:lang w:val="en-US"/>
        </w:rPr>
      </w:pPr>
      <w:r w:rsidRPr="00D67168">
        <w:rPr>
          <w:szCs w:val="24"/>
          <w:lang w:val="en-GB"/>
        </w:rPr>
        <w:t>BETWEEN THE UNDERSIGNED,</w:t>
      </w:r>
    </w:p>
    <w:p w:rsidR="000C746D" w:rsidRPr="00065151" w:rsidRDefault="000C746D" w:rsidP="000C746D">
      <w:pPr>
        <w:spacing w:before="0" w:after="0" w:line="240" w:lineRule="auto"/>
        <w:jc w:val="both"/>
        <w:rPr>
          <w:szCs w:val="24"/>
          <w:lang w:val="en-US"/>
        </w:rPr>
      </w:pPr>
    </w:p>
    <w:p w:rsidR="000C746D" w:rsidRPr="00F941FC" w:rsidRDefault="00F51B5D" w:rsidP="000C746D">
      <w:pPr>
        <w:spacing w:before="0" w:after="0" w:line="240" w:lineRule="auto"/>
        <w:jc w:val="both"/>
        <w:rPr>
          <w:szCs w:val="24"/>
          <w:lang w:val="en-US"/>
        </w:rPr>
      </w:pPr>
      <w:r>
        <w:rPr>
          <w:b/>
          <w:szCs w:val="24"/>
          <w:lang w:val="en-GB"/>
        </w:rPr>
        <w:t xml:space="preserve">The project team, led by </w:t>
      </w:r>
      <w:r w:rsidR="000C746D" w:rsidRPr="00D67168">
        <w:rPr>
          <w:b/>
          <w:szCs w:val="24"/>
          <w:lang w:val="en-GB"/>
        </w:rPr>
        <w:t xml:space="preserve">ARCADIS Belgium </w:t>
      </w:r>
      <w:proofErr w:type="spellStart"/>
      <w:r w:rsidR="000C746D" w:rsidRPr="00D67168">
        <w:rPr>
          <w:b/>
          <w:szCs w:val="24"/>
          <w:lang w:val="en-GB"/>
        </w:rPr>
        <w:t>nv</w:t>
      </w:r>
      <w:proofErr w:type="spellEnd"/>
      <w:r w:rsidR="000C746D" w:rsidRPr="00D67168">
        <w:rPr>
          <w:szCs w:val="24"/>
          <w:lang w:val="en-GB"/>
        </w:rPr>
        <w:t xml:space="preserve">, which has its registered office at </w:t>
      </w:r>
      <w:proofErr w:type="spellStart"/>
      <w:r w:rsidR="000C746D" w:rsidRPr="00D67168">
        <w:rPr>
          <w:szCs w:val="24"/>
          <w:lang w:val="en-GB"/>
        </w:rPr>
        <w:t>Koningsstraat</w:t>
      </w:r>
      <w:proofErr w:type="spellEnd"/>
      <w:r w:rsidR="000C746D" w:rsidRPr="00D67168">
        <w:rPr>
          <w:szCs w:val="24"/>
          <w:lang w:val="en-GB"/>
        </w:rPr>
        <w:t xml:space="preserve"> 80, 1000 BRUSSELS and on whose behalf </w:t>
      </w:r>
      <w:r w:rsidR="0048545B">
        <w:rPr>
          <w:szCs w:val="24"/>
          <w:lang w:val="en-GB"/>
        </w:rPr>
        <w:t>Ms Annemie Volckaert (project manager) and Mr Wouter Rommens (</w:t>
      </w:r>
      <w:proofErr w:type="spellStart"/>
      <w:r w:rsidR="0048545B">
        <w:rPr>
          <w:szCs w:val="24"/>
          <w:lang w:val="en-GB"/>
        </w:rPr>
        <w:t>deputee</w:t>
      </w:r>
      <w:proofErr w:type="spellEnd"/>
      <w:r w:rsidR="0048545B">
        <w:rPr>
          <w:szCs w:val="24"/>
          <w:lang w:val="en-GB"/>
        </w:rPr>
        <w:t xml:space="preserve"> </w:t>
      </w:r>
      <w:r w:rsidR="004268B5">
        <w:rPr>
          <w:szCs w:val="24"/>
          <w:lang w:val="en-GB"/>
        </w:rPr>
        <w:t>project</w:t>
      </w:r>
      <w:r w:rsidR="0048545B">
        <w:rPr>
          <w:szCs w:val="24"/>
          <w:lang w:val="en-GB"/>
        </w:rPr>
        <w:t xml:space="preserve"> manager), are</w:t>
      </w:r>
      <w:r w:rsidR="000C746D" w:rsidRPr="00D67168">
        <w:rPr>
          <w:szCs w:val="24"/>
          <w:lang w:val="en-GB"/>
        </w:rPr>
        <w:t xml:space="preserve"> acting,</w:t>
      </w:r>
      <w:r w:rsidR="000C746D" w:rsidRPr="00F941FC">
        <w:rPr>
          <w:szCs w:val="24"/>
          <w:lang w:val="en-US"/>
        </w:rPr>
        <w:t xml:space="preserve"> </w:t>
      </w:r>
    </w:p>
    <w:p w:rsidR="000C746D" w:rsidRPr="00F941FC" w:rsidRDefault="000C746D" w:rsidP="000C746D">
      <w:pPr>
        <w:spacing w:before="0" w:after="0" w:line="240" w:lineRule="auto"/>
        <w:jc w:val="both"/>
        <w:rPr>
          <w:szCs w:val="24"/>
          <w:lang w:val="en-US"/>
        </w:rPr>
      </w:pPr>
    </w:p>
    <w:p w:rsidR="000C746D" w:rsidRPr="00F941FC" w:rsidRDefault="000C746D" w:rsidP="000C746D">
      <w:pPr>
        <w:spacing w:before="0" w:after="0" w:line="240" w:lineRule="auto"/>
        <w:jc w:val="both"/>
        <w:rPr>
          <w:szCs w:val="24"/>
          <w:lang w:val="en-US"/>
        </w:rPr>
      </w:pPr>
      <w:bookmarkStart w:id="0" w:name="Text12"/>
      <w:r w:rsidRPr="00D67168">
        <w:rPr>
          <w:szCs w:val="24"/>
          <w:lang w:val="en-GB"/>
        </w:rPr>
        <w:t xml:space="preserve">referred to hereafter as </w:t>
      </w:r>
      <w:r w:rsidR="00F51B5D">
        <w:rPr>
          <w:b/>
          <w:i/>
          <w:szCs w:val="24"/>
          <w:lang w:val="en-GB"/>
        </w:rPr>
        <w:t>“the contractor</w:t>
      </w:r>
      <w:r w:rsidRPr="00D67168">
        <w:rPr>
          <w:b/>
          <w:i/>
          <w:szCs w:val="24"/>
          <w:lang w:val="en-GB"/>
        </w:rPr>
        <w:t>”;</w:t>
      </w:r>
    </w:p>
    <w:bookmarkEnd w:id="0"/>
    <w:p w:rsidR="000C746D" w:rsidRPr="00F941FC" w:rsidRDefault="000C746D" w:rsidP="000C746D">
      <w:pPr>
        <w:spacing w:before="0" w:after="0" w:line="240" w:lineRule="auto"/>
        <w:jc w:val="both"/>
        <w:rPr>
          <w:szCs w:val="24"/>
          <w:lang w:val="en-US"/>
        </w:rPr>
      </w:pPr>
    </w:p>
    <w:p w:rsidR="000C746D" w:rsidRPr="000C746D" w:rsidRDefault="000C746D" w:rsidP="000C746D">
      <w:pPr>
        <w:spacing w:before="0" w:after="0" w:line="240" w:lineRule="auto"/>
        <w:jc w:val="both"/>
        <w:rPr>
          <w:szCs w:val="24"/>
          <w:lang w:val="en-US"/>
        </w:rPr>
      </w:pPr>
      <w:r w:rsidRPr="00D67168">
        <w:rPr>
          <w:szCs w:val="24"/>
          <w:lang w:val="en-GB"/>
        </w:rPr>
        <w:t>and</w:t>
      </w:r>
    </w:p>
    <w:p w:rsidR="000C746D" w:rsidRPr="000C746D" w:rsidRDefault="000C746D" w:rsidP="000C746D">
      <w:pPr>
        <w:spacing w:before="0" w:after="0" w:line="240" w:lineRule="auto"/>
        <w:jc w:val="both"/>
        <w:rPr>
          <w:szCs w:val="24"/>
          <w:lang w:val="en-US"/>
        </w:rPr>
      </w:pPr>
    </w:p>
    <w:p w:rsidR="0048545B" w:rsidRPr="0048545B" w:rsidRDefault="0048545B" w:rsidP="000C746D">
      <w:pPr>
        <w:spacing w:before="0" w:after="0" w:line="240" w:lineRule="auto"/>
        <w:jc w:val="both"/>
        <w:rPr>
          <w:szCs w:val="24"/>
          <w:lang w:val="en-US"/>
        </w:rPr>
      </w:pPr>
      <w:bookmarkStart w:id="1" w:name="firmanaam"/>
      <w:bookmarkStart w:id="2" w:name="Text13"/>
      <w:bookmarkStart w:id="3" w:name="Text14"/>
      <w:bookmarkStart w:id="4" w:name="Text15"/>
      <w:bookmarkStart w:id="5" w:name="Text16"/>
      <w:bookmarkStart w:id="6" w:name="Text17"/>
      <w:r>
        <w:rPr>
          <w:szCs w:val="24"/>
          <w:lang w:val="en-US"/>
        </w:rPr>
        <w:t>Romanian</w:t>
      </w:r>
      <w:r w:rsidRPr="0048545B">
        <w:rPr>
          <w:szCs w:val="24"/>
          <w:lang w:val="en-US"/>
        </w:rPr>
        <w:t xml:space="preserve"> authorities</w:t>
      </w:r>
      <w:r>
        <w:rPr>
          <w:szCs w:val="24"/>
          <w:lang w:val="en-US"/>
        </w:rPr>
        <w:t xml:space="preserve"> on whose behalf </w:t>
      </w:r>
      <w:proofErr w:type="spellStart"/>
      <w:r w:rsidR="00A7568C">
        <w:rPr>
          <w:szCs w:val="24"/>
          <w:lang w:val="en-US"/>
        </w:rPr>
        <w:t>Ms</w:t>
      </w:r>
      <w:proofErr w:type="spellEnd"/>
      <w:r w:rsidR="00A7568C">
        <w:rPr>
          <w:szCs w:val="24"/>
          <w:lang w:val="en-US"/>
        </w:rPr>
        <w:t xml:space="preserve"> </w:t>
      </w:r>
      <w:proofErr w:type="spellStart"/>
      <w:r w:rsidR="00A7568C">
        <w:rPr>
          <w:szCs w:val="24"/>
          <w:lang w:val="en-US"/>
        </w:rPr>
        <w:t>Otilia</w:t>
      </w:r>
      <w:proofErr w:type="spellEnd"/>
      <w:r w:rsidR="00A7568C">
        <w:rPr>
          <w:szCs w:val="24"/>
          <w:lang w:val="en-US"/>
        </w:rPr>
        <w:t xml:space="preserve"> </w:t>
      </w:r>
      <w:proofErr w:type="spellStart"/>
      <w:r w:rsidR="00A7568C">
        <w:rPr>
          <w:szCs w:val="24"/>
          <w:lang w:val="en-US"/>
        </w:rPr>
        <w:t>Mihail</w:t>
      </w:r>
      <w:proofErr w:type="spellEnd"/>
      <w:r w:rsidR="00A7568C">
        <w:rPr>
          <w:szCs w:val="24"/>
          <w:lang w:val="en-US"/>
        </w:rPr>
        <w:t xml:space="preserve">, the Romanian </w:t>
      </w:r>
      <w:r w:rsidR="00D37637" w:rsidRPr="00D37637">
        <w:rPr>
          <w:szCs w:val="24"/>
          <w:lang w:val="en-US"/>
        </w:rPr>
        <w:t>National Focal Contact Point</w:t>
      </w:r>
      <w:r w:rsidR="00A7568C">
        <w:rPr>
          <w:szCs w:val="24"/>
          <w:lang w:val="en-US"/>
        </w:rPr>
        <w:t xml:space="preserve">, is </w:t>
      </w:r>
      <w:r w:rsidR="00BE11A4">
        <w:rPr>
          <w:szCs w:val="24"/>
          <w:lang w:val="en-US"/>
        </w:rPr>
        <w:t>acting.</w:t>
      </w:r>
    </w:p>
    <w:p w:rsidR="000C746D" w:rsidRPr="0048545B" w:rsidRDefault="0048545B" w:rsidP="000C746D">
      <w:pPr>
        <w:spacing w:before="0" w:after="0" w:line="240" w:lineRule="auto"/>
        <w:jc w:val="both"/>
        <w:rPr>
          <w:szCs w:val="24"/>
          <w:lang w:val="en-US"/>
        </w:rPr>
      </w:pPr>
      <w:r>
        <w:rPr>
          <w:szCs w:val="24"/>
          <w:lang w:val="en-US"/>
        </w:rPr>
        <w:t>Bulgarian</w:t>
      </w:r>
      <w:r w:rsidRPr="0048545B">
        <w:rPr>
          <w:szCs w:val="24"/>
          <w:lang w:val="en-US"/>
        </w:rPr>
        <w:t xml:space="preserve"> authorities</w:t>
      </w:r>
      <w:r w:rsidR="000C746D" w:rsidRPr="0048545B">
        <w:rPr>
          <w:szCs w:val="24"/>
          <w:lang w:val="en-GB"/>
        </w:rPr>
        <w:t>,</w:t>
      </w:r>
      <w:r w:rsidR="000C746D" w:rsidRPr="0048545B">
        <w:rPr>
          <w:szCs w:val="24"/>
          <w:lang w:val="en-US"/>
        </w:rPr>
        <w:t xml:space="preserve"> </w:t>
      </w:r>
      <w:r w:rsidRPr="0048545B">
        <w:rPr>
          <w:szCs w:val="24"/>
          <w:lang w:val="en-US"/>
        </w:rPr>
        <w:t xml:space="preserve">on whose behalf </w:t>
      </w:r>
      <w:proofErr w:type="spellStart"/>
      <w:r w:rsidR="00A35CE5" w:rsidRPr="00A35CE5">
        <w:rPr>
          <w:szCs w:val="24"/>
          <w:lang w:val="en-US"/>
        </w:rPr>
        <w:t>Mr</w:t>
      </w:r>
      <w:proofErr w:type="spellEnd"/>
      <w:r w:rsidR="00A35CE5" w:rsidRPr="00A35CE5">
        <w:rPr>
          <w:szCs w:val="24"/>
          <w:lang w:val="en-US"/>
        </w:rPr>
        <w:t xml:space="preserve"> </w:t>
      </w:r>
      <w:proofErr w:type="spellStart"/>
      <w:r w:rsidR="00A35CE5" w:rsidRPr="00A35CE5">
        <w:rPr>
          <w:szCs w:val="24"/>
          <w:lang w:val="en-US"/>
        </w:rPr>
        <w:t>Yavor</w:t>
      </w:r>
      <w:proofErr w:type="spellEnd"/>
      <w:r w:rsidR="00A35CE5" w:rsidRPr="00A35CE5">
        <w:rPr>
          <w:szCs w:val="24"/>
          <w:lang w:val="en-US"/>
        </w:rPr>
        <w:t xml:space="preserve"> </w:t>
      </w:r>
      <w:proofErr w:type="spellStart"/>
      <w:r w:rsidR="00A35CE5" w:rsidRPr="00A35CE5">
        <w:rPr>
          <w:szCs w:val="24"/>
          <w:lang w:val="en-US"/>
        </w:rPr>
        <w:t>Dimitrov</w:t>
      </w:r>
      <w:proofErr w:type="spellEnd"/>
      <w:r w:rsidR="00A7568C">
        <w:rPr>
          <w:szCs w:val="24"/>
          <w:lang w:val="en-US"/>
        </w:rPr>
        <w:t>,</w:t>
      </w:r>
      <w:r w:rsidR="00BE11A4">
        <w:rPr>
          <w:szCs w:val="24"/>
          <w:lang w:val="en-US"/>
        </w:rPr>
        <w:t xml:space="preserve"> the Bulgarian </w:t>
      </w:r>
      <w:r w:rsidR="00D37637" w:rsidRPr="00D37637">
        <w:rPr>
          <w:szCs w:val="24"/>
          <w:lang w:val="en-US"/>
        </w:rPr>
        <w:t>National Focal Contact Point</w:t>
      </w:r>
      <w:r w:rsidR="00BE11A4">
        <w:rPr>
          <w:szCs w:val="24"/>
          <w:lang w:val="en-US"/>
        </w:rPr>
        <w:t>, is acting.</w:t>
      </w:r>
    </w:p>
    <w:bookmarkEnd w:id="1"/>
    <w:bookmarkEnd w:id="2"/>
    <w:bookmarkEnd w:id="3"/>
    <w:bookmarkEnd w:id="4"/>
    <w:bookmarkEnd w:id="5"/>
    <w:bookmarkEnd w:id="6"/>
    <w:p w:rsidR="000C746D" w:rsidRPr="00F941FC" w:rsidRDefault="000C746D" w:rsidP="000C746D">
      <w:pPr>
        <w:spacing w:before="0" w:after="0" w:line="240" w:lineRule="auto"/>
        <w:jc w:val="both"/>
        <w:rPr>
          <w:szCs w:val="24"/>
          <w:lang w:val="en-US"/>
        </w:rPr>
      </w:pPr>
    </w:p>
    <w:p w:rsidR="000C746D" w:rsidRPr="00F941FC" w:rsidRDefault="000C746D" w:rsidP="000C746D">
      <w:pPr>
        <w:spacing w:before="0" w:after="0" w:line="240" w:lineRule="auto"/>
        <w:jc w:val="both"/>
        <w:rPr>
          <w:szCs w:val="24"/>
          <w:lang w:val="en-US"/>
        </w:rPr>
      </w:pPr>
      <w:r w:rsidRPr="00D67168">
        <w:rPr>
          <w:szCs w:val="24"/>
          <w:lang w:val="en-GB"/>
        </w:rPr>
        <w:t xml:space="preserve">referred to hereafter as </w:t>
      </w:r>
      <w:r w:rsidR="0048545B">
        <w:rPr>
          <w:b/>
          <w:i/>
          <w:szCs w:val="24"/>
          <w:lang w:val="en-GB"/>
        </w:rPr>
        <w:t xml:space="preserve">“the </w:t>
      </w:r>
      <w:r w:rsidR="00A35CE5">
        <w:rPr>
          <w:b/>
          <w:i/>
          <w:szCs w:val="24"/>
          <w:lang w:val="en-GB"/>
        </w:rPr>
        <w:t>National</w:t>
      </w:r>
      <w:r w:rsidR="00D37637" w:rsidRPr="00D37637">
        <w:rPr>
          <w:b/>
          <w:i/>
          <w:szCs w:val="24"/>
          <w:lang w:val="en-GB"/>
        </w:rPr>
        <w:t xml:space="preserve"> Focal Contact Point</w:t>
      </w:r>
      <w:r w:rsidRPr="00D67168">
        <w:rPr>
          <w:b/>
          <w:i/>
          <w:szCs w:val="24"/>
          <w:lang w:val="en-GB"/>
        </w:rPr>
        <w:t>”;</w:t>
      </w:r>
    </w:p>
    <w:p w:rsidR="000C746D" w:rsidRPr="00F941FC" w:rsidRDefault="000C746D" w:rsidP="000C746D">
      <w:pPr>
        <w:spacing w:before="0" w:after="0" w:line="240" w:lineRule="auto"/>
        <w:jc w:val="both"/>
        <w:rPr>
          <w:szCs w:val="24"/>
          <w:lang w:val="en-US"/>
        </w:rPr>
      </w:pPr>
    </w:p>
    <w:p w:rsidR="00DE5980" w:rsidRPr="00FC7202" w:rsidRDefault="000C746D" w:rsidP="00DE5980">
      <w:pPr>
        <w:pStyle w:val="Lijstalinea"/>
        <w:numPr>
          <w:ilvl w:val="0"/>
          <w:numId w:val="27"/>
        </w:numPr>
        <w:rPr>
          <w:color w:val="4F81BD" w:themeColor="accent1"/>
        </w:rPr>
      </w:pPr>
      <w:r>
        <w:rPr>
          <w:color w:val="4F81BD" w:themeColor="accent1"/>
        </w:rPr>
        <w:t>OBJECT OF THE AGREEMENT</w:t>
      </w:r>
    </w:p>
    <w:p w:rsidR="00DE5980" w:rsidRPr="00B2787F" w:rsidRDefault="00DE5980" w:rsidP="00DE5980">
      <w:pPr>
        <w:spacing w:before="0" w:after="0" w:line="240" w:lineRule="auto"/>
        <w:ind w:left="360"/>
        <w:jc w:val="both"/>
        <w:rPr>
          <w:rFonts w:cs="Arial"/>
          <w:szCs w:val="20"/>
        </w:rPr>
      </w:pPr>
    </w:p>
    <w:p w:rsidR="00DE5980" w:rsidRPr="0048545B" w:rsidRDefault="0048545B" w:rsidP="00DE5980">
      <w:pPr>
        <w:numPr>
          <w:ilvl w:val="0"/>
          <w:numId w:val="24"/>
        </w:numPr>
        <w:spacing w:before="0" w:after="0" w:line="240" w:lineRule="auto"/>
        <w:jc w:val="both"/>
        <w:rPr>
          <w:rFonts w:cs="Arial"/>
          <w:szCs w:val="20"/>
          <w:lang w:val="en-US"/>
        </w:rPr>
      </w:pPr>
      <w:r w:rsidRPr="0048545B">
        <w:rPr>
          <w:rFonts w:cs="Arial"/>
          <w:szCs w:val="20"/>
          <w:lang w:val="en-US"/>
        </w:rPr>
        <w:t xml:space="preserve">The </w:t>
      </w:r>
      <w:r w:rsidR="00DE5980" w:rsidRPr="0048545B">
        <w:rPr>
          <w:rFonts w:cs="Arial"/>
          <w:szCs w:val="20"/>
          <w:lang w:val="en-US"/>
        </w:rPr>
        <w:t>Project:</w:t>
      </w:r>
      <w:r>
        <w:rPr>
          <w:rFonts w:cs="Arial"/>
          <w:szCs w:val="20"/>
          <w:lang w:val="en-US"/>
        </w:rPr>
        <w:t xml:space="preserve"> </w:t>
      </w:r>
      <w:r w:rsidRPr="0048545B">
        <w:rPr>
          <w:rFonts w:cs="Arial"/>
          <w:szCs w:val="20"/>
          <w:lang w:val="en-US"/>
        </w:rPr>
        <w:t>”Technical and administrative support for the joint implementation of the Marine Strategy Framework Directive (MSFD) in Bulgaria and Romania”</w:t>
      </w:r>
      <w:r>
        <w:rPr>
          <w:rFonts w:cs="Arial"/>
          <w:szCs w:val="20"/>
          <w:lang w:val="en-US"/>
        </w:rPr>
        <w:t xml:space="preserve">. </w:t>
      </w:r>
    </w:p>
    <w:p w:rsidR="00DE5980" w:rsidRPr="00D91A77" w:rsidRDefault="00D91A77" w:rsidP="00DE5980">
      <w:pPr>
        <w:spacing w:before="0" w:after="0" w:line="240" w:lineRule="auto"/>
        <w:ind w:left="360"/>
        <w:jc w:val="both"/>
        <w:rPr>
          <w:rFonts w:cs="Arial"/>
          <w:szCs w:val="20"/>
          <w:lang w:val="en-US"/>
        </w:rPr>
      </w:pPr>
      <w:r>
        <w:rPr>
          <w:rFonts w:cs="Arial"/>
          <w:szCs w:val="20"/>
          <w:lang w:val="en-US"/>
        </w:rPr>
        <w:t>referred to as</w:t>
      </w:r>
      <w:r w:rsidR="00DE5980" w:rsidRPr="00D91A77">
        <w:rPr>
          <w:rFonts w:cs="Arial"/>
          <w:szCs w:val="20"/>
          <w:lang w:val="en-US"/>
        </w:rPr>
        <w:t xml:space="preserve"> </w:t>
      </w:r>
      <w:r w:rsidR="00DE5980" w:rsidRPr="00D91A77">
        <w:rPr>
          <w:rFonts w:cs="Arial"/>
          <w:b/>
          <w:i/>
          <w:szCs w:val="20"/>
          <w:lang w:val="en-US"/>
        </w:rPr>
        <w:t>“Project”</w:t>
      </w:r>
      <w:r w:rsidR="00DE5980" w:rsidRPr="00D91A77">
        <w:rPr>
          <w:rFonts w:cs="Arial"/>
          <w:szCs w:val="20"/>
          <w:lang w:val="en-US"/>
        </w:rPr>
        <w:t>.</w:t>
      </w:r>
    </w:p>
    <w:p w:rsidR="00DE5980" w:rsidRPr="00D91A77" w:rsidRDefault="00DE5980" w:rsidP="00DE5980">
      <w:pPr>
        <w:spacing w:before="0" w:after="0" w:line="240" w:lineRule="auto"/>
        <w:jc w:val="both"/>
        <w:rPr>
          <w:rFonts w:cs="Arial"/>
          <w:szCs w:val="20"/>
          <w:lang w:val="en-US"/>
        </w:rPr>
      </w:pPr>
    </w:p>
    <w:p w:rsidR="008C58AE" w:rsidRPr="008C58AE" w:rsidRDefault="00D91A77" w:rsidP="00D91A77">
      <w:pPr>
        <w:numPr>
          <w:ilvl w:val="0"/>
          <w:numId w:val="24"/>
        </w:numPr>
        <w:spacing w:before="0" w:after="0" w:line="240" w:lineRule="auto"/>
        <w:jc w:val="both"/>
        <w:rPr>
          <w:rFonts w:cs="Arial"/>
          <w:szCs w:val="20"/>
          <w:lang w:val="en-US"/>
        </w:rPr>
      </w:pPr>
      <w:r w:rsidRPr="00D67168">
        <w:rPr>
          <w:szCs w:val="24"/>
          <w:lang w:val="en-GB"/>
        </w:rPr>
        <w:t xml:space="preserve">The </w:t>
      </w:r>
      <w:r w:rsidR="00892156">
        <w:rPr>
          <w:szCs w:val="24"/>
          <w:lang w:val="en-GB"/>
        </w:rPr>
        <w:t>Project</w:t>
      </w:r>
      <w:r w:rsidRPr="00D67168">
        <w:rPr>
          <w:szCs w:val="24"/>
          <w:lang w:val="en-GB"/>
        </w:rPr>
        <w:t xml:space="preserve"> consists of the following services </w:t>
      </w:r>
      <w:r w:rsidR="00892156">
        <w:rPr>
          <w:szCs w:val="24"/>
          <w:lang w:val="en-GB"/>
        </w:rPr>
        <w:t>and</w:t>
      </w:r>
      <w:r w:rsidR="0048545B">
        <w:rPr>
          <w:szCs w:val="24"/>
          <w:lang w:val="en-GB"/>
        </w:rPr>
        <w:t xml:space="preserve"> runs in 3</w:t>
      </w:r>
      <w:r w:rsidR="008C58AE">
        <w:rPr>
          <w:szCs w:val="24"/>
          <w:lang w:val="en-GB"/>
        </w:rPr>
        <w:t xml:space="preserve"> phases:</w:t>
      </w:r>
    </w:p>
    <w:p w:rsidR="00DE5980" w:rsidRPr="008C58AE" w:rsidRDefault="0048545B" w:rsidP="008C58AE">
      <w:pPr>
        <w:numPr>
          <w:ilvl w:val="1"/>
          <w:numId w:val="24"/>
        </w:numPr>
        <w:spacing w:before="0" w:after="0" w:line="240" w:lineRule="auto"/>
        <w:jc w:val="both"/>
        <w:rPr>
          <w:rFonts w:cs="Arial"/>
          <w:szCs w:val="20"/>
          <w:lang w:val="en-US"/>
        </w:rPr>
      </w:pPr>
      <w:r>
        <w:rPr>
          <w:rFonts w:cs="Arial"/>
          <w:szCs w:val="20"/>
          <w:lang w:val="en-US"/>
        </w:rPr>
        <w:t>Building the information basis</w:t>
      </w:r>
    </w:p>
    <w:p w:rsidR="008C58AE" w:rsidRDefault="0048545B" w:rsidP="008C58AE">
      <w:pPr>
        <w:numPr>
          <w:ilvl w:val="1"/>
          <w:numId w:val="24"/>
        </w:numPr>
        <w:spacing w:before="0" w:after="0" w:line="240" w:lineRule="auto"/>
        <w:jc w:val="both"/>
        <w:rPr>
          <w:rFonts w:cs="Arial"/>
          <w:szCs w:val="20"/>
          <w:lang w:val="en-US"/>
        </w:rPr>
      </w:pPr>
      <w:r>
        <w:rPr>
          <w:rFonts w:cs="Arial"/>
          <w:szCs w:val="20"/>
          <w:lang w:val="en-US"/>
        </w:rPr>
        <w:t xml:space="preserve">Capacity building </w:t>
      </w:r>
      <w:r w:rsidR="004268B5">
        <w:rPr>
          <w:rFonts w:cs="Arial"/>
          <w:szCs w:val="20"/>
          <w:lang w:val="en-US"/>
        </w:rPr>
        <w:t>events</w:t>
      </w:r>
    </w:p>
    <w:p w:rsidR="0048545B" w:rsidRPr="00D91A77" w:rsidRDefault="0048545B" w:rsidP="008C58AE">
      <w:pPr>
        <w:numPr>
          <w:ilvl w:val="1"/>
          <w:numId w:val="24"/>
        </w:numPr>
        <w:spacing w:before="0" w:after="0" w:line="240" w:lineRule="auto"/>
        <w:jc w:val="both"/>
        <w:rPr>
          <w:rFonts w:cs="Arial"/>
          <w:szCs w:val="20"/>
          <w:lang w:val="en-US"/>
        </w:rPr>
      </w:pPr>
      <w:r>
        <w:rPr>
          <w:rFonts w:cs="Arial"/>
          <w:szCs w:val="20"/>
          <w:lang w:val="en-US"/>
        </w:rPr>
        <w:t>Promote coordination within the Black Sea Marin</w:t>
      </w:r>
      <w:r w:rsidR="00892156">
        <w:rPr>
          <w:rFonts w:cs="Arial"/>
          <w:szCs w:val="20"/>
          <w:lang w:val="en-US"/>
        </w:rPr>
        <w:t>e</w:t>
      </w:r>
      <w:r>
        <w:rPr>
          <w:rFonts w:cs="Arial"/>
          <w:szCs w:val="20"/>
          <w:lang w:val="en-US"/>
        </w:rPr>
        <w:t xml:space="preserve"> region and with other marine regions</w:t>
      </w:r>
    </w:p>
    <w:p w:rsidR="00DE5980" w:rsidRPr="00D91A77" w:rsidRDefault="00DE5980" w:rsidP="00DE5980">
      <w:pPr>
        <w:spacing w:before="0" w:after="0" w:line="240" w:lineRule="auto"/>
        <w:ind w:left="360"/>
        <w:jc w:val="both"/>
        <w:rPr>
          <w:rFonts w:cs="Arial"/>
          <w:szCs w:val="20"/>
          <w:lang w:val="en-US"/>
        </w:rPr>
      </w:pPr>
    </w:p>
    <w:p w:rsidR="00D91A77" w:rsidRPr="008C58AE" w:rsidRDefault="00D91A77" w:rsidP="00D91A77">
      <w:pPr>
        <w:numPr>
          <w:ilvl w:val="0"/>
          <w:numId w:val="24"/>
        </w:numPr>
        <w:spacing w:before="0" w:after="0" w:line="240" w:lineRule="auto"/>
        <w:jc w:val="both"/>
        <w:rPr>
          <w:szCs w:val="24"/>
          <w:lang w:val="en-US"/>
        </w:rPr>
      </w:pPr>
      <w:bookmarkStart w:id="7" w:name="Text18"/>
      <w:r w:rsidRPr="00D67168">
        <w:rPr>
          <w:szCs w:val="24"/>
          <w:lang w:val="en-GB"/>
        </w:rPr>
        <w:t>The End Customer is:</w:t>
      </w:r>
    </w:p>
    <w:bookmarkEnd w:id="7"/>
    <w:p w:rsidR="00DE5980" w:rsidRPr="00D91A77" w:rsidRDefault="00D91A77" w:rsidP="00D91A77">
      <w:pPr>
        <w:spacing w:before="0" w:after="0" w:line="240" w:lineRule="auto"/>
        <w:ind w:left="360"/>
        <w:jc w:val="both"/>
        <w:rPr>
          <w:rFonts w:cs="Arial"/>
          <w:szCs w:val="20"/>
          <w:lang w:val="en-US"/>
        </w:rPr>
      </w:pPr>
      <w:r w:rsidRPr="00556EF9">
        <w:rPr>
          <w:szCs w:val="24"/>
          <w:lang w:val="en-US"/>
        </w:rPr>
        <w:t>European Commission DG Environment</w:t>
      </w:r>
      <w:r w:rsidRPr="00F941FC">
        <w:rPr>
          <w:szCs w:val="24"/>
          <w:lang w:val="en-US"/>
        </w:rPr>
        <w:t xml:space="preserve"> (</w:t>
      </w:r>
      <w:r w:rsidR="0048545B">
        <w:rPr>
          <w:szCs w:val="24"/>
          <w:lang w:val="en-US"/>
        </w:rPr>
        <w:t>Unit SRD.2, BU 9 01/95</w:t>
      </w:r>
      <w:r w:rsidRPr="00556EF9">
        <w:rPr>
          <w:szCs w:val="24"/>
          <w:lang w:val="en-US"/>
        </w:rPr>
        <w:t xml:space="preserve">, </w:t>
      </w:r>
      <w:r w:rsidR="0048545B">
        <w:rPr>
          <w:szCs w:val="24"/>
          <w:lang w:val="en-US"/>
        </w:rPr>
        <w:t>B-</w:t>
      </w:r>
      <w:r w:rsidRPr="00556EF9">
        <w:rPr>
          <w:szCs w:val="24"/>
          <w:lang w:val="en-US"/>
        </w:rPr>
        <w:t>1049 Brussels</w:t>
      </w:r>
      <w:r w:rsidRPr="00D67168">
        <w:rPr>
          <w:szCs w:val="24"/>
          <w:lang w:val="en-GB"/>
        </w:rPr>
        <w:t>), referred to hereafter as</w:t>
      </w:r>
      <w:r w:rsidRPr="00892156">
        <w:rPr>
          <w:b/>
          <w:szCs w:val="24"/>
          <w:lang w:val="en-GB"/>
        </w:rPr>
        <w:t xml:space="preserve"> “</w:t>
      </w:r>
      <w:r w:rsidR="00892156" w:rsidRPr="00892156">
        <w:rPr>
          <w:b/>
          <w:szCs w:val="24"/>
          <w:lang w:val="en-GB"/>
        </w:rPr>
        <w:t>the Client</w:t>
      </w:r>
      <w:r w:rsidRPr="00892156">
        <w:rPr>
          <w:b/>
          <w:szCs w:val="24"/>
          <w:lang w:val="en-GB"/>
        </w:rPr>
        <w:t>”</w:t>
      </w:r>
    </w:p>
    <w:p w:rsidR="00DE5980" w:rsidRPr="00D91A77" w:rsidRDefault="00DE5980" w:rsidP="00DE5980">
      <w:pPr>
        <w:spacing w:before="0" w:after="0" w:line="240" w:lineRule="auto"/>
        <w:ind w:left="360"/>
        <w:jc w:val="both"/>
        <w:rPr>
          <w:rFonts w:cs="Arial"/>
          <w:szCs w:val="20"/>
          <w:lang w:val="en-US"/>
        </w:rPr>
      </w:pPr>
    </w:p>
    <w:p w:rsidR="00DE5980" w:rsidRDefault="008C58AE" w:rsidP="00DE5980">
      <w:pPr>
        <w:pStyle w:val="Lijstalinea"/>
        <w:numPr>
          <w:ilvl w:val="0"/>
          <w:numId w:val="27"/>
        </w:numPr>
        <w:rPr>
          <w:color w:val="4F81BD" w:themeColor="accent1"/>
        </w:rPr>
      </w:pPr>
      <w:r>
        <w:rPr>
          <w:color w:val="4F81BD" w:themeColor="accent1"/>
        </w:rPr>
        <w:t>TERMS</w:t>
      </w:r>
    </w:p>
    <w:p w:rsidR="00DE5980" w:rsidRPr="00FC7202" w:rsidRDefault="00DE5980" w:rsidP="00DE5980">
      <w:pPr>
        <w:pStyle w:val="Lijstalinea"/>
        <w:rPr>
          <w:color w:val="4F81BD" w:themeColor="accent1"/>
        </w:rPr>
      </w:pPr>
    </w:p>
    <w:p w:rsidR="008C58AE" w:rsidRPr="00F941FC" w:rsidRDefault="008C58AE" w:rsidP="008C58AE">
      <w:pPr>
        <w:spacing w:before="0" w:after="0" w:line="240" w:lineRule="auto"/>
        <w:jc w:val="both"/>
        <w:rPr>
          <w:szCs w:val="24"/>
          <w:lang w:val="en-US"/>
        </w:rPr>
      </w:pPr>
      <w:r w:rsidRPr="00D67168">
        <w:rPr>
          <w:szCs w:val="24"/>
          <w:lang w:val="en-GB"/>
        </w:rPr>
        <w:t xml:space="preserve">This Agreement comes into effect on the date on which it is signed and remains effective until the </w:t>
      </w:r>
      <w:r w:rsidR="006B0F09">
        <w:rPr>
          <w:szCs w:val="24"/>
          <w:lang w:val="en-GB"/>
        </w:rPr>
        <w:t>Project</w:t>
      </w:r>
      <w:r w:rsidRPr="00D67168">
        <w:rPr>
          <w:szCs w:val="24"/>
          <w:lang w:val="en-GB"/>
        </w:rPr>
        <w:t xml:space="preserve"> has been realised.</w:t>
      </w:r>
    </w:p>
    <w:p w:rsidR="00DE5980" w:rsidRPr="008C58AE" w:rsidRDefault="00DE5980" w:rsidP="00DE5980">
      <w:pPr>
        <w:rPr>
          <w:lang w:val="en-US"/>
        </w:rPr>
      </w:pPr>
    </w:p>
    <w:p w:rsidR="008E565B" w:rsidRPr="003D63FD" w:rsidRDefault="008E565B" w:rsidP="00DE5980">
      <w:pPr>
        <w:pStyle w:val="Lijstalinea"/>
        <w:numPr>
          <w:ilvl w:val="0"/>
          <w:numId w:val="27"/>
        </w:numPr>
        <w:rPr>
          <w:color w:val="4F81BD" w:themeColor="accent1"/>
          <w:lang w:val="en-US"/>
        </w:rPr>
      </w:pPr>
      <w:r w:rsidRPr="003D63FD">
        <w:rPr>
          <w:color w:val="4F81BD" w:themeColor="accent1"/>
          <w:lang w:val="en-US"/>
        </w:rPr>
        <w:t>CONTEXT/SCOPE OF THE WORK</w:t>
      </w:r>
    </w:p>
    <w:p w:rsidR="008E565B" w:rsidRPr="003D63FD" w:rsidRDefault="008E565B" w:rsidP="008E565B">
      <w:pPr>
        <w:rPr>
          <w:color w:val="4F81BD" w:themeColor="accent1"/>
          <w:lang w:val="en-US"/>
        </w:rPr>
      </w:pPr>
    </w:p>
    <w:p w:rsidR="0031020A" w:rsidRDefault="0031020A" w:rsidP="008E565B">
      <w:pPr>
        <w:rPr>
          <w:rFonts w:eastAsia="Times New Roman" w:cs="Times New Roman"/>
          <w:szCs w:val="24"/>
          <w:lang w:val="en-GB" w:eastAsia="nl-NL"/>
        </w:rPr>
      </w:pPr>
      <w:r>
        <w:rPr>
          <w:rFonts w:eastAsia="Times New Roman" w:cs="Times New Roman"/>
          <w:szCs w:val="24"/>
          <w:lang w:val="en-GB" w:eastAsia="nl-NL"/>
        </w:rPr>
        <w:t>The general objectives of the project are to provide technical and administrative support for:</w:t>
      </w:r>
    </w:p>
    <w:p w:rsidR="0031020A" w:rsidRDefault="0031020A" w:rsidP="003D63FD">
      <w:pPr>
        <w:pStyle w:val="Lijstalinea"/>
        <w:numPr>
          <w:ilvl w:val="0"/>
          <w:numId w:val="36"/>
        </w:numPr>
        <w:rPr>
          <w:rFonts w:eastAsia="Times New Roman" w:cs="Times New Roman"/>
          <w:szCs w:val="24"/>
          <w:lang w:val="en-GB" w:eastAsia="nl-NL"/>
        </w:rPr>
      </w:pPr>
      <w:r>
        <w:rPr>
          <w:rFonts w:eastAsia="Times New Roman" w:cs="Times New Roman"/>
          <w:szCs w:val="24"/>
          <w:lang w:val="en-GB" w:eastAsia="nl-NL"/>
        </w:rPr>
        <w:t>Building the information basis for a more coherent and comparable joint implementation of the MSFD in Bulgaria and Romania.</w:t>
      </w:r>
    </w:p>
    <w:p w:rsidR="0031020A" w:rsidRDefault="0031020A" w:rsidP="003D63FD">
      <w:pPr>
        <w:pStyle w:val="Lijstalinea"/>
        <w:numPr>
          <w:ilvl w:val="0"/>
          <w:numId w:val="36"/>
        </w:numPr>
        <w:rPr>
          <w:rFonts w:eastAsia="Times New Roman" w:cs="Times New Roman"/>
          <w:szCs w:val="24"/>
          <w:lang w:val="en-GB" w:eastAsia="nl-NL"/>
        </w:rPr>
      </w:pPr>
      <w:r>
        <w:rPr>
          <w:rFonts w:eastAsia="Times New Roman" w:cs="Times New Roman"/>
          <w:szCs w:val="24"/>
          <w:lang w:val="en-GB" w:eastAsia="nl-NL"/>
        </w:rPr>
        <w:t>Capacity building in the region with the view of strengthening the administrative and technical capabilities in Bulgaria and Romania for joint MSFD implementation, and</w:t>
      </w:r>
    </w:p>
    <w:p w:rsidR="008E565B" w:rsidRDefault="0031020A" w:rsidP="0031020A">
      <w:pPr>
        <w:pStyle w:val="Lijstalinea"/>
        <w:numPr>
          <w:ilvl w:val="0"/>
          <w:numId w:val="36"/>
        </w:numPr>
        <w:rPr>
          <w:rFonts w:eastAsia="Times New Roman" w:cs="Times New Roman"/>
          <w:szCs w:val="24"/>
          <w:lang w:val="en-GB" w:eastAsia="nl-NL"/>
        </w:rPr>
      </w:pPr>
      <w:r>
        <w:rPr>
          <w:rFonts w:eastAsia="Times New Roman" w:cs="Times New Roman"/>
          <w:szCs w:val="24"/>
          <w:lang w:val="en-GB" w:eastAsia="nl-NL"/>
        </w:rPr>
        <w:lastRenderedPageBreak/>
        <w:t>Promoting coordination activities within the Black Sea marine region and with other marine regions.</w:t>
      </w:r>
      <w:r w:rsidRPr="0031020A">
        <w:rPr>
          <w:rFonts w:eastAsia="Times New Roman" w:cs="Times New Roman"/>
          <w:szCs w:val="24"/>
          <w:lang w:val="en-GB" w:eastAsia="nl-NL"/>
        </w:rPr>
        <w:t xml:space="preserve"> </w:t>
      </w:r>
    </w:p>
    <w:p w:rsidR="001004D6" w:rsidRPr="001004D6" w:rsidRDefault="001004D6" w:rsidP="001004D6">
      <w:pPr>
        <w:ind w:left="360"/>
        <w:rPr>
          <w:rFonts w:eastAsia="Times New Roman" w:cs="Times New Roman"/>
          <w:szCs w:val="24"/>
          <w:lang w:val="en-GB" w:eastAsia="nl-NL"/>
        </w:rPr>
      </w:pPr>
    </w:p>
    <w:p w:rsidR="0031020A" w:rsidRDefault="005C6800" w:rsidP="0031020A">
      <w:pPr>
        <w:ind w:left="360"/>
        <w:rPr>
          <w:rFonts w:eastAsia="Times New Roman" w:cs="Times New Roman"/>
          <w:szCs w:val="24"/>
          <w:lang w:val="en-GB" w:eastAsia="nl-NL"/>
        </w:rPr>
      </w:pPr>
      <w:r>
        <w:rPr>
          <w:rFonts w:eastAsia="Times New Roman" w:cs="Times New Roman"/>
          <w:szCs w:val="24"/>
          <w:lang w:val="en-GB" w:eastAsia="nl-NL"/>
        </w:rPr>
        <w:t xml:space="preserve">The project is of collaborative nature, and will build on optimal collaboration between the contractors team and the </w:t>
      </w:r>
      <w:r w:rsidR="00D37637" w:rsidRPr="00D37637">
        <w:rPr>
          <w:rFonts w:eastAsia="Times New Roman" w:cs="Times New Roman"/>
          <w:szCs w:val="24"/>
          <w:lang w:val="en-GB" w:eastAsia="nl-NL"/>
        </w:rPr>
        <w:t>National Focal Contact Point</w:t>
      </w:r>
      <w:r>
        <w:rPr>
          <w:rFonts w:eastAsia="Times New Roman" w:cs="Times New Roman"/>
          <w:szCs w:val="24"/>
          <w:lang w:val="en-GB" w:eastAsia="nl-NL"/>
        </w:rPr>
        <w:t>s and RO/BG experts involved.</w:t>
      </w:r>
      <w:r w:rsidR="00535266">
        <w:rPr>
          <w:rFonts w:eastAsia="Times New Roman" w:cs="Times New Roman"/>
          <w:szCs w:val="24"/>
          <w:lang w:val="en-GB" w:eastAsia="nl-NL"/>
        </w:rPr>
        <w:t xml:space="preserve"> The specific </w:t>
      </w:r>
      <w:r w:rsidR="006B0F09">
        <w:rPr>
          <w:rFonts w:eastAsia="Times New Roman" w:cs="Times New Roman"/>
          <w:szCs w:val="24"/>
          <w:lang w:val="en-GB" w:eastAsia="nl-NL"/>
        </w:rPr>
        <w:t xml:space="preserve">definition of </w:t>
      </w:r>
      <w:r w:rsidR="00520B28">
        <w:rPr>
          <w:rFonts w:eastAsia="Times New Roman" w:cs="Times New Roman"/>
          <w:szCs w:val="24"/>
          <w:lang w:val="en-GB" w:eastAsia="nl-NL"/>
        </w:rPr>
        <w:t>the tasks</w:t>
      </w:r>
      <w:r w:rsidR="006B0F09">
        <w:rPr>
          <w:rFonts w:eastAsia="Times New Roman" w:cs="Times New Roman"/>
          <w:szCs w:val="24"/>
          <w:lang w:val="en-GB" w:eastAsia="nl-NL"/>
        </w:rPr>
        <w:t xml:space="preserve">, </w:t>
      </w:r>
      <w:r w:rsidR="00535266">
        <w:rPr>
          <w:rFonts w:eastAsia="Times New Roman" w:cs="Times New Roman"/>
          <w:szCs w:val="24"/>
          <w:lang w:val="en-GB" w:eastAsia="nl-NL"/>
        </w:rPr>
        <w:t xml:space="preserve">roles and responsibilities of the contractor, the </w:t>
      </w:r>
      <w:r w:rsidR="00D37637" w:rsidRPr="00D37637">
        <w:rPr>
          <w:rFonts w:eastAsia="Times New Roman" w:cs="Times New Roman"/>
          <w:szCs w:val="24"/>
          <w:lang w:val="en-GB" w:eastAsia="nl-NL"/>
        </w:rPr>
        <w:t xml:space="preserve">National Focal Contact Point </w:t>
      </w:r>
      <w:r w:rsidR="00535266">
        <w:rPr>
          <w:rFonts w:eastAsia="Times New Roman" w:cs="Times New Roman"/>
          <w:szCs w:val="24"/>
          <w:lang w:val="en-GB" w:eastAsia="nl-NL"/>
        </w:rPr>
        <w:t>and the experts in terms of meeting organisation and practicalities</w:t>
      </w:r>
      <w:r w:rsidR="00900B89">
        <w:rPr>
          <w:rFonts w:eastAsia="Times New Roman" w:cs="Times New Roman"/>
          <w:szCs w:val="24"/>
          <w:lang w:val="en-GB" w:eastAsia="nl-NL"/>
        </w:rPr>
        <w:t xml:space="preserve"> as well as project involvement in general are</w:t>
      </w:r>
      <w:r w:rsidR="00535266">
        <w:rPr>
          <w:rFonts w:eastAsia="Times New Roman" w:cs="Times New Roman"/>
          <w:szCs w:val="24"/>
          <w:lang w:val="en-GB" w:eastAsia="nl-NL"/>
        </w:rPr>
        <w:t xml:space="preserve"> outlined below.</w:t>
      </w:r>
    </w:p>
    <w:p w:rsidR="005C6800" w:rsidRPr="0031020A" w:rsidRDefault="005C6800" w:rsidP="0031020A">
      <w:pPr>
        <w:ind w:left="360"/>
        <w:rPr>
          <w:rFonts w:eastAsia="Times New Roman" w:cs="Times New Roman"/>
          <w:szCs w:val="24"/>
          <w:lang w:val="en-GB" w:eastAsia="nl-NL"/>
        </w:rPr>
      </w:pPr>
    </w:p>
    <w:p w:rsidR="00DE5980" w:rsidRDefault="00535266" w:rsidP="00DE5980">
      <w:pPr>
        <w:pStyle w:val="Lijstalinea"/>
        <w:numPr>
          <w:ilvl w:val="0"/>
          <w:numId w:val="27"/>
        </w:numPr>
        <w:rPr>
          <w:color w:val="4F81BD" w:themeColor="accent1"/>
          <w:lang w:val="nl-NL"/>
        </w:rPr>
      </w:pPr>
      <w:r>
        <w:rPr>
          <w:color w:val="4F81BD" w:themeColor="accent1"/>
          <w:lang w:val="en-GB"/>
        </w:rPr>
        <w:t xml:space="preserve">ROLES AND </w:t>
      </w:r>
      <w:r w:rsidR="009C3279">
        <w:rPr>
          <w:color w:val="4F81BD" w:themeColor="accent1"/>
          <w:lang w:val="nl-NL"/>
        </w:rPr>
        <w:t>RESPONSIBILITIES</w:t>
      </w:r>
    </w:p>
    <w:p w:rsidR="000C71A7" w:rsidRDefault="000C71A7" w:rsidP="000C71A7">
      <w:pPr>
        <w:pStyle w:val="Lijstalinea"/>
        <w:rPr>
          <w:color w:val="4F81BD" w:themeColor="accent1"/>
          <w:lang w:val="nl-NL"/>
        </w:rPr>
      </w:pPr>
    </w:p>
    <w:p w:rsidR="001F6185" w:rsidRPr="00A9128F" w:rsidRDefault="00A35CE5" w:rsidP="00D37637">
      <w:pPr>
        <w:pStyle w:val="Lijstalinea"/>
        <w:numPr>
          <w:ilvl w:val="1"/>
          <w:numId w:val="27"/>
        </w:numPr>
        <w:rPr>
          <w:color w:val="4F81BD" w:themeColor="accent1"/>
          <w:lang w:val="en-US"/>
        </w:rPr>
      </w:pPr>
      <w:r>
        <w:rPr>
          <w:color w:val="4F81BD" w:themeColor="accent1"/>
          <w:lang w:val="en-US"/>
        </w:rPr>
        <w:t>National</w:t>
      </w:r>
      <w:r w:rsidR="00D37637" w:rsidRPr="00D37637">
        <w:rPr>
          <w:color w:val="4F81BD" w:themeColor="accent1"/>
          <w:lang w:val="en-US"/>
        </w:rPr>
        <w:t xml:space="preserve"> Focal Contact Point </w:t>
      </w:r>
      <w:r w:rsidR="001F6185" w:rsidRPr="00A9128F">
        <w:rPr>
          <w:color w:val="4F81BD" w:themeColor="accent1"/>
          <w:lang w:val="en-US"/>
        </w:rPr>
        <w:t>(BG and RO)</w:t>
      </w:r>
    </w:p>
    <w:p w:rsidR="001F6185" w:rsidRDefault="001F6185" w:rsidP="001F6185">
      <w:pPr>
        <w:rPr>
          <w:szCs w:val="24"/>
          <w:lang w:val="en-GB"/>
        </w:rPr>
      </w:pPr>
    </w:p>
    <w:p w:rsidR="001F6185" w:rsidRDefault="001F6185" w:rsidP="001F6185">
      <w:pPr>
        <w:rPr>
          <w:szCs w:val="24"/>
          <w:lang w:val="en-GB"/>
        </w:rPr>
      </w:pPr>
      <w:r>
        <w:rPr>
          <w:szCs w:val="24"/>
          <w:lang w:val="en-GB"/>
        </w:rPr>
        <w:t xml:space="preserve">The designated </w:t>
      </w:r>
      <w:r w:rsidR="00A35CE5">
        <w:rPr>
          <w:szCs w:val="24"/>
          <w:lang w:val="en-GB"/>
        </w:rPr>
        <w:t>National</w:t>
      </w:r>
      <w:r w:rsidR="00D37637" w:rsidRPr="00D37637">
        <w:rPr>
          <w:szCs w:val="24"/>
          <w:lang w:val="en-GB"/>
        </w:rPr>
        <w:t xml:space="preserve"> Focal Contact Point</w:t>
      </w:r>
      <w:r w:rsidR="00D37637">
        <w:rPr>
          <w:szCs w:val="24"/>
          <w:lang w:val="en-GB"/>
        </w:rPr>
        <w:t>s</w:t>
      </w:r>
      <w:r w:rsidR="00D37637" w:rsidRPr="00D37637">
        <w:rPr>
          <w:szCs w:val="24"/>
          <w:lang w:val="en-GB"/>
        </w:rPr>
        <w:t xml:space="preserve"> </w:t>
      </w:r>
      <w:r>
        <w:rPr>
          <w:szCs w:val="24"/>
          <w:lang w:val="en-GB"/>
        </w:rPr>
        <w:t>for Romania and Bulgaria are respectively:</w:t>
      </w:r>
    </w:p>
    <w:p w:rsidR="001F6185" w:rsidRPr="00C30C9E" w:rsidRDefault="001F6185" w:rsidP="00D37637">
      <w:pPr>
        <w:pStyle w:val="Lijstalinea"/>
        <w:numPr>
          <w:ilvl w:val="0"/>
          <w:numId w:val="33"/>
        </w:numPr>
        <w:rPr>
          <w:szCs w:val="24"/>
          <w:lang w:val="en-GB"/>
        </w:rPr>
      </w:pPr>
      <w:r w:rsidRPr="00C30C9E">
        <w:rPr>
          <w:szCs w:val="24"/>
          <w:lang w:val="en-GB"/>
        </w:rPr>
        <w:t xml:space="preserve">Romanian </w:t>
      </w:r>
      <w:r w:rsidR="00D37637" w:rsidRPr="00D37637">
        <w:rPr>
          <w:szCs w:val="24"/>
          <w:lang w:val="en-GB"/>
        </w:rPr>
        <w:t>National Focal Contact Point</w:t>
      </w:r>
      <w:r w:rsidRPr="00C30C9E">
        <w:rPr>
          <w:szCs w:val="24"/>
          <w:lang w:val="en-GB"/>
        </w:rPr>
        <w:t xml:space="preserve">: Ms </w:t>
      </w:r>
      <w:proofErr w:type="spellStart"/>
      <w:r w:rsidRPr="00C30C9E">
        <w:rPr>
          <w:szCs w:val="24"/>
          <w:lang w:val="en-GB"/>
        </w:rPr>
        <w:t>Otilia</w:t>
      </w:r>
      <w:proofErr w:type="spellEnd"/>
      <w:r w:rsidRPr="00C30C9E">
        <w:rPr>
          <w:szCs w:val="24"/>
          <w:lang w:val="en-GB"/>
        </w:rPr>
        <w:t xml:space="preserve"> </w:t>
      </w:r>
      <w:proofErr w:type="spellStart"/>
      <w:r w:rsidRPr="00C30C9E">
        <w:rPr>
          <w:szCs w:val="24"/>
          <w:lang w:val="en-GB"/>
        </w:rPr>
        <w:t>Mihail</w:t>
      </w:r>
      <w:proofErr w:type="spellEnd"/>
      <w:r w:rsidRPr="00C30C9E">
        <w:rPr>
          <w:szCs w:val="24"/>
          <w:lang w:val="en-GB"/>
        </w:rPr>
        <w:t xml:space="preserve"> </w:t>
      </w:r>
      <w:r w:rsidR="004268B5">
        <w:rPr>
          <w:szCs w:val="24"/>
          <w:lang w:val="en-GB"/>
        </w:rPr>
        <w:t>(</w:t>
      </w:r>
      <w:hyperlink r:id="rId9" w:history="1">
        <w:r w:rsidRPr="00C30C9E">
          <w:rPr>
            <w:rStyle w:val="Hyperlink"/>
            <w:szCs w:val="24"/>
            <w:lang w:val="en-GB"/>
          </w:rPr>
          <w:t>otilia.mihail@mmediu.ro</w:t>
        </w:r>
      </w:hyperlink>
      <w:r w:rsidR="004268B5">
        <w:rPr>
          <w:rStyle w:val="Hyperlink"/>
          <w:szCs w:val="24"/>
          <w:lang w:val="en-GB"/>
        </w:rPr>
        <w:t>)</w:t>
      </w:r>
    </w:p>
    <w:p w:rsidR="001F6185" w:rsidRPr="00A35CE5" w:rsidRDefault="001F6185" w:rsidP="00A35CE5">
      <w:pPr>
        <w:pStyle w:val="Lijstalinea"/>
        <w:numPr>
          <w:ilvl w:val="0"/>
          <w:numId w:val="33"/>
        </w:numPr>
        <w:rPr>
          <w:szCs w:val="24"/>
          <w:lang w:val="en-GB"/>
        </w:rPr>
      </w:pPr>
      <w:r w:rsidRPr="00A35CE5">
        <w:rPr>
          <w:szCs w:val="24"/>
          <w:lang w:val="en-GB"/>
        </w:rPr>
        <w:t xml:space="preserve">Bulgarian </w:t>
      </w:r>
      <w:r w:rsidR="00D37637" w:rsidRPr="00A35CE5">
        <w:rPr>
          <w:szCs w:val="24"/>
          <w:lang w:val="en-GB"/>
        </w:rPr>
        <w:t>National Focal Contact Point</w:t>
      </w:r>
      <w:r w:rsidRPr="00A35CE5">
        <w:rPr>
          <w:szCs w:val="24"/>
          <w:lang w:val="en-GB"/>
        </w:rPr>
        <w:t xml:space="preserve">: </w:t>
      </w:r>
      <w:r w:rsidR="00A35CE5" w:rsidRPr="00A35CE5">
        <w:rPr>
          <w:szCs w:val="24"/>
          <w:lang w:val="en-GB"/>
        </w:rPr>
        <w:t xml:space="preserve">Mr </w:t>
      </w:r>
      <w:proofErr w:type="spellStart"/>
      <w:r w:rsidR="00A35CE5" w:rsidRPr="00A35CE5">
        <w:rPr>
          <w:szCs w:val="24"/>
          <w:lang w:val="en-GB"/>
        </w:rPr>
        <w:t>Yavor</w:t>
      </w:r>
      <w:proofErr w:type="spellEnd"/>
      <w:r w:rsidR="00A35CE5" w:rsidRPr="00A35CE5">
        <w:rPr>
          <w:szCs w:val="24"/>
          <w:lang w:val="en-GB"/>
        </w:rPr>
        <w:t xml:space="preserve"> </w:t>
      </w:r>
      <w:proofErr w:type="spellStart"/>
      <w:r w:rsidR="00A35CE5" w:rsidRPr="00A35CE5">
        <w:rPr>
          <w:szCs w:val="24"/>
          <w:lang w:val="en-GB"/>
        </w:rPr>
        <w:t>Dimitrov</w:t>
      </w:r>
      <w:proofErr w:type="spellEnd"/>
      <w:r w:rsidRPr="00A35CE5">
        <w:rPr>
          <w:szCs w:val="24"/>
          <w:lang w:val="en-GB"/>
        </w:rPr>
        <w:t xml:space="preserve"> </w:t>
      </w:r>
      <w:r w:rsidR="00A35CE5" w:rsidRPr="00A35CE5">
        <w:rPr>
          <w:szCs w:val="24"/>
          <w:lang w:val="en-GB"/>
        </w:rPr>
        <w:t>(</w:t>
      </w:r>
      <w:hyperlink r:id="rId10" w:history="1">
        <w:r w:rsidR="00A35CE5" w:rsidRPr="00A35CE5">
          <w:rPr>
            <w:rStyle w:val="Hyperlink"/>
            <w:szCs w:val="24"/>
            <w:lang w:val="en-GB"/>
          </w:rPr>
          <w:t>bdvarna@bsbd.org</w:t>
        </w:r>
      </w:hyperlink>
      <w:r w:rsidR="00A35CE5" w:rsidRPr="00A35CE5">
        <w:rPr>
          <w:szCs w:val="24"/>
          <w:lang w:val="en-GB"/>
        </w:rPr>
        <w:t>)</w:t>
      </w:r>
    </w:p>
    <w:p w:rsidR="001F6185" w:rsidRDefault="001F6185" w:rsidP="001F6185">
      <w:pPr>
        <w:rPr>
          <w:szCs w:val="24"/>
          <w:lang w:val="en-GB"/>
        </w:rPr>
      </w:pPr>
    </w:p>
    <w:p w:rsidR="001F6185" w:rsidRDefault="001F6185" w:rsidP="001F6185">
      <w:pPr>
        <w:rPr>
          <w:szCs w:val="24"/>
          <w:lang w:val="en-GB"/>
        </w:rPr>
      </w:pPr>
      <w:r>
        <w:rPr>
          <w:szCs w:val="24"/>
          <w:lang w:val="en-GB"/>
        </w:rPr>
        <w:t xml:space="preserve">In case any change in position is done, the </w:t>
      </w:r>
      <w:r w:rsidR="00D37637" w:rsidRPr="00D37637">
        <w:rPr>
          <w:szCs w:val="24"/>
          <w:lang w:val="en-GB"/>
        </w:rPr>
        <w:t>National Focal Contact Point</w:t>
      </w:r>
      <w:r w:rsidR="00535266">
        <w:rPr>
          <w:szCs w:val="24"/>
          <w:lang w:val="en-GB"/>
        </w:rPr>
        <w:t xml:space="preserve"> will inform the contractor.</w:t>
      </w:r>
    </w:p>
    <w:p w:rsidR="00535266" w:rsidRDefault="00535266" w:rsidP="001F6185">
      <w:pPr>
        <w:rPr>
          <w:szCs w:val="24"/>
          <w:lang w:val="en-GB"/>
        </w:rPr>
      </w:pPr>
    </w:p>
    <w:p w:rsidR="001F6185" w:rsidRDefault="00535266" w:rsidP="001F6185">
      <w:pPr>
        <w:rPr>
          <w:szCs w:val="24"/>
          <w:lang w:val="en-GB"/>
        </w:rPr>
      </w:pPr>
      <w:r>
        <w:rPr>
          <w:szCs w:val="24"/>
          <w:lang w:val="en-GB"/>
        </w:rPr>
        <w:t>The r</w:t>
      </w:r>
      <w:r w:rsidR="001F6185">
        <w:rPr>
          <w:szCs w:val="24"/>
          <w:lang w:val="en-GB"/>
        </w:rPr>
        <w:t xml:space="preserve">ole of the </w:t>
      </w:r>
      <w:r w:rsidR="00D37637" w:rsidRPr="00D37637">
        <w:rPr>
          <w:szCs w:val="24"/>
          <w:lang w:val="en-GB"/>
        </w:rPr>
        <w:t xml:space="preserve">National Focal Contact Point </w:t>
      </w:r>
      <w:r w:rsidR="001F6185">
        <w:rPr>
          <w:szCs w:val="24"/>
          <w:lang w:val="en-GB"/>
        </w:rPr>
        <w:t>is the following:</w:t>
      </w:r>
    </w:p>
    <w:p w:rsidR="001F6185" w:rsidRDefault="001F6185" w:rsidP="001F6185">
      <w:pPr>
        <w:pStyle w:val="Lijstalinea"/>
        <w:numPr>
          <w:ilvl w:val="0"/>
          <w:numId w:val="32"/>
        </w:numPr>
        <w:rPr>
          <w:szCs w:val="24"/>
          <w:lang w:val="en-GB"/>
        </w:rPr>
      </w:pPr>
      <w:r>
        <w:rPr>
          <w:szCs w:val="24"/>
          <w:lang w:val="en-GB"/>
        </w:rPr>
        <w:t xml:space="preserve">Being the </w:t>
      </w:r>
      <w:r w:rsidR="00FC492C">
        <w:rPr>
          <w:szCs w:val="24"/>
          <w:lang w:val="en-GB"/>
        </w:rPr>
        <w:t xml:space="preserve">main </w:t>
      </w:r>
      <w:r>
        <w:rPr>
          <w:szCs w:val="24"/>
          <w:lang w:val="en-GB"/>
        </w:rPr>
        <w:t>contact point for the Commission Services for this contract</w:t>
      </w:r>
    </w:p>
    <w:p w:rsidR="001F6185" w:rsidRDefault="001F6185" w:rsidP="001F6185">
      <w:pPr>
        <w:pStyle w:val="Lijstalinea"/>
        <w:numPr>
          <w:ilvl w:val="0"/>
          <w:numId w:val="32"/>
        </w:numPr>
        <w:rPr>
          <w:szCs w:val="24"/>
          <w:lang w:val="en-GB"/>
        </w:rPr>
      </w:pPr>
      <w:r>
        <w:rPr>
          <w:szCs w:val="24"/>
          <w:lang w:val="en-GB"/>
        </w:rPr>
        <w:t>Providing local knowledge within different tasks (e.g. needs, monitoring status, etc.)</w:t>
      </w:r>
    </w:p>
    <w:p w:rsidR="00535266" w:rsidRDefault="00535266" w:rsidP="00535266">
      <w:pPr>
        <w:pStyle w:val="Lijstalinea"/>
        <w:numPr>
          <w:ilvl w:val="0"/>
          <w:numId w:val="32"/>
        </w:numPr>
        <w:rPr>
          <w:szCs w:val="24"/>
          <w:lang w:val="en-GB"/>
        </w:rPr>
      </w:pPr>
      <w:r>
        <w:rPr>
          <w:szCs w:val="24"/>
          <w:lang w:val="en-GB"/>
        </w:rPr>
        <w:t>Informing the contractor on developments in relation to MSFD implementation in their MS</w:t>
      </w:r>
    </w:p>
    <w:p w:rsidR="001F6185" w:rsidRDefault="00FC492C" w:rsidP="001F6185">
      <w:pPr>
        <w:pStyle w:val="Lijstalinea"/>
        <w:numPr>
          <w:ilvl w:val="0"/>
          <w:numId w:val="32"/>
        </w:numPr>
        <w:rPr>
          <w:szCs w:val="24"/>
          <w:lang w:val="en-GB"/>
        </w:rPr>
      </w:pPr>
      <w:r>
        <w:rPr>
          <w:szCs w:val="24"/>
          <w:lang w:val="en-GB"/>
        </w:rPr>
        <w:t>Support in the s</w:t>
      </w:r>
      <w:r w:rsidR="001F6185">
        <w:rPr>
          <w:szCs w:val="24"/>
          <w:lang w:val="en-GB"/>
        </w:rPr>
        <w:t>election of experts</w:t>
      </w:r>
    </w:p>
    <w:p w:rsidR="001F6185" w:rsidRDefault="001F6185" w:rsidP="001F6185">
      <w:pPr>
        <w:pStyle w:val="Lijstalinea"/>
        <w:numPr>
          <w:ilvl w:val="0"/>
          <w:numId w:val="32"/>
        </w:numPr>
        <w:rPr>
          <w:szCs w:val="24"/>
          <w:lang w:val="en-GB"/>
        </w:rPr>
      </w:pPr>
      <w:r>
        <w:rPr>
          <w:szCs w:val="24"/>
          <w:lang w:val="en-GB"/>
        </w:rPr>
        <w:t>Attendance at</w:t>
      </w:r>
      <w:r w:rsidR="00535266">
        <w:rPr>
          <w:szCs w:val="24"/>
          <w:lang w:val="en-GB"/>
        </w:rPr>
        <w:t xml:space="preserve"> </w:t>
      </w:r>
      <w:r>
        <w:rPr>
          <w:szCs w:val="24"/>
          <w:lang w:val="en-GB"/>
        </w:rPr>
        <w:t>all steering group meetings</w:t>
      </w:r>
    </w:p>
    <w:p w:rsidR="00FC492C" w:rsidRPr="00FC492C" w:rsidRDefault="001F6185" w:rsidP="00FC492C">
      <w:pPr>
        <w:pStyle w:val="Lijstalinea"/>
        <w:numPr>
          <w:ilvl w:val="0"/>
          <w:numId w:val="32"/>
        </w:numPr>
        <w:rPr>
          <w:szCs w:val="24"/>
          <w:lang w:val="en-GB"/>
        </w:rPr>
      </w:pPr>
      <w:r w:rsidRPr="00FC492C">
        <w:rPr>
          <w:szCs w:val="24"/>
          <w:lang w:val="en-GB"/>
        </w:rPr>
        <w:t xml:space="preserve">Attendance at </w:t>
      </w:r>
      <w:r w:rsidR="00535266" w:rsidRPr="00FC492C">
        <w:rPr>
          <w:szCs w:val="24"/>
          <w:lang w:val="en-GB"/>
        </w:rPr>
        <w:t>CBEs</w:t>
      </w:r>
      <w:r w:rsidR="00FC492C" w:rsidRPr="00FC492C">
        <w:rPr>
          <w:szCs w:val="24"/>
          <w:lang w:val="en-GB"/>
        </w:rPr>
        <w:t xml:space="preserve"> (if relevant)</w:t>
      </w:r>
    </w:p>
    <w:p w:rsidR="001F6185" w:rsidRPr="001F6185" w:rsidRDefault="001F6185" w:rsidP="001F6185">
      <w:pPr>
        <w:pStyle w:val="Lijstalinea"/>
        <w:ind w:left="1440"/>
        <w:rPr>
          <w:color w:val="4F81BD" w:themeColor="accent1"/>
          <w:lang w:val="en-US"/>
        </w:rPr>
      </w:pPr>
    </w:p>
    <w:p w:rsidR="009C3279" w:rsidRPr="006F27CD" w:rsidRDefault="00D67435" w:rsidP="009C3279">
      <w:pPr>
        <w:pStyle w:val="Lijstalinea"/>
        <w:numPr>
          <w:ilvl w:val="1"/>
          <w:numId w:val="27"/>
        </w:numPr>
        <w:rPr>
          <w:color w:val="4F81BD" w:themeColor="accent1"/>
          <w:lang w:val="en-US"/>
        </w:rPr>
      </w:pPr>
      <w:r w:rsidRPr="006F27CD">
        <w:rPr>
          <w:color w:val="4F81BD" w:themeColor="accent1"/>
          <w:lang w:val="en-US"/>
        </w:rPr>
        <w:t xml:space="preserve">BG &amp; RO </w:t>
      </w:r>
      <w:r w:rsidR="009C3279" w:rsidRPr="006F27CD">
        <w:rPr>
          <w:color w:val="4F81BD" w:themeColor="accent1"/>
          <w:lang w:val="en-US"/>
        </w:rPr>
        <w:t>EXPERTS</w:t>
      </w:r>
      <w:r w:rsidR="0040321F" w:rsidRPr="006F27CD">
        <w:rPr>
          <w:color w:val="4F81BD" w:themeColor="accent1"/>
          <w:lang w:val="en-US"/>
        </w:rPr>
        <w:t xml:space="preserve"> </w:t>
      </w:r>
      <w:r w:rsidR="006F27CD" w:rsidRPr="006F27CD">
        <w:rPr>
          <w:color w:val="4F81BD" w:themeColor="accent1"/>
          <w:lang w:val="en-US"/>
        </w:rPr>
        <w:t>(MS experts)</w:t>
      </w:r>
    </w:p>
    <w:p w:rsidR="001E14D4" w:rsidRDefault="001E14D4" w:rsidP="001E14D4">
      <w:pPr>
        <w:spacing w:before="0" w:after="0" w:line="240" w:lineRule="auto"/>
        <w:jc w:val="both"/>
        <w:rPr>
          <w:szCs w:val="24"/>
          <w:lang w:val="en-GB"/>
        </w:rPr>
      </w:pPr>
    </w:p>
    <w:p w:rsidR="00346C3D" w:rsidRDefault="0040321F" w:rsidP="001E14D4">
      <w:pPr>
        <w:spacing w:before="0" w:after="0" w:line="240" w:lineRule="auto"/>
        <w:jc w:val="both"/>
        <w:rPr>
          <w:szCs w:val="24"/>
          <w:lang w:val="en-GB"/>
        </w:rPr>
      </w:pPr>
      <w:r>
        <w:rPr>
          <w:szCs w:val="24"/>
          <w:lang w:val="en-GB"/>
        </w:rPr>
        <w:t>BG &amp; RO experts consists of the BG &amp; RO authorities experts as well as the BG &amp; RO experts from the research institutes</w:t>
      </w:r>
      <w:r w:rsidR="00346C3D">
        <w:rPr>
          <w:szCs w:val="24"/>
          <w:lang w:val="en-GB"/>
        </w:rPr>
        <w:t xml:space="preserve">, as selected by the contractor and the </w:t>
      </w:r>
      <w:r w:rsidR="00A35CE5">
        <w:rPr>
          <w:szCs w:val="24"/>
          <w:lang w:val="en-GB"/>
        </w:rPr>
        <w:t>National</w:t>
      </w:r>
      <w:r w:rsidR="00D37637" w:rsidRPr="00D37637">
        <w:rPr>
          <w:szCs w:val="24"/>
          <w:lang w:val="en-GB"/>
        </w:rPr>
        <w:t xml:space="preserve"> Focal Contact Point</w:t>
      </w:r>
      <w:r w:rsidR="00D37637">
        <w:rPr>
          <w:szCs w:val="24"/>
          <w:lang w:val="en-GB"/>
        </w:rPr>
        <w:t>s</w:t>
      </w:r>
      <w:r w:rsidR="00D37637" w:rsidRPr="00D37637">
        <w:rPr>
          <w:szCs w:val="24"/>
          <w:lang w:val="en-GB"/>
        </w:rPr>
        <w:t xml:space="preserve"> </w:t>
      </w:r>
      <w:r w:rsidR="00346C3D">
        <w:rPr>
          <w:szCs w:val="24"/>
          <w:lang w:val="en-GB"/>
        </w:rPr>
        <w:t>(see Annex 2</w:t>
      </w:r>
      <w:r w:rsidR="00A20CC9" w:rsidRPr="00A20CC9">
        <w:rPr>
          <w:szCs w:val="24"/>
          <w:lang w:val="en-GB"/>
        </w:rPr>
        <w:t xml:space="preserve"> </w:t>
      </w:r>
      <w:r w:rsidR="00A20CC9">
        <w:rPr>
          <w:szCs w:val="24"/>
          <w:lang w:val="en-GB"/>
        </w:rPr>
        <w:t>Matrix Experts</w:t>
      </w:r>
      <w:r w:rsidR="00346C3D">
        <w:rPr>
          <w:szCs w:val="24"/>
          <w:lang w:val="en-GB"/>
        </w:rPr>
        <w:t>)</w:t>
      </w:r>
      <w:r>
        <w:rPr>
          <w:szCs w:val="24"/>
          <w:lang w:val="en-GB"/>
        </w:rPr>
        <w:t xml:space="preserve">. </w:t>
      </w:r>
    </w:p>
    <w:p w:rsidR="00346C3D" w:rsidRDefault="00346C3D" w:rsidP="001E14D4">
      <w:pPr>
        <w:spacing w:before="0" w:after="0" w:line="240" w:lineRule="auto"/>
        <w:jc w:val="both"/>
        <w:rPr>
          <w:szCs w:val="24"/>
          <w:lang w:val="en-GB"/>
        </w:rPr>
      </w:pPr>
    </w:p>
    <w:p w:rsidR="00A92E8A" w:rsidRDefault="001E14D4" w:rsidP="001E14D4">
      <w:pPr>
        <w:spacing w:before="0" w:after="0" w:line="240" w:lineRule="auto"/>
        <w:jc w:val="both"/>
        <w:rPr>
          <w:szCs w:val="24"/>
          <w:lang w:val="en-GB"/>
        </w:rPr>
      </w:pPr>
      <w:r w:rsidRPr="001E14D4">
        <w:rPr>
          <w:szCs w:val="24"/>
          <w:lang w:val="en-GB"/>
        </w:rPr>
        <w:t xml:space="preserve">The </w:t>
      </w:r>
      <w:r w:rsidR="00D37637" w:rsidRPr="00D37637">
        <w:rPr>
          <w:szCs w:val="24"/>
          <w:lang w:val="en-GB"/>
        </w:rPr>
        <w:t xml:space="preserve">National Focal Contact Point </w:t>
      </w:r>
      <w:r w:rsidRPr="001E14D4">
        <w:rPr>
          <w:szCs w:val="24"/>
          <w:lang w:val="en-GB"/>
        </w:rPr>
        <w:t xml:space="preserve">will send the </w:t>
      </w:r>
      <w:r w:rsidR="0031020A">
        <w:rPr>
          <w:szCs w:val="24"/>
          <w:lang w:val="en-GB"/>
        </w:rPr>
        <w:t>P</w:t>
      </w:r>
      <w:r w:rsidR="0031020A" w:rsidRPr="001E14D4">
        <w:rPr>
          <w:szCs w:val="24"/>
          <w:lang w:val="en-GB"/>
        </w:rPr>
        <w:t xml:space="preserve">roject </w:t>
      </w:r>
      <w:r w:rsidR="00934F44">
        <w:rPr>
          <w:szCs w:val="24"/>
          <w:lang w:val="en-GB"/>
        </w:rPr>
        <w:t>Description Sheet</w:t>
      </w:r>
      <w:r w:rsidR="00A20CC9">
        <w:rPr>
          <w:szCs w:val="24"/>
          <w:lang w:val="en-GB"/>
        </w:rPr>
        <w:t xml:space="preserve"> (Annex 3</w:t>
      </w:r>
      <w:r w:rsidR="00934F44">
        <w:rPr>
          <w:szCs w:val="24"/>
          <w:lang w:val="en-GB"/>
        </w:rPr>
        <w:t>)</w:t>
      </w:r>
      <w:r w:rsidR="0031020A" w:rsidRPr="001E14D4">
        <w:rPr>
          <w:szCs w:val="24"/>
          <w:lang w:val="en-GB"/>
        </w:rPr>
        <w:t xml:space="preserve"> </w:t>
      </w:r>
      <w:r w:rsidRPr="001E14D4">
        <w:rPr>
          <w:szCs w:val="24"/>
          <w:lang w:val="en-GB"/>
        </w:rPr>
        <w:t xml:space="preserve">to the experts </w:t>
      </w:r>
      <w:r w:rsidR="0031020A">
        <w:rPr>
          <w:szCs w:val="24"/>
          <w:lang w:val="en-GB"/>
        </w:rPr>
        <w:t>to</w:t>
      </w:r>
      <w:r w:rsidR="0031020A" w:rsidRPr="001E14D4">
        <w:rPr>
          <w:szCs w:val="24"/>
          <w:lang w:val="en-GB"/>
        </w:rPr>
        <w:t xml:space="preserve"> </w:t>
      </w:r>
      <w:r w:rsidRPr="001E14D4">
        <w:rPr>
          <w:szCs w:val="24"/>
          <w:lang w:val="en-GB"/>
        </w:rPr>
        <w:t xml:space="preserve">inform them on </w:t>
      </w:r>
      <w:r w:rsidR="0031020A">
        <w:rPr>
          <w:szCs w:val="24"/>
          <w:lang w:val="en-GB"/>
        </w:rPr>
        <w:t xml:space="preserve">the project and </w:t>
      </w:r>
      <w:r w:rsidRPr="001E14D4">
        <w:rPr>
          <w:szCs w:val="24"/>
          <w:lang w:val="en-GB"/>
        </w:rPr>
        <w:t>their possible involvement throughout the project.</w:t>
      </w:r>
      <w:r>
        <w:rPr>
          <w:szCs w:val="24"/>
          <w:lang w:val="en-GB"/>
        </w:rPr>
        <w:t xml:space="preserve"> Only those experts that agree to the involvement in the project by email will be included in </w:t>
      </w:r>
      <w:r w:rsidR="00900B89">
        <w:rPr>
          <w:szCs w:val="24"/>
          <w:lang w:val="en-GB"/>
        </w:rPr>
        <w:t xml:space="preserve">the project. The </w:t>
      </w:r>
      <w:r w:rsidR="00D37637" w:rsidRPr="00D37637">
        <w:rPr>
          <w:szCs w:val="24"/>
          <w:lang w:val="en-GB"/>
        </w:rPr>
        <w:t>National Focal Contact Point</w:t>
      </w:r>
      <w:r w:rsidR="00900B89">
        <w:rPr>
          <w:szCs w:val="24"/>
          <w:lang w:val="en-GB"/>
        </w:rPr>
        <w:t xml:space="preserve"> will inform the contractor on experts approval of involvement. </w:t>
      </w:r>
      <w:r>
        <w:rPr>
          <w:szCs w:val="24"/>
          <w:lang w:val="en-GB"/>
        </w:rPr>
        <w:t xml:space="preserve">It is the responsibility of the </w:t>
      </w:r>
      <w:r w:rsidR="00A92E8A">
        <w:rPr>
          <w:szCs w:val="24"/>
          <w:lang w:val="en-GB"/>
        </w:rPr>
        <w:t xml:space="preserve">expert to inform the RO or BG </w:t>
      </w:r>
      <w:r w:rsidR="00D37637" w:rsidRPr="00D37637">
        <w:rPr>
          <w:szCs w:val="24"/>
          <w:lang w:val="en-GB"/>
        </w:rPr>
        <w:t xml:space="preserve">National Focal Contact Point </w:t>
      </w:r>
      <w:r w:rsidR="00A92E8A">
        <w:rPr>
          <w:szCs w:val="24"/>
          <w:lang w:val="en-GB"/>
        </w:rPr>
        <w:t xml:space="preserve">if commitment to the project changes. The </w:t>
      </w:r>
      <w:r w:rsidR="00D37637" w:rsidRPr="00D37637">
        <w:rPr>
          <w:szCs w:val="24"/>
          <w:lang w:val="en-GB"/>
        </w:rPr>
        <w:t xml:space="preserve">National Focal Contact Point </w:t>
      </w:r>
      <w:r w:rsidR="00A92E8A">
        <w:rPr>
          <w:szCs w:val="24"/>
          <w:lang w:val="en-GB"/>
        </w:rPr>
        <w:t>will asap inform the contractor when receiving this information from the expert.</w:t>
      </w:r>
    </w:p>
    <w:p w:rsidR="000138F8" w:rsidRDefault="000138F8" w:rsidP="001E14D4">
      <w:pPr>
        <w:spacing w:before="0" w:after="0" w:line="240" w:lineRule="auto"/>
        <w:jc w:val="both"/>
        <w:rPr>
          <w:szCs w:val="24"/>
          <w:lang w:val="en-GB"/>
        </w:rPr>
      </w:pPr>
    </w:p>
    <w:p w:rsidR="000138F8" w:rsidRDefault="000138F8">
      <w:pPr>
        <w:spacing w:before="0" w:after="200" w:line="276" w:lineRule="auto"/>
        <w:rPr>
          <w:b/>
          <w:szCs w:val="24"/>
          <w:lang w:val="en-GB"/>
        </w:rPr>
      </w:pPr>
      <w:r>
        <w:rPr>
          <w:b/>
          <w:szCs w:val="24"/>
          <w:lang w:val="en-GB"/>
        </w:rPr>
        <w:br w:type="page"/>
      </w:r>
    </w:p>
    <w:p w:rsidR="00A92E8A" w:rsidRPr="00BE11A4" w:rsidRDefault="00A92E8A" w:rsidP="001E14D4">
      <w:pPr>
        <w:spacing w:before="0" w:after="0" w:line="240" w:lineRule="auto"/>
        <w:jc w:val="both"/>
        <w:rPr>
          <w:b/>
          <w:szCs w:val="24"/>
          <w:lang w:val="en-GB"/>
        </w:rPr>
      </w:pPr>
      <w:r w:rsidRPr="00BE11A4">
        <w:rPr>
          <w:b/>
          <w:szCs w:val="24"/>
          <w:lang w:val="en-GB"/>
        </w:rPr>
        <w:lastRenderedPageBreak/>
        <w:t>Role of the experts</w:t>
      </w:r>
    </w:p>
    <w:p w:rsidR="00A92E8A" w:rsidRPr="001B6F4D" w:rsidRDefault="001B6F4D" w:rsidP="00A92E8A">
      <w:pPr>
        <w:pStyle w:val="Lijstalinea"/>
        <w:numPr>
          <w:ilvl w:val="0"/>
          <w:numId w:val="32"/>
        </w:numPr>
        <w:spacing w:before="0" w:after="0" w:line="240" w:lineRule="auto"/>
        <w:jc w:val="both"/>
        <w:rPr>
          <w:szCs w:val="24"/>
          <w:lang w:val="en-GB"/>
        </w:rPr>
      </w:pPr>
      <w:r w:rsidRPr="001B6F4D">
        <w:rPr>
          <w:szCs w:val="24"/>
          <w:lang w:val="en-GB"/>
        </w:rPr>
        <w:t xml:space="preserve">Attendance and </w:t>
      </w:r>
      <w:r w:rsidR="00A92E8A" w:rsidRPr="001B6F4D">
        <w:rPr>
          <w:szCs w:val="24"/>
          <w:lang w:val="en-GB"/>
        </w:rPr>
        <w:t>participation in the capacity building events</w:t>
      </w:r>
    </w:p>
    <w:p w:rsidR="00A92E8A" w:rsidRDefault="00A92E8A" w:rsidP="00D37637">
      <w:pPr>
        <w:pStyle w:val="Lijstalinea"/>
        <w:numPr>
          <w:ilvl w:val="0"/>
          <w:numId w:val="32"/>
        </w:numPr>
        <w:spacing w:before="0" w:after="0" w:line="240" w:lineRule="auto"/>
        <w:jc w:val="both"/>
        <w:rPr>
          <w:szCs w:val="24"/>
          <w:lang w:val="en-GB"/>
        </w:rPr>
      </w:pPr>
      <w:r>
        <w:rPr>
          <w:szCs w:val="24"/>
          <w:lang w:val="en-GB"/>
        </w:rPr>
        <w:t xml:space="preserve">Preparation of the CBE where needed – the contractor will be informed via the </w:t>
      </w:r>
      <w:r w:rsidR="00D37637" w:rsidRPr="00D37637">
        <w:rPr>
          <w:szCs w:val="24"/>
          <w:lang w:val="en-GB"/>
        </w:rPr>
        <w:t xml:space="preserve">National Focal Contact Point </w:t>
      </w:r>
      <w:r w:rsidR="001B6F4D">
        <w:rPr>
          <w:szCs w:val="24"/>
          <w:lang w:val="en-GB"/>
        </w:rPr>
        <w:t>on the topic of the subject, the outline of the programme and the need for preparation for this event</w:t>
      </w:r>
      <w:r w:rsidR="0031020A">
        <w:rPr>
          <w:szCs w:val="24"/>
          <w:lang w:val="en-GB"/>
        </w:rPr>
        <w:t xml:space="preserve"> (e.g. information requests, presentations)</w:t>
      </w:r>
    </w:p>
    <w:p w:rsidR="00A92E8A" w:rsidRDefault="001B6F4D" w:rsidP="00A92E8A">
      <w:pPr>
        <w:pStyle w:val="Lijstalinea"/>
        <w:numPr>
          <w:ilvl w:val="0"/>
          <w:numId w:val="32"/>
        </w:numPr>
        <w:spacing w:before="0" w:after="0" w:line="240" w:lineRule="auto"/>
        <w:jc w:val="both"/>
        <w:rPr>
          <w:szCs w:val="24"/>
          <w:lang w:val="en-GB"/>
        </w:rPr>
      </w:pPr>
      <w:r>
        <w:rPr>
          <w:szCs w:val="24"/>
          <w:lang w:val="en-GB"/>
        </w:rPr>
        <w:t>Elaborating on the state-of-the art in the domain of expertise and MSFD implementation</w:t>
      </w:r>
    </w:p>
    <w:p w:rsidR="001B6F4D" w:rsidRDefault="001B6F4D" w:rsidP="00A92E8A">
      <w:pPr>
        <w:pStyle w:val="Lijstalinea"/>
        <w:numPr>
          <w:ilvl w:val="0"/>
          <w:numId w:val="32"/>
        </w:numPr>
        <w:spacing w:before="0" w:after="0" w:line="240" w:lineRule="auto"/>
        <w:jc w:val="both"/>
        <w:rPr>
          <w:szCs w:val="24"/>
          <w:lang w:val="en-GB"/>
        </w:rPr>
      </w:pPr>
      <w:r>
        <w:rPr>
          <w:szCs w:val="24"/>
          <w:lang w:val="en-GB"/>
        </w:rPr>
        <w:t>Completing the invitation template with the required information</w:t>
      </w:r>
    </w:p>
    <w:p w:rsidR="001B6F4D" w:rsidRDefault="001B6F4D" w:rsidP="00A92E8A">
      <w:pPr>
        <w:pStyle w:val="Lijstalinea"/>
        <w:numPr>
          <w:ilvl w:val="0"/>
          <w:numId w:val="32"/>
        </w:numPr>
        <w:spacing w:before="0" w:after="0" w:line="240" w:lineRule="auto"/>
        <w:jc w:val="both"/>
        <w:rPr>
          <w:szCs w:val="24"/>
          <w:lang w:val="en-GB"/>
        </w:rPr>
      </w:pPr>
      <w:r>
        <w:rPr>
          <w:szCs w:val="24"/>
          <w:lang w:val="en-GB"/>
        </w:rPr>
        <w:t>Organising the</w:t>
      </w:r>
      <w:r w:rsidR="00D67435">
        <w:rPr>
          <w:szCs w:val="24"/>
          <w:lang w:val="en-GB"/>
        </w:rPr>
        <w:t>ir individual</w:t>
      </w:r>
      <w:r>
        <w:rPr>
          <w:szCs w:val="24"/>
          <w:lang w:val="en-GB"/>
        </w:rPr>
        <w:t xml:space="preserve"> travel arrangements for the CBE</w:t>
      </w:r>
    </w:p>
    <w:p w:rsidR="000C71A7" w:rsidRDefault="001B6F4D" w:rsidP="00AC535F">
      <w:pPr>
        <w:pStyle w:val="Lijstalinea"/>
        <w:numPr>
          <w:ilvl w:val="0"/>
          <w:numId w:val="32"/>
        </w:numPr>
        <w:spacing w:before="0" w:after="0" w:line="240" w:lineRule="auto"/>
        <w:jc w:val="both"/>
        <w:rPr>
          <w:szCs w:val="24"/>
          <w:lang w:val="en-GB"/>
        </w:rPr>
      </w:pPr>
      <w:r w:rsidRPr="00346C3D">
        <w:rPr>
          <w:szCs w:val="24"/>
          <w:lang w:val="en-GB"/>
        </w:rPr>
        <w:t xml:space="preserve">Organising </w:t>
      </w:r>
      <w:r w:rsidR="00D67435" w:rsidRPr="00346C3D">
        <w:rPr>
          <w:szCs w:val="24"/>
          <w:lang w:val="en-GB"/>
        </w:rPr>
        <w:t xml:space="preserve">their individual </w:t>
      </w:r>
      <w:r w:rsidRPr="00346C3D">
        <w:rPr>
          <w:szCs w:val="24"/>
          <w:lang w:val="en-GB"/>
        </w:rPr>
        <w:t xml:space="preserve">reimbursement with the contractor </w:t>
      </w:r>
      <w:r w:rsidR="006B0F09">
        <w:rPr>
          <w:szCs w:val="24"/>
          <w:lang w:val="en-GB"/>
        </w:rPr>
        <w:t xml:space="preserve">(see project team) </w:t>
      </w:r>
      <w:r w:rsidRPr="00346C3D">
        <w:rPr>
          <w:szCs w:val="24"/>
          <w:lang w:val="en-GB"/>
        </w:rPr>
        <w:t>at the CBE</w:t>
      </w:r>
      <w:r w:rsidR="00346C3D">
        <w:rPr>
          <w:szCs w:val="24"/>
          <w:lang w:val="en-GB"/>
        </w:rPr>
        <w:t xml:space="preserve"> </w:t>
      </w:r>
      <w:r w:rsidR="007D72B4">
        <w:rPr>
          <w:szCs w:val="24"/>
          <w:lang w:val="en-GB"/>
        </w:rPr>
        <w:t>(or another assigned person by the contractor with this responsibility)</w:t>
      </w:r>
      <w:r w:rsidR="006B0F09">
        <w:rPr>
          <w:szCs w:val="24"/>
          <w:lang w:val="en-GB"/>
        </w:rPr>
        <w:t xml:space="preserve"> </w:t>
      </w:r>
    </w:p>
    <w:p w:rsidR="00AC535F" w:rsidRPr="00AC535F" w:rsidRDefault="00AC535F" w:rsidP="00AC535F">
      <w:pPr>
        <w:spacing w:before="0" w:after="0" w:line="240" w:lineRule="auto"/>
        <w:jc w:val="both"/>
        <w:rPr>
          <w:szCs w:val="24"/>
          <w:lang w:val="en-GB"/>
        </w:rPr>
      </w:pPr>
    </w:p>
    <w:p w:rsidR="009C3279" w:rsidRDefault="009C3279" w:rsidP="009C3279">
      <w:pPr>
        <w:pStyle w:val="Lijstalinea"/>
        <w:numPr>
          <w:ilvl w:val="1"/>
          <w:numId w:val="27"/>
        </w:numPr>
        <w:rPr>
          <w:color w:val="4F81BD" w:themeColor="accent1"/>
          <w:lang w:val="nl-NL"/>
        </w:rPr>
      </w:pPr>
      <w:r>
        <w:rPr>
          <w:color w:val="4F81BD" w:themeColor="accent1"/>
          <w:lang w:val="nl-NL"/>
        </w:rPr>
        <w:t xml:space="preserve">PROJECT TEAM </w:t>
      </w:r>
      <w:r w:rsidR="00AC535F">
        <w:rPr>
          <w:color w:val="4F81BD" w:themeColor="accent1"/>
          <w:lang w:val="nl-NL"/>
        </w:rPr>
        <w:t>MANAGEMENT</w:t>
      </w:r>
    </w:p>
    <w:p w:rsidR="00A9128F" w:rsidRDefault="00A9128F" w:rsidP="00A9128F">
      <w:pPr>
        <w:rPr>
          <w:szCs w:val="24"/>
          <w:lang w:val="en-GB"/>
        </w:rPr>
      </w:pPr>
    </w:p>
    <w:p w:rsidR="00A9128F" w:rsidRPr="00A9128F" w:rsidRDefault="00A9128F" w:rsidP="00A9128F">
      <w:pPr>
        <w:rPr>
          <w:szCs w:val="24"/>
          <w:lang w:val="nl-NL"/>
        </w:rPr>
      </w:pPr>
      <w:r w:rsidRPr="00F55615">
        <w:rPr>
          <w:b/>
          <w:szCs w:val="24"/>
          <w:lang w:val="nl-NL"/>
        </w:rPr>
        <w:t>Project manager</w:t>
      </w:r>
      <w:r w:rsidRPr="00A9128F">
        <w:rPr>
          <w:szCs w:val="24"/>
          <w:lang w:val="nl-NL"/>
        </w:rPr>
        <w:t>: Annemie Volckaert</w:t>
      </w:r>
    </w:p>
    <w:p w:rsidR="00076A1D" w:rsidRDefault="00A9128F" w:rsidP="00A9128F">
      <w:pPr>
        <w:rPr>
          <w:szCs w:val="24"/>
          <w:lang w:val="en-US"/>
        </w:rPr>
      </w:pPr>
      <w:r w:rsidRPr="00C30C9E">
        <w:rPr>
          <w:szCs w:val="24"/>
          <w:lang w:val="en-US"/>
        </w:rPr>
        <w:t>Role:</w:t>
      </w:r>
      <w:r w:rsidR="00C30C9E" w:rsidRPr="00C30C9E">
        <w:rPr>
          <w:szCs w:val="24"/>
          <w:lang w:val="en-US"/>
        </w:rPr>
        <w:t xml:space="preserve"> </w:t>
      </w:r>
    </w:p>
    <w:p w:rsidR="00076A1D" w:rsidRDefault="00076A1D" w:rsidP="00076A1D">
      <w:pPr>
        <w:pStyle w:val="Lijstalinea"/>
        <w:numPr>
          <w:ilvl w:val="0"/>
          <w:numId w:val="32"/>
        </w:numPr>
        <w:rPr>
          <w:szCs w:val="24"/>
          <w:lang w:val="en-US"/>
        </w:rPr>
      </w:pPr>
      <w:r>
        <w:rPr>
          <w:szCs w:val="24"/>
          <w:lang w:val="en-US"/>
        </w:rPr>
        <w:t>Project management &amp; contract implementation</w:t>
      </w:r>
    </w:p>
    <w:p w:rsidR="00A9128F" w:rsidRDefault="00C30C9E" w:rsidP="00D37637">
      <w:pPr>
        <w:pStyle w:val="Lijstalinea"/>
        <w:numPr>
          <w:ilvl w:val="0"/>
          <w:numId w:val="32"/>
        </w:numPr>
        <w:rPr>
          <w:szCs w:val="24"/>
          <w:lang w:val="en-US"/>
        </w:rPr>
      </w:pPr>
      <w:r w:rsidRPr="00076A1D">
        <w:rPr>
          <w:szCs w:val="24"/>
          <w:lang w:val="en-US"/>
        </w:rPr>
        <w:t xml:space="preserve">First point of contact for </w:t>
      </w:r>
      <w:r w:rsidR="00FC492C">
        <w:rPr>
          <w:szCs w:val="24"/>
          <w:lang w:val="en-US"/>
        </w:rPr>
        <w:t>this contract</w:t>
      </w:r>
    </w:p>
    <w:p w:rsidR="00BE05AE" w:rsidRDefault="00BE05AE" w:rsidP="00D37637">
      <w:pPr>
        <w:pStyle w:val="Lijstalinea"/>
        <w:numPr>
          <w:ilvl w:val="0"/>
          <w:numId w:val="32"/>
        </w:numPr>
        <w:rPr>
          <w:szCs w:val="24"/>
          <w:lang w:val="en-US"/>
        </w:rPr>
      </w:pPr>
      <w:r>
        <w:rPr>
          <w:szCs w:val="24"/>
          <w:lang w:val="en-US"/>
        </w:rPr>
        <w:t xml:space="preserve">Communication in relation to the contract, to the </w:t>
      </w:r>
      <w:r w:rsidR="00A35CE5">
        <w:rPr>
          <w:szCs w:val="24"/>
          <w:lang w:val="en-US"/>
        </w:rPr>
        <w:t>National</w:t>
      </w:r>
      <w:r w:rsidR="00D37637" w:rsidRPr="00D37637">
        <w:rPr>
          <w:szCs w:val="24"/>
          <w:lang w:val="en-US"/>
        </w:rPr>
        <w:t xml:space="preserve"> Focal Contact Point</w:t>
      </w:r>
      <w:r w:rsidR="00D37637">
        <w:rPr>
          <w:szCs w:val="24"/>
          <w:lang w:val="en-US"/>
        </w:rPr>
        <w:t>s</w:t>
      </w:r>
      <w:r w:rsidR="00D37637" w:rsidRPr="00D37637">
        <w:rPr>
          <w:szCs w:val="24"/>
          <w:lang w:val="en-US"/>
        </w:rPr>
        <w:t xml:space="preserve"> </w:t>
      </w:r>
      <w:r w:rsidR="00036FE6">
        <w:rPr>
          <w:szCs w:val="24"/>
          <w:lang w:val="en-US"/>
        </w:rPr>
        <w:t xml:space="preserve">(excl. practical issues CBE), </w:t>
      </w:r>
      <w:r>
        <w:rPr>
          <w:szCs w:val="24"/>
          <w:lang w:val="en-US"/>
        </w:rPr>
        <w:t>to the EC, to the steering group</w:t>
      </w:r>
    </w:p>
    <w:p w:rsidR="000138F8" w:rsidRDefault="00A9128F" w:rsidP="00A9128F">
      <w:pPr>
        <w:rPr>
          <w:szCs w:val="24"/>
          <w:lang w:val="en-US"/>
        </w:rPr>
      </w:pPr>
      <w:r w:rsidRPr="00C30C9E">
        <w:rPr>
          <w:szCs w:val="24"/>
          <w:lang w:val="en-US"/>
        </w:rPr>
        <w:t>Contact details:</w:t>
      </w:r>
      <w:r w:rsidR="00C30C9E" w:rsidRPr="00C30C9E">
        <w:rPr>
          <w:szCs w:val="24"/>
          <w:lang w:val="en-US"/>
        </w:rPr>
        <w:t xml:space="preserve"> </w:t>
      </w:r>
      <w:hyperlink r:id="rId11" w:history="1">
        <w:r w:rsidR="000138F8" w:rsidRPr="00902F5C">
          <w:rPr>
            <w:rStyle w:val="Hyperlink"/>
            <w:szCs w:val="24"/>
            <w:lang w:val="en-US"/>
          </w:rPr>
          <w:t>A.Volckaert@arcadisbelgium.be</w:t>
        </w:r>
      </w:hyperlink>
    </w:p>
    <w:p w:rsidR="00A9128F" w:rsidRPr="00C30C9E" w:rsidRDefault="00A9128F" w:rsidP="00A9128F">
      <w:pPr>
        <w:rPr>
          <w:szCs w:val="24"/>
          <w:lang w:val="en-US"/>
        </w:rPr>
      </w:pPr>
    </w:p>
    <w:p w:rsidR="00A9128F" w:rsidRDefault="00A9128F" w:rsidP="00A9128F">
      <w:pPr>
        <w:rPr>
          <w:szCs w:val="24"/>
          <w:lang w:val="en-GB"/>
        </w:rPr>
      </w:pPr>
      <w:proofErr w:type="spellStart"/>
      <w:r w:rsidRPr="00F55615">
        <w:rPr>
          <w:b/>
          <w:szCs w:val="24"/>
          <w:lang w:val="en-GB"/>
        </w:rPr>
        <w:t>Deputee</w:t>
      </w:r>
      <w:proofErr w:type="spellEnd"/>
      <w:r w:rsidRPr="00F55615">
        <w:rPr>
          <w:b/>
          <w:szCs w:val="24"/>
          <w:lang w:val="en-GB"/>
        </w:rPr>
        <w:t xml:space="preserve"> project manager</w:t>
      </w:r>
      <w:r w:rsidRPr="00A9128F">
        <w:rPr>
          <w:szCs w:val="24"/>
          <w:lang w:val="en-GB"/>
        </w:rPr>
        <w:t xml:space="preserve">: </w:t>
      </w:r>
      <w:r>
        <w:rPr>
          <w:szCs w:val="24"/>
          <w:lang w:val="en-GB"/>
        </w:rPr>
        <w:t>Wouter Rommens</w:t>
      </w:r>
    </w:p>
    <w:p w:rsidR="00076A1D" w:rsidRDefault="00A9128F" w:rsidP="00A9128F">
      <w:pPr>
        <w:rPr>
          <w:szCs w:val="24"/>
          <w:lang w:val="en-GB"/>
        </w:rPr>
      </w:pPr>
      <w:r>
        <w:rPr>
          <w:szCs w:val="24"/>
          <w:lang w:val="en-GB"/>
        </w:rPr>
        <w:t>Role:</w:t>
      </w:r>
      <w:r w:rsidR="00C30C9E">
        <w:rPr>
          <w:szCs w:val="24"/>
          <w:lang w:val="en-GB"/>
        </w:rPr>
        <w:t xml:space="preserve"> </w:t>
      </w:r>
    </w:p>
    <w:p w:rsidR="00076A1D" w:rsidRPr="00076A1D" w:rsidRDefault="006B0F09" w:rsidP="00D37637">
      <w:pPr>
        <w:pStyle w:val="Lijstalinea"/>
        <w:numPr>
          <w:ilvl w:val="0"/>
          <w:numId w:val="32"/>
        </w:numPr>
        <w:rPr>
          <w:szCs w:val="24"/>
          <w:lang w:val="en-GB"/>
        </w:rPr>
      </w:pPr>
      <w:r>
        <w:rPr>
          <w:szCs w:val="24"/>
          <w:lang w:val="en-US"/>
        </w:rPr>
        <w:t xml:space="preserve">Organisation of CBE events in collaboration with the project team, the </w:t>
      </w:r>
      <w:r w:rsidR="00A35CE5">
        <w:rPr>
          <w:szCs w:val="24"/>
          <w:lang w:val="en-US"/>
        </w:rPr>
        <w:t>National</w:t>
      </w:r>
      <w:r w:rsidR="00D37637" w:rsidRPr="00D37637">
        <w:rPr>
          <w:szCs w:val="24"/>
          <w:lang w:val="en-US"/>
        </w:rPr>
        <w:t xml:space="preserve"> Focal Contact Point</w:t>
      </w:r>
      <w:r w:rsidR="00D37637">
        <w:rPr>
          <w:szCs w:val="24"/>
          <w:lang w:val="en-US"/>
        </w:rPr>
        <w:t>s</w:t>
      </w:r>
      <w:r w:rsidR="00D37637" w:rsidRPr="00D37637">
        <w:rPr>
          <w:szCs w:val="24"/>
          <w:lang w:val="en-US"/>
        </w:rPr>
        <w:t xml:space="preserve"> </w:t>
      </w:r>
      <w:r>
        <w:rPr>
          <w:szCs w:val="24"/>
          <w:lang w:val="en-US"/>
        </w:rPr>
        <w:t>and the experts</w:t>
      </w:r>
    </w:p>
    <w:p w:rsidR="00A9128F" w:rsidRPr="005C6800" w:rsidRDefault="00C30C9E" w:rsidP="00D37637">
      <w:pPr>
        <w:pStyle w:val="Lijstalinea"/>
        <w:numPr>
          <w:ilvl w:val="0"/>
          <w:numId w:val="32"/>
        </w:numPr>
        <w:rPr>
          <w:szCs w:val="24"/>
          <w:lang w:val="en-GB"/>
        </w:rPr>
      </w:pPr>
      <w:r w:rsidRPr="00076A1D">
        <w:rPr>
          <w:szCs w:val="24"/>
          <w:lang w:val="en-US"/>
        </w:rPr>
        <w:t xml:space="preserve">First point of contact for </w:t>
      </w:r>
      <w:r w:rsidR="00A35CE5">
        <w:rPr>
          <w:szCs w:val="24"/>
          <w:lang w:val="en-US"/>
        </w:rPr>
        <w:t>National</w:t>
      </w:r>
      <w:r w:rsidR="00D37637" w:rsidRPr="00D37637">
        <w:rPr>
          <w:szCs w:val="24"/>
          <w:lang w:val="en-US"/>
        </w:rPr>
        <w:t xml:space="preserve"> Focal Contact Point</w:t>
      </w:r>
      <w:r w:rsidR="00D37637">
        <w:rPr>
          <w:szCs w:val="24"/>
          <w:lang w:val="en-US"/>
        </w:rPr>
        <w:t>s</w:t>
      </w:r>
      <w:r w:rsidR="00D37637" w:rsidRPr="00D37637">
        <w:rPr>
          <w:szCs w:val="24"/>
          <w:lang w:val="en-US"/>
        </w:rPr>
        <w:t xml:space="preserve"> </w:t>
      </w:r>
      <w:r w:rsidRPr="00076A1D">
        <w:rPr>
          <w:szCs w:val="24"/>
          <w:lang w:val="en-US"/>
        </w:rPr>
        <w:t>for this project</w:t>
      </w:r>
      <w:r w:rsidR="00BE05AE">
        <w:rPr>
          <w:szCs w:val="24"/>
          <w:lang w:val="en-US"/>
        </w:rPr>
        <w:t xml:space="preserve"> (CBE events)</w:t>
      </w:r>
    </w:p>
    <w:p w:rsidR="00852398" w:rsidRPr="00852398" w:rsidRDefault="00BE05AE" w:rsidP="00076A1D">
      <w:pPr>
        <w:pStyle w:val="Lijstalinea"/>
        <w:numPr>
          <w:ilvl w:val="0"/>
          <w:numId w:val="32"/>
        </w:numPr>
        <w:rPr>
          <w:szCs w:val="24"/>
          <w:lang w:val="en-GB"/>
        </w:rPr>
      </w:pPr>
      <w:r>
        <w:rPr>
          <w:szCs w:val="24"/>
          <w:lang w:val="en-US"/>
        </w:rPr>
        <w:t>Communication related to CBE events</w:t>
      </w:r>
    </w:p>
    <w:p w:rsidR="00852398" w:rsidRPr="00852398" w:rsidRDefault="00852398" w:rsidP="00852398">
      <w:pPr>
        <w:pStyle w:val="Lijstalinea"/>
        <w:numPr>
          <w:ilvl w:val="0"/>
          <w:numId w:val="32"/>
        </w:numPr>
        <w:rPr>
          <w:szCs w:val="24"/>
          <w:lang w:val="en-GB"/>
        </w:rPr>
      </w:pPr>
      <w:r w:rsidRPr="00852398">
        <w:rPr>
          <w:szCs w:val="24"/>
          <w:lang w:val="en-GB"/>
        </w:rPr>
        <w:t>Administrative aspects of reimbursement and reimbursement of experts attending the CBE (described below)</w:t>
      </w:r>
    </w:p>
    <w:p w:rsidR="00852398" w:rsidRPr="00852398" w:rsidRDefault="00852398" w:rsidP="00852398">
      <w:pPr>
        <w:pStyle w:val="Lijstalinea"/>
        <w:rPr>
          <w:szCs w:val="24"/>
          <w:lang w:val="en-GB"/>
        </w:rPr>
      </w:pPr>
    </w:p>
    <w:p w:rsidR="00A9128F" w:rsidRDefault="00A9128F" w:rsidP="00A9128F">
      <w:pPr>
        <w:rPr>
          <w:szCs w:val="24"/>
          <w:lang w:val="en-GB"/>
        </w:rPr>
      </w:pPr>
      <w:r>
        <w:rPr>
          <w:szCs w:val="24"/>
          <w:lang w:val="en-GB"/>
        </w:rPr>
        <w:t>Contact details:</w:t>
      </w:r>
      <w:r w:rsidR="00C30C9E">
        <w:rPr>
          <w:szCs w:val="24"/>
          <w:lang w:val="en-GB"/>
        </w:rPr>
        <w:t xml:space="preserve"> </w:t>
      </w:r>
      <w:hyperlink r:id="rId12" w:history="1">
        <w:r w:rsidR="00405225" w:rsidRPr="000E1D5B">
          <w:rPr>
            <w:rStyle w:val="Hyperlink"/>
            <w:szCs w:val="24"/>
            <w:lang w:val="en-GB"/>
          </w:rPr>
          <w:t>w.rommens@arcadisbelgium.be</w:t>
        </w:r>
      </w:hyperlink>
    </w:p>
    <w:p w:rsidR="005B1E1E" w:rsidRDefault="005B1E1E" w:rsidP="00AC535F">
      <w:pPr>
        <w:rPr>
          <w:rStyle w:val="Hyperlink"/>
          <w:lang w:val="en-US"/>
        </w:rPr>
      </w:pPr>
    </w:p>
    <w:p w:rsidR="005B1E1E" w:rsidRPr="00405225" w:rsidRDefault="00F55615" w:rsidP="00AC535F">
      <w:pPr>
        <w:rPr>
          <w:rStyle w:val="Hyperlink"/>
          <w:color w:val="auto"/>
          <w:u w:val="none"/>
          <w:lang w:val="en-US"/>
        </w:rPr>
      </w:pPr>
      <w:r>
        <w:rPr>
          <w:rStyle w:val="Hyperlink"/>
          <w:b/>
          <w:color w:val="auto"/>
          <w:u w:val="none"/>
          <w:lang w:val="en-US"/>
        </w:rPr>
        <w:t>L</w:t>
      </w:r>
      <w:r w:rsidR="005B1E1E" w:rsidRPr="00F55615">
        <w:rPr>
          <w:rStyle w:val="Hyperlink"/>
          <w:b/>
          <w:color w:val="auto"/>
          <w:u w:val="none"/>
          <w:lang w:val="en-US"/>
        </w:rPr>
        <w:t xml:space="preserve">ocal project team </w:t>
      </w:r>
      <w:r w:rsidR="00FC492C" w:rsidRPr="00F55615">
        <w:rPr>
          <w:rStyle w:val="Hyperlink"/>
          <w:b/>
          <w:color w:val="auto"/>
          <w:u w:val="none"/>
          <w:lang w:val="en-US"/>
        </w:rPr>
        <w:t>experts</w:t>
      </w:r>
      <w:r w:rsidR="00C400E8" w:rsidRPr="00F55615">
        <w:rPr>
          <w:rStyle w:val="Hyperlink"/>
          <w:b/>
          <w:color w:val="auto"/>
          <w:u w:val="none"/>
          <w:lang w:val="en-US"/>
        </w:rPr>
        <w:t xml:space="preserve"> (PTE)</w:t>
      </w:r>
      <w:r w:rsidR="00FC492C" w:rsidRPr="00F55615">
        <w:rPr>
          <w:rStyle w:val="Hyperlink"/>
          <w:b/>
          <w:color w:val="auto"/>
          <w:u w:val="none"/>
          <w:lang w:val="en-US"/>
        </w:rPr>
        <w:t xml:space="preserve"> </w:t>
      </w:r>
      <w:r w:rsidR="00C400E8" w:rsidRPr="00F55615">
        <w:rPr>
          <w:rStyle w:val="Hyperlink"/>
          <w:b/>
          <w:color w:val="auto"/>
          <w:u w:val="none"/>
          <w:lang w:val="en-US"/>
        </w:rPr>
        <w:t>coordinators</w:t>
      </w:r>
      <w:r w:rsidR="005B1E1E" w:rsidRPr="00405225">
        <w:rPr>
          <w:rStyle w:val="Hyperlink"/>
          <w:color w:val="auto"/>
          <w:u w:val="none"/>
          <w:lang w:val="en-US"/>
        </w:rPr>
        <w:t xml:space="preserve">: </w:t>
      </w:r>
    </w:p>
    <w:p w:rsidR="005B1E1E" w:rsidRPr="00405225" w:rsidRDefault="005B1E1E" w:rsidP="001A6249">
      <w:pPr>
        <w:rPr>
          <w:rStyle w:val="Hyperlink"/>
          <w:color w:val="auto"/>
          <w:u w:val="none"/>
          <w:lang w:val="en-US"/>
        </w:rPr>
      </w:pPr>
      <w:r w:rsidRPr="00405225">
        <w:rPr>
          <w:rStyle w:val="Hyperlink"/>
          <w:color w:val="auto"/>
          <w:u w:val="none"/>
          <w:lang w:val="en-US"/>
        </w:rPr>
        <w:t>Romania:</w:t>
      </w:r>
      <w:r w:rsidR="001A6249" w:rsidRPr="00405225">
        <w:rPr>
          <w:rStyle w:val="Hyperlink"/>
          <w:color w:val="auto"/>
          <w:u w:val="none"/>
          <w:lang w:val="en-US"/>
        </w:rPr>
        <w:t xml:space="preserve"> </w:t>
      </w:r>
      <w:proofErr w:type="spellStart"/>
      <w:r w:rsidR="001A6249" w:rsidRPr="00405225">
        <w:rPr>
          <w:rStyle w:val="Hyperlink"/>
          <w:color w:val="auto"/>
          <w:u w:val="none"/>
          <w:lang w:val="en-US"/>
        </w:rPr>
        <w:t>Mr</w:t>
      </w:r>
      <w:proofErr w:type="spellEnd"/>
      <w:r w:rsidR="001A6249" w:rsidRPr="00405225">
        <w:rPr>
          <w:rStyle w:val="Hyperlink"/>
          <w:color w:val="auto"/>
          <w:u w:val="none"/>
          <w:lang w:val="en-US"/>
        </w:rPr>
        <w:t xml:space="preserve"> Dan </w:t>
      </w:r>
      <w:proofErr w:type="spellStart"/>
      <w:r w:rsidR="001A6249" w:rsidRPr="00405225">
        <w:rPr>
          <w:rStyle w:val="Hyperlink"/>
          <w:color w:val="auto"/>
          <w:u w:val="none"/>
          <w:lang w:val="en-US"/>
        </w:rPr>
        <w:t>V</w:t>
      </w:r>
      <w:r w:rsidR="00FC492C">
        <w:rPr>
          <w:rStyle w:val="Hyperlink"/>
          <w:color w:val="auto"/>
          <w:u w:val="none"/>
          <w:lang w:val="en-US"/>
        </w:rPr>
        <w:t>a</w:t>
      </w:r>
      <w:r w:rsidR="001A6249" w:rsidRPr="00405225">
        <w:rPr>
          <w:rStyle w:val="Hyperlink"/>
          <w:color w:val="auto"/>
          <w:u w:val="none"/>
          <w:lang w:val="en-US"/>
        </w:rPr>
        <w:t>siliu</w:t>
      </w:r>
      <w:proofErr w:type="spellEnd"/>
    </w:p>
    <w:p w:rsidR="00405225" w:rsidRPr="00405225" w:rsidRDefault="001A6249" w:rsidP="001A6249">
      <w:pPr>
        <w:rPr>
          <w:lang w:val="en-US"/>
        </w:rPr>
      </w:pPr>
      <w:r w:rsidRPr="00405225">
        <w:rPr>
          <w:rStyle w:val="Hyperlink"/>
          <w:color w:val="auto"/>
          <w:u w:val="none"/>
          <w:lang w:val="en-US"/>
        </w:rPr>
        <w:t xml:space="preserve">Contact details: </w:t>
      </w:r>
      <w:r w:rsidR="00405225">
        <w:rPr>
          <w:lang w:val="en-US"/>
        </w:rPr>
        <w:fldChar w:fldCharType="begin"/>
      </w:r>
      <w:r w:rsidR="00405225">
        <w:rPr>
          <w:lang w:val="en-US"/>
        </w:rPr>
        <w:instrText xml:space="preserve"> HYPERLINK "mailto:</w:instrText>
      </w:r>
      <w:r w:rsidR="00405225" w:rsidRPr="00405225">
        <w:rPr>
          <w:lang w:val="en-US"/>
        </w:rPr>
        <w:instrText>dan.vasiliu@geoecomar.ro</w:instrText>
      </w:r>
    </w:p>
    <w:p w:rsidR="00405225" w:rsidRPr="000E1D5B" w:rsidRDefault="00405225" w:rsidP="001A6249">
      <w:pPr>
        <w:rPr>
          <w:rStyle w:val="Hyperlink"/>
          <w:lang w:val="en-US"/>
        </w:rPr>
      </w:pPr>
      <w:r>
        <w:rPr>
          <w:lang w:val="en-US"/>
        </w:rPr>
        <w:instrText xml:space="preserve">" </w:instrText>
      </w:r>
      <w:r>
        <w:rPr>
          <w:lang w:val="en-US"/>
        </w:rPr>
        <w:fldChar w:fldCharType="separate"/>
      </w:r>
      <w:r w:rsidRPr="000E1D5B">
        <w:rPr>
          <w:rStyle w:val="Hyperlink"/>
          <w:lang w:val="en-US"/>
        </w:rPr>
        <w:t>dan.vasiliu@geoecomar.ro</w:t>
      </w:r>
    </w:p>
    <w:p w:rsidR="00405225" w:rsidRDefault="00405225" w:rsidP="001A6249">
      <w:pPr>
        <w:rPr>
          <w:rStyle w:val="Hyperlink"/>
          <w:color w:val="auto"/>
          <w:u w:val="none"/>
          <w:lang w:val="en-US"/>
        </w:rPr>
      </w:pPr>
      <w:r>
        <w:rPr>
          <w:lang w:val="en-US"/>
        </w:rPr>
        <w:fldChar w:fldCharType="end"/>
      </w:r>
    </w:p>
    <w:p w:rsidR="001A6249" w:rsidRPr="00405225" w:rsidRDefault="001A6249" w:rsidP="001A6249">
      <w:pPr>
        <w:rPr>
          <w:rStyle w:val="Hyperlink"/>
          <w:color w:val="auto"/>
          <w:u w:val="none"/>
          <w:lang w:val="en-US"/>
        </w:rPr>
      </w:pPr>
      <w:r w:rsidRPr="00405225">
        <w:rPr>
          <w:rStyle w:val="Hyperlink"/>
          <w:color w:val="auto"/>
          <w:u w:val="none"/>
          <w:lang w:val="en-US"/>
        </w:rPr>
        <w:t xml:space="preserve">Bulgaria: </w:t>
      </w:r>
      <w:proofErr w:type="spellStart"/>
      <w:r w:rsidRPr="00405225">
        <w:rPr>
          <w:rStyle w:val="Hyperlink"/>
          <w:color w:val="auto"/>
          <w:u w:val="none"/>
          <w:lang w:val="en-US"/>
        </w:rPr>
        <w:t>Mr</w:t>
      </w:r>
      <w:proofErr w:type="spellEnd"/>
      <w:r w:rsidRPr="00405225">
        <w:rPr>
          <w:rStyle w:val="Hyperlink"/>
          <w:color w:val="auto"/>
          <w:u w:val="none"/>
          <w:lang w:val="en-US"/>
        </w:rPr>
        <w:t xml:space="preserve"> Violin Raykov</w:t>
      </w:r>
    </w:p>
    <w:p w:rsidR="001A6249" w:rsidRPr="00405225" w:rsidRDefault="001A6249" w:rsidP="001A6249">
      <w:pPr>
        <w:rPr>
          <w:rStyle w:val="Hyperlink"/>
          <w:rFonts w:ascii="Tahoma" w:hAnsi="Tahoma" w:cs="Tahoma"/>
          <w:szCs w:val="20"/>
          <w:lang w:val="en-US"/>
        </w:rPr>
      </w:pPr>
      <w:r w:rsidRPr="00405225">
        <w:rPr>
          <w:rStyle w:val="Hyperlink"/>
          <w:color w:val="auto"/>
          <w:u w:val="none"/>
          <w:lang w:val="en-US"/>
        </w:rPr>
        <w:t xml:space="preserve">Contact details: </w:t>
      </w:r>
      <w:r w:rsidR="00405225">
        <w:rPr>
          <w:lang w:val="en-US"/>
        </w:rPr>
        <w:fldChar w:fldCharType="begin"/>
      </w:r>
      <w:r w:rsidR="00405225">
        <w:rPr>
          <w:lang w:val="en-US"/>
        </w:rPr>
        <w:instrText xml:space="preserve"> HYPERLINK "mailto:vio_raykov@abv.bg" </w:instrText>
      </w:r>
      <w:r w:rsidR="00405225">
        <w:rPr>
          <w:lang w:val="en-US"/>
        </w:rPr>
        <w:fldChar w:fldCharType="separate"/>
      </w:r>
      <w:r w:rsidR="00952E71" w:rsidRPr="00405225">
        <w:rPr>
          <w:rStyle w:val="Hyperlink"/>
          <w:lang w:val="en-US"/>
        </w:rPr>
        <w:t>vio_raykov@abv.bg</w:t>
      </w:r>
    </w:p>
    <w:p w:rsidR="001A6249" w:rsidRPr="00405225" w:rsidRDefault="00405225" w:rsidP="001A6249">
      <w:pPr>
        <w:rPr>
          <w:rStyle w:val="Hyperlink"/>
          <w:color w:val="auto"/>
          <w:u w:val="none"/>
          <w:lang w:val="en-US"/>
        </w:rPr>
      </w:pPr>
      <w:r>
        <w:rPr>
          <w:lang w:val="en-US"/>
        </w:rPr>
        <w:fldChar w:fldCharType="end"/>
      </w:r>
    </w:p>
    <w:p w:rsidR="00AC535F" w:rsidRPr="00405225" w:rsidRDefault="005B1E1E" w:rsidP="00AC535F">
      <w:pPr>
        <w:rPr>
          <w:rStyle w:val="Hyperlink"/>
          <w:color w:val="auto"/>
          <w:u w:val="none"/>
          <w:lang w:val="en-US"/>
        </w:rPr>
      </w:pPr>
      <w:r w:rsidRPr="00405225">
        <w:rPr>
          <w:rStyle w:val="Hyperlink"/>
          <w:color w:val="auto"/>
          <w:u w:val="none"/>
          <w:lang w:val="en-US"/>
        </w:rPr>
        <w:t>T</w:t>
      </w:r>
      <w:r w:rsidR="00AC535F" w:rsidRPr="00405225">
        <w:rPr>
          <w:rStyle w:val="Hyperlink"/>
          <w:color w:val="auto"/>
          <w:u w:val="none"/>
          <w:lang w:val="en-US"/>
        </w:rPr>
        <w:t>he role</w:t>
      </w:r>
      <w:r w:rsidR="001A6249" w:rsidRPr="00405225">
        <w:rPr>
          <w:rStyle w:val="Hyperlink"/>
          <w:color w:val="auto"/>
          <w:u w:val="none"/>
          <w:lang w:val="en-US"/>
        </w:rPr>
        <w:t>s</w:t>
      </w:r>
      <w:r w:rsidR="00AC535F" w:rsidRPr="00405225">
        <w:rPr>
          <w:rStyle w:val="Hyperlink"/>
          <w:color w:val="auto"/>
          <w:u w:val="none"/>
          <w:lang w:val="en-US"/>
        </w:rPr>
        <w:t xml:space="preserve"> of the local P</w:t>
      </w:r>
      <w:r w:rsidR="00C400E8">
        <w:rPr>
          <w:rStyle w:val="Hyperlink"/>
          <w:color w:val="auto"/>
          <w:u w:val="none"/>
          <w:lang w:val="en-US"/>
        </w:rPr>
        <w:t>TE coordinators</w:t>
      </w:r>
      <w:r w:rsidR="00AC535F" w:rsidRPr="00405225">
        <w:rPr>
          <w:rStyle w:val="Hyperlink"/>
          <w:color w:val="auto"/>
          <w:u w:val="none"/>
          <w:lang w:val="en-US"/>
        </w:rPr>
        <w:t xml:space="preserve"> </w:t>
      </w:r>
      <w:r w:rsidR="001A6249" w:rsidRPr="00405225">
        <w:rPr>
          <w:rStyle w:val="Hyperlink"/>
          <w:color w:val="auto"/>
          <w:u w:val="none"/>
          <w:lang w:val="en-US"/>
        </w:rPr>
        <w:t>are</w:t>
      </w:r>
      <w:r w:rsidR="00AC535F" w:rsidRPr="00405225">
        <w:rPr>
          <w:rStyle w:val="Hyperlink"/>
          <w:color w:val="auto"/>
          <w:u w:val="none"/>
          <w:lang w:val="en-US"/>
        </w:rPr>
        <w:t>:</w:t>
      </w:r>
    </w:p>
    <w:p w:rsidR="00C400E8" w:rsidRPr="00C400E8" w:rsidRDefault="00C400E8" w:rsidP="00C400E8">
      <w:pPr>
        <w:pStyle w:val="Lijstalinea"/>
        <w:numPr>
          <w:ilvl w:val="0"/>
          <w:numId w:val="32"/>
        </w:numPr>
        <w:rPr>
          <w:szCs w:val="24"/>
          <w:lang w:val="en-US"/>
        </w:rPr>
      </w:pPr>
      <w:r w:rsidRPr="00C400E8">
        <w:rPr>
          <w:szCs w:val="24"/>
          <w:lang w:val="en-US"/>
        </w:rPr>
        <w:t>Being the main contact point for the project team and the RO and BG experts</w:t>
      </w:r>
    </w:p>
    <w:p w:rsidR="00C400E8" w:rsidRPr="00C400E8" w:rsidRDefault="00C400E8" w:rsidP="00C400E8">
      <w:pPr>
        <w:pStyle w:val="Lijstalinea"/>
        <w:numPr>
          <w:ilvl w:val="0"/>
          <w:numId w:val="32"/>
        </w:numPr>
        <w:rPr>
          <w:szCs w:val="24"/>
          <w:lang w:val="en-US"/>
        </w:rPr>
      </w:pPr>
      <w:r w:rsidRPr="00C400E8">
        <w:rPr>
          <w:szCs w:val="24"/>
          <w:lang w:val="en-US"/>
        </w:rPr>
        <w:t>Providing local knowledge within different tasks (e.g. needs, monitoring status, etc.)</w:t>
      </w:r>
    </w:p>
    <w:p w:rsidR="00C400E8" w:rsidRPr="00C400E8" w:rsidRDefault="00C400E8" w:rsidP="00C400E8">
      <w:pPr>
        <w:pStyle w:val="Lijstalinea"/>
        <w:numPr>
          <w:ilvl w:val="0"/>
          <w:numId w:val="32"/>
        </w:numPr>
        <w:rPr>
          <w:szCs w:val="24"/>
          <w:lang w:val="en-US"/>
        </w:rPr>
      </w:pPr>
      <w:r w:rsidRPr="00C400E8">
        <w:rPr>
          <w:szCs w:val="24"/>
          <w:lang w:val="en-US"/>
        </w:rPr>
        <w:t>Organisation CBEs venue &amp; practicalities (done by host country)</w:t>
      </w:r>
    </w:p>
    <w:p w:rsidR="00C400E8" w:rsidRDefault="00C400E8" w:rsidP="00C400E8">
      <w:pPr>
        <w:pStyle w:val="Lijstalinea"/>
        <w:numPr>
          <w:ilvl w:val="0"/>
          <w:numId w:val="32"/>
        </w:numPr>
        <w:rPr>
          <w:szCs w:val="24"/>
          <w:lang w:val="en-US"/>
        </w:rPr>
      </w:pPr>
      <w:r w:rsidRPr="00C400E8">
        <w:rPr>
          <w:szCs w:val="24"/>
          <w:lang w:val="en-US"/>
        </w:rPr>
        <w:t xml:space="preserve">Selection of experts for the CBEs, in collaboration with the national focal contact points and the project managers </w:t>
      </w:r>
    </w:p>
    <w:p w:rsidR="00C400E8" w:rsidRPr="00C400E8" w:rsidRDefault="00C400E8" w:rsidP="00C400E8">
      <w:pPr>
        <w:pStyle w:val="Lijstalinea"/>
        <w:numPr>
          <w:ilvl w:val="0"/>
          <w:numId w:val="32"/>
        </w:numPr>
        <w:rPr>
          <w:szCs w:val="24"/>
          <w:lang w:val="en-US"/>
        </w:rPr>
      </w:pPr>
      <w:r w:rsidRPr="00C400E8">
        <w:rPr>
          <w:szCs w:val="24"/>
          <w:lang w:val="en-US"/>
        </w:rPr>
        <w:t xml:space="preserve">Attendance at all CBEs (or by representative of local PTE) </w:t>
      </w:r>
    </w:p>
    <w:p w:rsidR="00C400E8" w:rsidRPr="00C400E8" w:rsidRDefault="00C400E8" w:rsidP="00C400E8">
      <w:pPr>
        <w:pStyle w:val="Lijstalinea"/>
        <w:numPr>
          <w:ilvl w:val="0"/>
          <w:numId w:val="32"/>
        </w:numPr>
        <w:rPr>
          <w:szCs w:val="24"/>
          <w:lang w:val="en-US"/>
        </w:rPr>
      </w:pPr>
      <w:r w:rsidRPr="00C400E8">
        <w:rPr>
          <w:szCs w:val="24"/>
          <w:lang w:val="en-US"/>
        </w:rPr>
        <w:t>Preparation of the m</w:t>
      </w:r>
      <w:r>
        <w:rPr>
          <w:szCs w:val="24"/>
          <w:lang w:val="en-US"/>
        </w:rPr>
        <w:t xml:space="preserve">inutes CBE in English </w:t>
      </w:r>
    </w:p>
    <w:p w:rsidR="00C400E8" w:rsidRPr="00C400E8" w:rsidRDefault="00C400E8" w:rsidP="00C400E8">
      <w:pPr>
        <w:pStyle w:val="Lijstalinea"/>
        <w:numPr>
          <w:ilvl w:val="0"/>
          <w:numId w:val="32"/>
        </w:numPr>
        <w:rPr>
          <w:szCs w:val="24"/>
          <w:lang w:val="en-US"/>
        </w:rPr>
      </w:pPr>
      <w:r w:rsidRPr="00C400E8">
        <w:rPr>
          <w:szCs w:val="24"/>
          <w:lang w:val="en-US"/>
        </w:rPr>
        <w:lastRenderedPageBreak/>
        <w:t>If relevant, attendance at steering group meetings</w:t>
      </w:r>
    </w:p>
    <w:p w:rsidR="00C400E8" w:rsidRPr="00C400E8" w:rsidRDefault="00C400E8" w:rsidP="00C400E8">
      <w:pPr>
        <w:pStyle w:val="Lijstalinea"/>
        <w:numPr>
          <w:ilvl w:val="0"/>
          <w:numId w:val="32"/>
        </w:numPr>
        <w:rPr>
          <w:szCs w:val="24"/>
          <w:lang w:val="en-US"/>
        </w:rPr>
      </w:pPr>
      <w:r w:rsidRPr="00C400E8">
        <w:rPr>
          <w:szCs w:val="24"/>
          <w:lang w:val="en-US"/>
        </w:rPr>
        <w:t>Inform the contractor on developments in relation to MSFD implementation in their MS</w:t>
      </w:r>
    </w:p>
    <w:p w:rsidR="00AC535F" w:rsidRPr="0073538C" w:rsidRDefault="00AC535F" w:rsidP="00A9128F">
      <w:pPr>
        <w:rPr>
          <w:szCs w:val="24"/>
          <w:lang w:val="en-US"/>
        </w:rPr>
      </w:pPr>
    </w:p>
    <w:p w:rsidR="009C3279" w:rsidRDefault="00C30C9E" w:rsidP="00C30C9E">
      <w:pPr>
        <w:pStyle w:val="Lijstalinea"/>
        <w:numPr>
          <w:ilvl w:val="1"/>
          <w:numId w:val="27"/>
        </w:numPr>
        <w:rPr>
          <w:color w:val="4F81BD" w:themeColor="accent1"/>
          <w:lang w:val="nl-NL"/>
        </w:rPr>
      </w:pPr>
      <w:r>
        <w:rPr>
          <w:color w:val="4F81BD" w:themeColor="accent1"/>
          <w:lang w:val="nl-NL"/>
        </w:rPr>
        <w:t>C</w:t>
      </w:r>
      <w:r w:rsidR="007079C1">
        <w:rPr>
          <w:color w:val="4F81BD" w:themeColor="accent1"/>
          <w:lang w:val="nl-NL"/>
        </w:rPr>
        <w:t>LIENT</w:t>
      </w:r>
    </w:p>
    <w:p w:rsidR="00C30C9E" w:rsidRDefault="00C30C9E" w:rsidP="00C30C9E">
      <w:pPr>
        <w:rPr>
          <w:szCs w:val="24"/>
          <w:lang w:val="en-GB"/>
        </w:rPr>
      </w:pPr>
    </w:p>
    <w:p w:rsidR="00C30C9E" w:rsidRDefault="00C30C9E" w:rsidP="00C30C9E">
      <w:pPr>
        <w:rPr>
          <w:szCs w:val="24"/>
          <w:lang w:val="en-GB"/>
        </w:rPr>
      </w:pPr>
      <w:r w:rsidRPr="00C30C9E">
        <w:rPr>
          <w:szCs w:val="24"/>
          <w:lang w:val="en-GB"/>
        </w:rPr>
        <w:t xml:space="preserve">EC </w:t>
      </w:r>
      <w:r>
        <w:rPr>
          <w:szCs w:val="24"/>
          <w:lang w:val="en-GB"/>
        </w:rPr>
        <w:t xml:space="preserve">desk officer: Mr </w:t>
      </w:r>
      <w:proofErr w:type="spellStart"/>
      <w:r>
        <w:rPr>
          <w:szCs w:val="24"/>
          <w:lang w:val="en-GB"/>
        </w:rPr>
        <w:t>Michail</w:t>
      </w:r>
      <w:proofErr w:type="spellEnd"/>
      <w:r>
        <w:rPr>
          <w:szCs w:val="24"/>
          <w:lang w:val="en-GB"/>
        </w:rPr>
        <w:t xml:space="preserve"> </w:t>
      </w:r>
      <w:proofErr w:type="spellStart"/>
      <w:r>
        <w:rPr>
          <w:szCs w:val="24"/>
          <w:lang w:val="en-GB"/>
        </w:rPr>
        <w:t>Papadoyannakis</w:t>
      </w:r>
      <w:proofErr w:type="spellEnd"/>
    </w:p>
    <w:p w:rsidR="00C30C9E" w:rsidRDefault="00F55615" w:rsidP="00C30C9E">
      <w:pPr>
        <w:rPr>
          <w:szCs w:val="24"/>
          <w:lang w:val="en-GB"/>
        </w:rPr>
      </w:pPr>
      <w:r w:rsidRPr="00F55615">
        <w:rPr>
          <w:lang w:val="en-US"/>
        </w:rPr>
        <w:t xml:space="preserve">Contact details: </w:t>
      </w:r>
      <w:hyperlink r:id="rId13" w:history="1">
        <w:r w:rsidR="00C30C9E" w:rsidRPr="00E26875">
          <w:rPr>
            <w:rStyle w:val="Hyperlink"/>
            <w:szCs w:val="24"/>
            <w:lang w:val="en-GB"/>
          </w:rPr>
          <w:t>Michail.Papadoyannakis@ec.europa.eu</w:t>
        </w:r>
      </w:hyperlink>
    </w:p>
    <w:p w:rsidR="00C30C9E" w:rsidRDefault="00C30C9E" w:rsidP="00C30C9E">
      <w:pPr>
        <w:rPr>
          <w:szCs w:val="24"/>
          <w:lang w:val="en-GB"/>
        </w:rPr>
      </w:pPr>
      <w:r>
        <w:rPr>
          <w:szCs w:val="24"/>
          <w:lang w:val="en-GB"/>
        </w:rPr>
        <w:t xml:space="preserve">To be included in “formal” communication </w:t>
      </w:r>
      <w:r w:rsidR="00BE05AE">
        <w:rPr>
          <w:szCs w:val="24"/>
          <w:lang w:val="en-GB"/>
        </w:rPr>
        <w:t xml:space="preserve">(contract related) </w:t>
      </w:r>
      <w:r>
        <w:rPr>
          <w:szCs w:val="24"/>
          <w:lang w:val="en-GB"/>
        </w:rPr>
        <w:t xml:space="preserve">of </w:t>
      </w:r>
      <w:r w:rsidR="00D37637" w:rsidRPr="00D37637">
        <w:rPr>
          <w:szCs w:val="24"/>
          <w:lang w:val="en-GB"/>
        </w:rPr>
        <w:t xml:space="preserve">National Focal Contact Point </w:t>
      </w:r>
      <w:r>
        <w:rPr>
          <w:szCs w:val="24"/>
          <w:lang w:val="en-GB"/>
        </w:rPr>
        <w:t>to contractor and vice versa.</w:t>
      </w:r>
    </w:p>
    <w:p w:rsidR="00C30C9E" w:rsidRPr="00C30C9E" w:rsidRDefault="00C30C9E" w:rsidP="00C30C9E">
      <w:pPr>
        <w:rPr>
          <w:color w:val="4F81BD" w:themeColor="accent1"/>
          <w:lang w:val="en-US"/>
        </w:rPr>
      </w:pPr>
    </w:p>
    <w:p w:rsidR="009C3279" w:rsidRDefault="009C3279" w:rsidP="00DE5980">
      <w:pPr>
        <w:pStyle w:val="Lijstalinea"/>
        <w:numPr>
          <w:ilvl w:val="0"/>
          <w:numId w:val="27"/>
        </w:numPr>
        <w:rPr>
          <w:color w:val="4F81BD" w:themeColor="accent1"/>
          <w:lang w:val="nl-NL"/>
        </w:rPr>
      </w:pPr>
      <w:r>
        <w:rPr>
          <w:color w:val="4F81BD" w:themeColor="accent1"/>
          <w:lang w:val="nl-NL"/>
        </w:rPr>
        <w:t>MEETINGS AND REIMBURSEMENTS</w:t>
      </w:r>
    </w:p>
    <w:p w:rsidR="00F51B5D" w:rsidRDefault="00F51B5D" w:rsidP="00F51B5D">
      <w:pPr>
        <w:pStyle w:val="Lijstalinea"/>
        <w:rPr>
          <w:color w:val="4F81BD" w:themeColor="accent1"/>
          <w:lang w:val="nl-NL"/>
        </w:rPr>
      </w:pPr>
    </w:p>
    <w:p w:rsidR="00F51B5D" w:rsidRDefault="00F51B5D" w:rsidP="00F51B5D">
      <w:pPr>
        <w:spacing w:before="0" w:after="0" w:line="240" w:lineRule="auto"/>
        <w:jc w:val="both"/>
        <w:rPr>
          <w:szCs w:val="24"/>
          <w:lang w:val="en-GB"/>
        </w:rPr>
      </w:pPr>
      <w:r>
        <w:rPr>
          <w:szCs w:val="24"/>
          <w:lang w:val="en-GB"/>
        </w:rPr>
        <w:t xml:space="preserve">Following the Terms of Reference, </w:t>
      </w:r>
      <w:r w:rsidRPr="00F51B5D">
        <w:rPr>
          <w:szCs w:val="24"/>
          <w:lang w:val="en-GB"/>
        </w:rPr>
        <w:t>the general organisation</w:t>
      </w:r>
      <w:r>
        <w:rPr>
          <w:szCs w:val="24"/>
          <w:lang w:val="en-GB"/>
        </w:rPr>
        <w:t xml:space="preserve"> </w:t>
      </w:r>
      <w:r w:rsidRPr="00F51B5D">
        <w:rPr>
          <w:szCs w:val="24"/>
          <w:lang w:val="en-GB"/>
        </w:rPr>
        <w:t xml:space="preserve">of </w:t>
      </w:r>
      <w:r>
        <w:rPr>
          <w:szCs w:val="24"/>
          <w:lang w:val="en-GB"/>
        </w:rPr>
        <w:t xml:space="preserve">the </w:t>
      </w:r>
      <w:r w:rsidRPr="00662D1F">
        <w:rPr>
          <w:b/>
          <w:szCs w:val="24"/>
          <w:lang w:val="en-GB"/>
        </w:rPr>
        <w:t>Capacity Building Events (CBEs)</w:t>
      </w:r>
      <w:r>
        <w:rPr>
          <w:szCs w:val="24"/>
          <w:lang w:val="en-GB"/>
        </w:rPr>
        <w:t xml:space="preserve"> foreseen in Task 2</w:t>
      </w:r>
      <w:r w:rsidRPr="00F51B5D">
        <w:rPr>
          <w:szCs w:val="24"/>
          <w:lang w:val="en-GB"/>
        </w:rPr>
        <w:t xml:space="preserve"> shall be as follows:</w:t>
      </w:r>
    </w:p>
    <w:p w:rsidR="00F51B5D" w:rsidRDefault="00F51B5D" w:rsidP="00F51B5D">
      <w:pPr>
        <w:spacing w:before="0" w:after="0" w:line="240" w:lineRule="auto"/>
        <w:jc w:val="both"/>
        <w:rPr>
          <w:szCs w:val="24"/>
          <w:lang w:val="en-GB"/>
        </w:rPr>
      </w:pPr>
    </w:p>
    <w:p w:rsidR="00F51B5D" w:rsidRDefault="00F51B5D" w:rsidP="00F51B5D">
      <w:pPr>
        <w:pStyle w:val="Lijstalinea"/>
        <w:numPr>
          <w:ilvl w:val="0"/>
          <w:numId w:val="29"/>
        </w:numPr>
        <w:spacing w:before="0" w:after="0" w:line="240" w:lineRule="auto"/>
        <w:jc w:val="both"/>
        <w:rPr>
          <w:szCs w:val="24"/>
          <w:lang w:val="en-GB"/>
        </w:rPr>
      </w:pPr>
      <w:r w:rsidRPr="00F51B5D">
        <w:rPr>
          <w:szCs w:val="24"/>
          <w:lang w:val="en-GB"/>
        </w:rPr>
        <w:t>the events shall bring together between 10 and a normally a maximum of 20 experts,</w:t>
      </w:r>
    </w:p>
    <w:p w:rsidR="006B0F09" w:rsidRPr="00934F44" w:rsidRDefault="00F51B5D" w:rsidP="006B0F09">
      <w:pPr>
        <w:spacing w:before="0" w:after="0" w:line="240" w:lineRule="auto"/>
        <w:ind w:left="708"/>
        <w:jc w:val="both"/>
        <w:rPr>
          <w:szCs w:val="24"/>
          <w:lang w:val="en-GB"/>
        </w:rPr>
      </w:pPr>
      <w:r w:rsidRPr="006B0F09">
        <w:rPr>
          <w:szCs w:val="24"/>
          <w:lang w:val="en-GB"/>
        </w:rPr>
        <w:t xml:space="preserve">the events shall be focused around the subject and a deliverable to be agreed </w:t>
      </w:r>
      <w:r w:rsidR="006B0F09" w:rsidRPr="006B0F09">
        <w:rPr>
          <w:szCs w:val="24"/>
          <w:lang w:val="en-GB"/>
        </w:rPr>
        <w:t xml:space="preserve">at the kick-off meeting and at later stages. </w:t>
      </w:r>
      <w:r w:rsidR="006B0F09">
        <w:rPr>
          <w:szCs w:val="24"/>
          <w:lang w:val="en-GB"/>
        </w:rPr>
        <w:t xml:space="preserve">A provisional scheme of CBEs (topics and timing) is included </w:t>
      </w:r>
      <w:r w:rsidR="006B0F09" w:rsidRPr="00934F44">
        <w:rPr>
          <w:szCs w:val="24"/>
          <w:lang w:val="en-GB"/>
        </w:rPr>
        <w:t xml:space="preserve">in Annex 1 </w:t>
      </w:r>
      <w:r w:rsidR="006B0F09">
        <w:rPr>
          <w:szCs w:val="24"/>
          <w:lang w:val="en-GB"/>
        </w:rPr>
        <w:t>Proposed list CBEs</w:t>
      </w:r>
      <w:r w:rsidR="006B0F09" w:rsidRPr="00934F44">
        <w:rPr>
          <w:szCs w:val="24"/>
          <w:lang w:val="en-GB"/>
        </w:rPr>
        <w:t>.</w:t>
      </w:r>
    </w:p>
    <w:p w:rsidR="00F51B5D" w:rsidRDefault="00F51B5D" w:rsidP="00D37637">
      <w:pPr>
        <w:pStyle w:val="Lijstalinea"/>
        <w:numPr>
          <w:ilvl w:val="0"/>
          <w:numId w:val="29"/>
        </w:numPr>
        <w:spacing w:before="0" w:after="0" w:line="240" w:lineRule="auto"/>
        <w:jc w:val="both"/>
        <w:rPr>
          <w:szCs w:val="24"/>
          <w:lang w:val="en-GB"/>
        </w:rPr>
      </w:pPr>
      <w:r w:rsidRPr="006B0F09">
        <w:rPr>
          <w:szCs w:val="24"/>
          <w:lang w:val="en-GB"/>
        </w:rPr>
        <w:t>Reimbursement of a maximum of three experts from Bulgaria and Romania per meeting which does not take place in their home country. Bulgaria and Romania</w:t>
      </w:r>
      <w:r w:rsidR="007D72B4" w:rsidRPr="006B0F09">
        <w:rPr>
          <w:szCs w:val="24"/>
          <w:lang w:val="en-GB"/>
        </w:rPr>
        <w:t xml:space="preserve">n </w:t>
      </w:r>
      <w:r w:rsidR="00D37637">
        <w:rPr>
          <w:szCs w:val="24"/>
          <w:lang w:val="en-GB"/>
        </w:rPr>
        <w:t>National Focal Contact Point</w:t>
      </w:r>
      <w:r w:rsidR="007D72B4" w:rsidRPr="006B0F09">
        <w:rPr>
          <w:szCs w:val="24"/>
          <w:lang w:val="en-GB"/>
        </w:rPr>
        <w:t>s</w:t>
      </w:r>
      <w:r w:rsidRPr="006B0F09">
        <w:rPr>
          <w:szCs w:val="24"/>
          <w:lang w:val="en-GB"/>
        </w:rPr>
        <w:t xml:space="preserve"> shall nominate the </w:t>
      </w:r>
      <w:r w:rsidR="007D72B4" w:rsidRPr="006B0F09">
        <w:rPr>
          <w:szCs w:val="24"/>
          <w:lang w:val="en-GB"/>
        </w:rPr>
        <w:t>experts in discussion with the contractor</w:t>
      </w:r>
      <w:r w:rsidRPr="006B0F09">
        <w:rPr>
          <w:szCs w:val="24"/>
          <w:lang w:val="en-GB"/>
        </w:rPr>
        <w:t xml:space="preserve"> and cover all the remaining costs of the their experts</w:t>
      </w:r>
      <w:r w:rsidR="007079C1" w:rsidRPr="006B0F09">
        <w:rPr>
          <w:szCs w:val="24"/>
          <w:lang w:val="en-GB"/>
        </w:rPr>
        <w:t>.</w:t>
      </w:r>
    </w:p>
    <w:p w:rsidR="004F0D5F" w:rsidRPr="004F0D5F" w:rsidRDefault="004F0D5F" w:rsidP="004F0D5F">
      <w:pPr>
        <w:pStyle w:val="Lijstalinea"/>
        <w:numPr>
          <w:ilvl w:val="0"/>
          <w:numId w:val="29"/>
        </w:numPr>
        <w:spacing w:before="0" w:after="0" w:line="240" w:lineRule="auto"/>
        <w:jc w:val="both"/>
        <w:rPr>
          <w:szCs w:val="24"/>
          <w:lang w:val="en-GB"/>
        </w:rPr>
      </w:pPr>
      <w:r w:rsidRPr="004F0D5F">
        <w:rPr>
          <w:szCs w:val="24"/>
          <w:lang w:val="en-GB"/>
        </w:rPr>
        <w:t>For two events, the contractor shall organise a venue (including coffee/tea/water for the participants) and technical equipment, as necessary. For the other remaining events, these costs will be taken care of by Bulgaria and Romania.</w:t>
      </w:r>
      <w:r>
        <w:rPr>
          <w:szCs w:val="24"/>
          <w:lang w:val="en-GB"/>
        </w:rPr>
        <w:t xml:space="preserve"> </w:t>
      </w:r>
    </w:p>
    <w:p w:rsidR="00662D1F" w:rsidRPr="00934F44" w:rsidRDefault="00662D1F" w:rsidP="00662D1F">
      <w:pPr>
        <w:spacing w:before="0" w:after="0" w:line="240" w:lineRule="auto"/>
        <w:jc w:val="both"/>
        <w:rPr>
          <w:szCs w:val="24"/>
          <w:lang w:val="en-GB"/>
        </w:rPr>
      </w:pPr>
    </w:p>
    <w:p w:rsidR="00662D1F" w:rsidRPr="00934F44" w:rsidRDefault="00662D1F" w:rsidP="00EE5441">
      <w:pPr>
        <w:spacing w:before="0" w:after="0" w:line="240" w:lineRule="auto"/>
        <w:jc w:val="both"/>
        <w:rPr>
          <w:szCs w:val="24"/>
          <w:lang w:val="en-GB"/>
        </w:rPr>
      </w:pPr>
      <w:r w:rsidRPr="00934F44">
        <w:rPr>
          <w:szCs w:val="24"/>
          <w:lang w:val="en-GB"/>
        </w:rPr>
        <w:t>Fol</w:t>
      </w:r>
      <w:r w:rsidR="00DB54B3" w:rsidRPr="00934F44">
        <w:rPr>
          <w:szCs w:val="24"/>
          <w:lang w:val="en-GB"/>
        </w:rPr>
        <w:t>l</w:t>
      </w:r>
      <w:r w:rsidRPr="00934F44">
        <w:rPr>
          <w:szCs w:val="24"/>
          <w:lang w:val="en-GB"/>
        </w:rPr>
        <w:t xml:space="preserve">owing the Terms of Reference, </w:t>
      </w:r>
      <w:r w:rsidR="007D72B4" w:rsidRPr="00934F44">
        <w:rPr>
          <w:szCs w:val="24"/>
          <w:lang w:val="en-GB"/>
        </w:rPr>
        <w:t>f</w:t>
      </w:r>
      <w:r w:rsidR="00EE5441" w:rsidRPr="00934F44">
        <w:rPr>
          <w:szCs w:val="24"/>
          <w:lang w:val="en-GB"/>
        </w:rPr>
        <w:t xml:space="preserve">or the purpose of successful implementation of this project, a </w:t>
      </w:r>
      <w:r w:rsidR="00EE5441" w:rsidRPr="004F0D5F">
        <w:rPr>
          <w:b/>
          <w:szCs w:val="24"/>
          <w:lang w:val="en-GB"/>
        </w:rPr>
        <w:t>Steering Group</w:t>
      </w:r>
      <w:r w:rsidR="00EE5441" w:rsidRPr="00934F44">
        <w:rPr>
          <w:szCs w:val="24"/>
          <w:lang w:val="en-GB"/>
        </w:rPr>
        <w:t xml:space="preserve"> will be established. The Steering Group will be chaired by the project manager in DG ENV and will include nominated experts from BG, RO and the Commission (JRC, EEA and, as appropriate, MARE or other services). The meetings of the Steering Group will be in fact project meetings, which will be held in the beginning of the project (kick off meeting) and then every 3-4 months. Two months before the end of the project, a final project meeting/Steering Group will be organised. In total, a maximum of five Steering Group</w:t>
      </w:r>
      <w:r w:rsidR="00691BED">
        <w:rPr>
          <w:szCs w:val="24"/>
          <w:lang w:val="en-GB"/>
        </w:rPr>
        <w:t xml:space="preserve"> Meeting</w:t>
      </w:r>
      <w:r w:rsidR="00EE5441" w:rsidRPr="00934F44">
        <w:rPr>
          <w:szCs w:val="24"/>
          <w:lang w:val="en-GB"/>
        </w:rPr>
        <w:t>s</w:t>
      </w:r>
      <w:r w:rsidR="00691BED">
        <w:rPr>
          <w:szCs w:val="24"/>
          <w:lang w:val="en-GB"/>
        </w:rPr>
        <w:t xml:space="preserve"> (SGM)</w:t>
      </w:r>
      <w:r w:rsidR="00EE5441" w:rsidRPr="00934F44">
        <w:rPr>
          <w:szCs w:val="24"/>
          <w:lang w:val="en-GB"/>
        </w:rPr>
        <w:t xml:space="preserve"> will be organised. It is expected that two meetings will take place in Brussels (kick off and </w:t>
      </w:r>
      <w:r w:rsidR="00691BED">
        <w:rPr>
          <w:szCs w:val="24"/>
          <w:lang w:val="en-GB"/>
        </w:rPr>
        <w:t>3° SGM</w:t>
      </w:r>
      <w:r w:rsidR="00EE5441" w:rsidRPr="00934F44">
        <w:rPr>
          <w:szCs w:val="24"/>
          <w:lang w:val="en-GB"/>
        </w:rPr>
        <w:t>) and the other meetings in either Bulgaria or Romania.</w:t>
      </w:r>
    </w:p>
    <w:p w:rsidR="00662D1F" w:rsidRPr="00934F44" w:rsidRDefault="00662D1F" w:rsidP="00662D1F">
      <w:pPr>
        <w:spacing w:before="0" w:after="0" w:line="240" w:lineRule="auto"/>
        <w:jc w:val="both"/>
        <w:rPr>
          <w:szCs w:val="24"/>
          <w:lang w:val="en-GB"/>
        </w:rPr>
      </w:pPr>
    </w:p>
    <w:p w:rsidR="00F143BD" w:rsidRDefault="00F51B5D" w:rsidP="00662D1F">
      <w:pPr>
        <w:spacing w:before="0" w:after="0" w:line="240" w:lineRule="auto"/>
        <w:jc w:val="both"/>
        <w:rPr>
          <w:szCs w:val="24"/>
          <w:lang w:val="en-GB"/>
        </w:rPr>
      </w:pPr>
      <w:r w:rsidRPr="00934F44">
        <w:rPr>
          <w:szCs w:val="24"/>
          <w:lang w:val="en-GB"/>
        </w:rPr>
        <w:t xml:space="preserve">The process that will be followed in terms of preparation for an event </w:t>
      </w:r>
      <w:r w:rsidR="0077489D" w:rsidRPr="00934F44">
        <w:rPr>
          <w:szCs w:val="24"/>
          <w:lang w:val="en-GB"/>
        </w:rPr>
        <w:t xml:space="preserve">(CBE or </w:t>
      </w:r>
      <w:r w:rsidR="00691BED">
        <w:rPr>
          <w:szCs w:val="24"/>
          <w:lang w:val="en-GB"/>
        </w:rPr>
        <w:t>SGM</w:t>
      </w:r>
      <w:r w:rsidR="0077489D" w:rsidRPr="00934F44">
        <w:rPr>
          <w:szCs w:val="24"/>
          <w:lang w:val="en-GB"/>
        </w:rPr>
        <w:t xml:space="preserve">) </w:t>
      </w:r>
      <w:r w:rsidR="00A3285F">
        <w:rPr>
          <w:szCs w:val="24"/>
          <w:lang w:val="en-GB"/>
        </w:rPr>
        <w:t xml:space="preserve">is given in the flowchart below and is explained in the following sections. </w:t>
      </w:r>
    </w:p>
    <w:p w:rsidR="00F143BD" w:rsidRDefault="00F143BD" w:rsidP="00662D1F">
      <w:pPr>
        <w:spacing w:before="0" w:after="0" w:line="240" w:lineRule="auto"/>
        <w:jc w:val="both"/>
        <w:rPr>
          <w:szCs w:val="24"/>
          <w:lang w:val="en-GB"/>
        </w:rPr>
      </w:pPr>
    </w:p>
    <w:p w:rsidR="00F143BD" w:rsidRDefault="00F143BD" w:rsidP="00662D1F">
      <w:pPr>
        <w:spacing w:before="0" w:after="0" w:line="240" w:lineRule="auto"/>
        <w:jc w:val="both"/>
        <w:rPr>
          <w:szCs w:val="24"/>
          <w:lang w:val="en-GB"/>
        </w:rPr>
        <w:sectPr w:rsidR="00F143BD" w:rsidSect="002F3F6E">
          <w:pgSz w:w="11906" w:h="16838"/>
          <w:pgMar w:top="1417" w:right="1417" w:bottom="1417" w:left="1417" w:header="708" w:footer="708" w:gutter="0"/>
          <w:cols w:space="708"/>
          <w:docGrid w:linePitch="360"/>
        </w:sectPr>
      </w:pPr>
    </w:p>
    <w:p w:rsidR="00A3285F" w:rsidRDefault="000138F8" w:rsidP="000138F8">
      <w:pPr>
        <w:pStyle w:val="Bijschrift"/>
        <w:rPr>
          <w:lang w:val="en-US"/>
        </w:rPr>
      </w:pPr>
      <w:r w:rsidRPr="000138F8">
        <w:rPr>
          <w:lang w:val="en-US"/>
        </w:rPr>
        <w:lastRenderedPageBreak/>
        <w:t xml:space="preserve">Figure </w:t>
      </w:r>
      <w:r>
        <w:fldChar w:fldCharType="begin"/>
      </w:r>
      <w:r w:rsidRPr="000138F8">
        <w:rPr>
          <w:lang w:val="en-US"/>
        </w:rPr>
        <w:instrText xml:space="preserve"> SEQ Figure \* ARABIC </w:instrText>
      </w:r>
      <w:r>
        <w:fldChar w:fldCharType="separate"/>
      </w:r>
      <w:r w:rsidR="002B621A">
        <w:rPr>
          <w:noProof/>
          <w:lang w:val="en-US"/>
        </w:rPr>
        <w:t>1</w:t>
      </w:r>
      <w:r>
        <w:fldChar w:fldCharType="end"/>
      </w:r>
      <w:r w:rsidRPr="000138F8">
        <w:rPr>
          <w:lang w:val="en-US"/>
        </w:rPr>
        <w:t> : Flow diagram preparation event (CBE or steering group meeting)</w:t>
      </w:r>
    </w:p>
    <w:p w:rsidR="000138F8" w:rsidRPr="000138F8" w:rsidRDefault="000138F8" w:rsidP="000138F8">
      <w:pPr>
        <w:rPr>
          <w:lang w:val="en-US"/>
        </w:rPr>
      </w:pPr>
    </w:p>
    <w:p w:rsidR="000138F8" w:rsidRPr="0086526E" w:rsidRDefault="00D85EBB" w:rsidP="00662D1F">
      <w:pPr>
        <w:spacing w:before="0" w:after="0" w:line="240" w:lineRule="auto"/>
        <w:jc w:val="both"/>
        <w:rPr>
          <w:szCs w:val="24"/>
          <w:lang w:val="en-US"/>
        </w:rPr>
        <w:sectPr w:rsidR="000138F8" w:rsidRPr="0086526E" w:rsidSect="00A3285F">
          <w:pgSz w:w="16838" w:h="11906" w:orient="landscape"/>
          <w:pgMar w:top="1417" w:right="1417" w:bottom="1417" w:left="1417" w:header="708" w:footer="708" w:gutter="0"/>
          <w:cols w:space="708"/>
          <w:docGrid w:linePitch="360"/>
        </w:sectPr>
      </w:pPr>
      <w:bookmarkStart w:id="8" w:name="_GoBack"/>
      <w:r>
        <w:rPr>
          <w:noProof/>
          <w:szCs w:val="24"/>
          <w:lang w:val="en-US"/>
        </w:rPr>
        <w:drawing>
          <wp:inline distT="0" distB="0" distL="0" distR="0">
            <wp:extent cx="8892540" cy="234759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process CBEs_draft_for kickoff.jpg"/>
                    <pic:cNvPicPr/>
                  </pic:nvPicPr>
                  <pic:blipFill>
                    <a:blip r:embed="rId14">
                      <a:extLst>
                        <a:ext uri="{28A0092B-C50C-407E-A947-70E740481C1C}">
                          <a14:useLocalDpi xmlns:a14="http://schemas.microsoft.com/office/drawing/2010/main" val="0"/>
                        </a:ext>
                      </a:extLst>
                    </a:blip>
                    <a:stretch>
                      <a:fillRect/>
                    </a:stretch>
                  </pic:blipFill>
                  <pic:spPr>
                    <a:xfrm>
                      <a:off x="0" y="0"/>
                      <a:ext cx="8892540" cy="2347595"/>
                    </a:xfrm>
                    <a:prstGeom prst="rect">
                      <a:avLst/>
                    </a:prstGeom>
                  </pic:spPr>
                </pic:pic>
              </a:graphicData>
            </a:graphic>
          </wp:inline>
        </w:drawing>
      </w:r>
      <w:bookmarkEnd w:id="8"/>
    </w:p>
    <w:p w:rsidR="0086526E" w:rsidRPr="0086526E" w:rsidRDefault="0086526E" w:rsidP="0086526E">
      <w:pPr>
        <w:spacing w:before="0" w:after="200" w:line="276" w:lineRule="auto"/>
        <w:rPr>
          <w:b/>
          <w:szCs w:val="24"/>
          <w:lang w:val="en-GB"/>
        </w:rPr>
      </w:pPr>
      <w:r w:rsidRPr="0086526E">
        <w:rPr>
          <w:b/>
          <w:szCs w:val="24"/>
          <w:lang w:val="en-GB"/>
        </w:rPr>
        <w:lastRenderedPageBreak/>
        <w:t>Process – invitation to C</w:t>
      </w:r>
      <w:r>
        <w:rPr>
          <w:b/>
          <w:szCs w:val="24"/>
          <w:lang w:val="en-GB"/>
        </w:rPr>
        <w:t xml:space="preserve">apacity </w:t>
      </w:r>
      <w:r w:rsidRPr="0086526E">
        <w:rPr>
          <w:b/>
          <w:szCs w:val="24"/>
          <w:lang w:val="en-GB"/>
        </w:rPr>
        <w:t>B</w:t>
      </w:r>
      <w:r>
        <w:rPr>
          <w:b/>
          <w:szCs w:val="24"/>
          <w:lang w:val="en-GB"/>
        </w:rPr>
        <w:t xml:space="preserve">uilding </w:t>
      </w:r>
      <w:r w:rsidRPr="0086526E">
        <w:rPr>
          <w:b/>
          <w:szCs w:val="24"/>
          <w:lang w:val="en-GB"/>
        </w:rPr>
        <w:t>E</w:t>
      </w:r>
      <w:r>
        <w:rPr>
          <w:b/>
          <w:szCs w:val="24"/>
          <w:lang w:val="en-GB"/>
        </w:rPr>
        <w:t>vent</w:t>
      </w:r>
      <w:r w:rsidRPr="0086526E">
        <w:rPr>
          <w:b/>
          <w:szCs w:val="24"/>
          <w:lang w:val="en-GB"/>
        </w:rPr>
        <w:t>s</w:t>
      </w:r>
      <w:r>
        <w:rPr>
          <w:b/>
          <w:szCs w:val="24"/>
          <w:lang w:val="en-GB"/>
        </w:rPr>
        <w:t xml:space="preserve"> (CBE)</w:t>
      </w:r>
    </w:p>
    <w:p w:rsidR="0086526E" w:rsidRPr="0086526E" w:rsidRDefault="0086526E" w:rsidP="0086526E">
      <w:pPr>
        <w:spacing w:before="0" w:after="200" w:line="276" w:lineRule="auto"/>
        <w:rPr>
          <w:szCs w:val="24"/>
          <w:lang w:val="en-GB"/>
        </w:rPr>
      </w:pPr>
      <w:r w:rsidRPr="0086526E">
        <w:rPr>
          <w:szCs w:val="24"/>
          <w:lang w:val="en-GB"/>
        </w:rPr>
        <w:t xml:space="preserve">The contractor discusses with National Focal Contact Point and Local PTE coordinators on the subject, suitable dates and locations for a specific capacity building event – a possible date and location is decided on, with, together with named experts, following the provisional </w:t>
      </w:r>
      <w:r>
        <w:rPr>
          <w:szCs w:val="24"/>
          <w:lang w:val="en-GB"/>
        </w:rPr>
        <w:t>CBE</w:t>
      </w:r>
      <w:r w:rsidRPr="0086526E">
        <w:rPr>
          <w:szCs w:val="24"/>
          <w:lang w:val="en-GB"/>
        </w:rPr>
        <w:t xml:space="preserve"> scheme included in Annex 10 of the Inception Report and depending on the specific needs identified during the project. An initial selection of experts for reimbursement will be agreed upon by the contractor, the Local PTE coordinator and the National Focal Contact Point using the Annex 4 matrix of experts as a basis to select experts. Further on, they will discuss the need of inviting an external expert to the meeting.</w:t>
      </w:r>
    </w:p>
    <w:p w:rsidR="0086526E" w:rsidRPr="0086526E" w:rsidRDefault="0086526E" w:rsidP="0086526E">
      <w:pPr>
        <w:spacing w:before="0" w:after="200" w:line="276" w:lineRule="auto"/>
        <w:rPr>
          <w:szCs w:val="24"/>
          <w:lang w:val="en-GB"/>
        </w:rPr>
      </w:pPr>
      <w:r w:rsidRPr="0086526E">
        <w:rPr>
          <w:szCs w:val="24"/>
          <w:lang w:val="en-GB"/>
        </w:rPr>
        <w:t xml:space="preserve">The host country is responsible for booking a </w:t>
      </w:r>
      <w:r>
        <w:rPr>
          <w:szCs w:val="24"/>
          <w:lang w:val="en-GB"/>
        </w:rPr>
        <w:t>CBE</w:t>
      </w:r>
      <w:r w:rsidRPr="0086526E">
        <w:rPr>
          <w:szCs w:val="24"/>
          <w:lang w:val="en-GB"/>
        </w:rPr>
        <w:t xml:space="preserve"> venue (including costs for coffee-tea breaks/technical equipment/practicalities) and confirms the availability of the meeting room at the set date to the local PTE and the contractor. For max 2 events, the contractor and the local PTE are responsible for booking a meeting room.</w:t>
      </w:r>
    </w:p>
    <w:p w:rsidR="0086526E" w:rsidRPr="0086526E" w:rsidRDefault="0086526E" w:rsidP="0086526E">
      <w:pPr>
        <w:spacing w:before="0" w:after="200" w:line="276" w:lineRule="auto"/>
        <w:rPr>
          <w:szCs w:val="24"/>
          <w:lang w:val="en-GB"/>
        </w:rPr>
      </w:pPr>
      <w:r w:rsidRPr="0086526E">
        <w:rPr>
          <w:szCs w:val="24"/>
          <w:lang w:val="en-GB"/>
        </w:rPr>
        <w:t xml:space="preserve">The contractor confirms the set date after discussion to the National Focal Contact Points by email (including EC desk officer Mr </w:t>
      </w:r>
      <w:proofErr w:type="spellStart"/>
      <w:r w:rsidRPr="0086526E">
        <w:rPr>
          <w:szCs w:val="24"/>
          <w:lang w:val="en-GB"/>
        </w:rPr>
        <w:t>Papadoyannakis</w:t>
      </w:r>
      <w:proofErr w:type="spellEnd"/>
      <w:r w:rsidRPr="0086526E">
        <w:rPr>
          <w:szCs w:val="24"/>
          <w:lang w:val="en-GB"/>
        </w:rPr>
        <w:t xml:space="preserve">) and send an invitation for a </w:t>
      </w:r>
      <w:r>
        <w:rPr>
          <w:szCs w:val="24"/>
          <w:lang w:val="en-GB"/>
        </w:rPr>
        <w:t>CBE</w:t>
      </w:r>
      <w:r w:rsidRPr="0086526E">
        <w:rPr>
          <w:szCs w:val="24"/>
          <w:lang w:val="en-GB"/>
        </w:rPr>
        <w:t xml:space="preserve"> to the National Focal Contact Points. A template for an invitation letter is included in Annex 11 of the Inception Report.</w:t>
      </w:r>
    </w:p>
    <w:p w:rsidR="0086526E" w:rsidRPr="0086526E" w:rsidRDefault="0086526E" w:rsidP="0086526E">
      <w:pPr>
        <w:spacing w:before="0" w:after="200" w:line="276" w:lineRule="auto"/>
        <w:rPr>
          <w:szCs w:val="24"/>
          <w:lang w:val="en-GB"/>
        </w:rPr>
      </w:pPr>
      <w:r w:rsidRPr="0086526E">
        <w:rPr>
          <w:szCs w:val="24"/>
          <w:lang w:val="en-GB"/>
        </w:rPr>
        <w:t xml:space="preserve">The National Focal Contact Point sends the personalized invitation (adding name of expert + signed) through to the listed experts (outside the project team) by email (with local PTE coordinator in cc:), and request confirmation of these experts within a week; the invitation will include if the expert will be reimbursed for the travel. </w:t>
      </w:r>
    </w:p>
    <w:p w:rsidR="0086526E" w:rsidRPr="0086526E" w:rsidRDefault="0086526E" w:rsidP="0086526E">
      <w:pPr>
        <w:spacing w:before="0" w:after="200" w:line="276" w:lineRule="auto"/>
        <w:rPr>
          <w:szCs w:val="24"/>
          <w:lang w:val="en-GB"/>
        </w:rPr>
      </w:pPr>
      <w:r w:rsidRPr="0086526E">
        <w:rPr>
          <w:szCs w:val="24"/>
          <w:lang w:val="en-GB"/>
        </w:rPr>
        <w:t>The experts confirm their attendance to the National Focal Contact Point; with local PTE coordinator and Contractor in cc. If no commitment, they inform the NFCP on a colleague that could be involved. They indicate their means of transport (plane, flight, car) and the need for an overnight stay.</w:t>
      </w:r>
    </w:p>
    <w:p w:rsidR="0086526E" w:rsidRPr="0086526E" w:rsidRDefault="0086526E" w:rsidP="0086526E">
      <w:pPr>
        <w:spacing w:before="0" w:after="200" w:line="276" w:lineRule="auto"/>
        <w:rPr>
          <w:szCs w:val="24"/>
          <w:lang w:val="en-GB"/>
        </w:rPr>
      </w:pPr>
      <w:r w:rsidRPr="0086526E">
        <w:rPr>
          <w:szCs w:val="24"/>
          <w:lang w:val="en-GB"/>
        </w:rPr>
        <w:t xml:space="preserve">The local PTE coordinator ensures that the completed invitation letter for each of the invited experts is received 1 week after the invitation, and reports to the contractor on the list of participating experts (including completed invitations). </w:t>
      </w:r>
    </w:p>
    <w:p w:rsidR="0086526E" w:rsidRPr="0086526E" w:rsidRDefault="0086526E" w:rsidP="0086526E">
      <w:pPr>
        <w:spacing w:before="0" w:after="200" w:line="276" w:lineRule="auto"/>
        <w:rPr>
          <w:szCs w:val="24"/>
          <w:lang w:val="en-GB"/>
        </w:rPr>
      </w:pPr>
      <w:r w:rsidRPr="0086526E">
        <w:rPr>
          <w:szCs w:val="24"/>
          <w:lang w:val="en-GB"/>
        </w:rPr>
        <w:t xml:space="preserve">In case no response of the expert(s), the local PTE asks the National Focal Contact Point to contact the expert by telephone and ensure response is received the latest 1 day after the foreseen deadline. In case no success, the National Focal Contact Point contacts the local PTE and an alternative expert is sought. </w:t>
      </w:r>
    </w:p>
    <w:p w:rsidR="0086526E" w:rsidRPr="0086526E" w:rsidRDefault="0086526E" w:rsidP="0086526E">
      <w:pPr>
        <w:spacing w:before="0" w:after="200" w:line="276" w:lineRule="auto"/>
        <w:rPr>
          <w:szCs w:val="24"/>
          <w:lang w:val="en-GB"/>
        </w:rPr>
      </w:pPr>
      <w:r w:rsidRPr="0086526E">
        <w:rPr>
          <w:szCs w:val="24"/>
          <w:lang w:val="en-GB"/>
        </w:rPr>
        <w:t>The contractor responds to the National Focal Contact Point and local PTEs for the go-ahead of the meeting and sends a final programme (including starting time, programme, details of the venue, any preparation needed in advance of the meeting, by the experts)</w:t>
      </w:r>
    </w:p>
    <w:p w:rsidR="0086526E" w:rsidRPr="0086526E" w:rsidRDefault="0086526E" w:rsidP="0086526E">
      <w:pPr>
        <w:spacing w:before="0" w:after="200" w:line="276" w:lineRule="auto"/>
        <w:rPr>
          <w:szCs w:val="24"/>
          <w:lang w:val="en-GB"/>
        </w:rPr>
      </w:pPr>
      <w:r w:rsidRPr="0086526E">
        <w:rPr>
          <w:szCs w:val="24"/>
          <w:lang w:val="en-GB"/>
        </w:rPr>
        <w:t>The national focal point of the host country books the venue and informs about lunch possibilities and hotels. The lunch will be paid on an individual basis (as part of daily expenses).</w:t>
      </w:r>
    </w:p>
    <w:p w:rsidR="0086526E" w:rsidRPr="0086526E" w:rsidRDefault="0086526E" w:rsidP="0086526E">
      <w:pPr>
        <w:spacing w:before="0" w:after="200" w:line="276" w:lineRule="auto"/>
        <w:rPr>
          <w:szCs w:val="24"/>
          <w:lang w:val="en-GB"/>
        </w:rPr>
      </w:pPr>
      <w:r w:rsidRPr="0086526E">
        <w:rPr>
          <w:szCs w:val="24"/>
          <w:lang w:val="en-GB"/>
        </w:rPr>
        <w:t>Experts book their own travel and accommodation.</w:t>
      </w:r>
    </w:p>
    <w:p w:rsidR="0086526E" w:rsidRDefault="0086526E" w:rsidP="0086526E">
      <w:pPr>
        <w:spacing w:before="0" w:after="200" w:line="276" w:lineRule="auto"/>
        <w:rPr>
          <w:b/>
          <w:szCs w:val="24"/>
          <w:lang w:val="en-GB"/>
        </w:rPr>
      </w:pPr>
    </w:p>
    <w:p w:rsidR="0086526E" w:rsidRPr="0086526E" w:rsidRDefault="0086526E" w:rsidP="0086526E">
      <w:pPr>
        <w:spacing w:before="0" w:after="200" w:line="276" w:lineRule="auto"/>
        <w:rPr>
          <w:b/>
          <w:szCs w:val="24"/>
          <w:lang w:val="en-GB"/>
        </w:rPr>
      </w:pPr>
      <w:r w:rsidRPr="0086526E">
        <w:rPr>
          <w:b/>
          <w:szCs w:val="24"/>
          <w:lang w:val="en-GB"/>
        </w:rPr>
        <w:t>Process – invitation to steering group meetings</w:t>
      </w:r>
    </w:p>
    <w:p w:rsidR="0086526E" w:rsidRPr="0086526E" w:rsidRDefault="0086526E" w:rsidP="0086526E">
      <w:pPr>
        <w:spacing w:before="0" w:after="200" w:line="276" w:lineRule="auto"/>
        <w:rPr>
          <w:szCs w:val="24"/>
          <w:lang w:val="en-GB"/>
        </w:rPr>
      </w:pPr>
      <w:r w:rsidRPr="0086526E">
        <w:rPr>
          <w:szCs w:val="24"/>
          <w:lang w:val="en-GB"/>
        </w:rPr>
        <w:t>DG ENV will organise the steering group meetings and the contractor will discuss with the Commission Services the attendance of the local PTE coordinators.</w:t>
      </w:r>
    </w:p>
    <w:p w:rsidR="0086526E" w:rsidRPr="0086526E" w:rsidRDefault="0086526E" w:rsidP="0086526E">
      <w:pPr>
        <w:spacing w:before="0" w:after="200" w:line="276" w:lineRule="auto"/>
        <w:rPr>
          <w:szCs w:val="24"/>
          <w:lang w:val="en-GB"/>
        </w:rPr>
      </w:pPr>
      <w:r w:rsidRPr="0086526E">
        <w:rPr>
          <w:szCs w:val="24"/>
          <w:lang w:val="en-GB"/>
        </w:rPr>
        <w:lastRenderedPageBreak/>
        <w:t>Based on this discussion, the local PTE coordinators will be informed on their expected attendance and their possible reimbursement, and will confirm their attendance within one week. National Focal Contact points will attend all SGMs, and confirm their attendance (reimbursed if non-hosting country).</w:t>
      </w:r>
    </w:p>
    <w:p w:rsidR="0086526E" w:rsidRPr="0086526E" w:rsidRDefault="0086526E" w:rsidP="0086526E">
      <w:pPr>
        <w:spacing w:before="0" w:after="200" w:line="276" w:lineRule="auto"/>
        <w:rPr>
          <w:szCs w:val="24"/>
          <w:lang w:val="en-GB"/>
        </w:rPr>
      </w:pPr>
      <w:r w:rsidRPr="0086526E">
        <w:rPr>
          <w:szCs w:val="24"/>
          <w:lang w:val="en-GB"/>
        </w:rPr>
        <w:t xml:space="preserve">The contractor will prepare a programme for the steering group meeting and a kick/off or progress report and will share this one week in advance to the EC, the National Focal Contact Points and local PTE coordinators. The National Focal Contact Points and local PTE coordinators will be informed by the contractor in case specific input is needed from them at the steering group meetings. </w:t>
      </w:r>
    </w:p>
    <w:p w:rsidR="00F55615" w:rsidRDefault="00F55615">
      <w:pPr>
        <w:spacing w:before="0" w:after="200" w:line="276" w:lineRule="auto"/>
        <w:rPr>
          <w:b/>
          <w:szCs w:val="24"/>
          <w:lang w:val="en-GB"/>
        </w:rPr>
      </w:pPr>
      <w:r>
        <w:rPr>
          <w:b/>
          <w:szCs w:val="24"/>
          <w:lang w:val="en-GB"/>
        </w:rPr>
        <w:br w:type="page"/>
      </w:r>
    </w:p>
    <w:p w:rsidR="00A5203A" w:rsidRPr="00A5203A" w:rsidRDefault="00A92E8A" w:rsidP="00A5203A">
      <w:pPr>
        <w:spacing w:before="0" w:after="0" w:line="240" w:lineRule="auto"/>
        <w:ind w:left="360"/>
        <w:jc w:val="both"/>
        <w:rPr>
          <w:b/>
          <w:szCs w:val="24"/>
          <w:lang w:val="en-GB"/>
        </w:rPr>
      </w:pPr>
      <w:r>
        <w:rPr>
          <w:b/>
          <w:szCs w:val="24"/>
          <w:lang w:val="en-GB"/>
        </w:rPr>
        <w:lastRenderedPageBreak/>
        <w:t>R</w:t>
      </w:r>
      <w:r w:rsidR="00A5203A" w:rsidRPr="00A5203A">
        <w:rPr>
          <w:b/>
          <w:szCs w:val="24"/>
          <w:lang w:val="en-GB"/>
        </w:rPr>
        <w:t>eimbursement of experts</w:t>
      </w:r>
      <w:r w:rsidR="004A2D71">
        <w:rPr>
          <w:b/>
          <w:szCs w:val="24"/>
          <w:lang w:val="en-GB"/>
        </w:rPr>
        <w:t xml:space="preserve"> – Capacity Building Events</w:t>
      </w:r>
      <w:r w:rsidR="00907906">
        <w:rPr>
          <w:b/>
          <w:szCs w:val="24"/>
          <w:lang w:val="en-GB"/>
        </w:rPr>
        <w:t xml:space="preserve"> </w:t>
      </w:r>
      <w:r w:rsidR="00662D1F">
        <w:rPr>
          <w:b/>
          <w:szCs w:val="24"/>
          <w:lang w:val="en-GB"/>
        </w:rPr>
        <w:t xml:space="preserve">and </w:t>
      </w:r>
      <w:r w:rsidR="00A36679">
        <w:rPr>
          <w:b/>
          <w:szCs w:val="24"/>
          <w:lang w:val="en-GB"/>
        </w:rPr>
        <w:t>S</w:t>
      </w:r>
      <w:r w:rsidR="00907906">
        <w:rPr>
          <w:b/>
          <w:szCs w:val="24"/>
          <w:lang w:val="en-GB"/>
        </w:rPr>
        <w:t xml:space="preserve">teering </w:t>
      </w:r>
      <w:r w:rsidR="00A36679">
        <w:rPr>
          <w:b/>
          <w:szCs w:val="24"/>
          <w:lang w:val="en-GB"/>
        </w:rPr>
        <w:t>G</w:t>
      </w:r>
      <w:r w:rsidR="00907906">
        <w:rPr>
          <w:b/>
          <w:szCs w:val="24"/>
          <w:lang w:val="en-GB"/>
        </w:rPr>
        <w:t>roup meetings</w:t>
      </w:r>
    </w:p>
    <w:p w:rsidR="00A5203A" w:rsidRDefault="00A5203A" w:rsidP="00A5203A">
      <w:pPr>
        <w:spacing w:before="0" w:after="0" w:line="240" w:lineRule="auto"/>
        <w:ind w:left="360"/>
        <w:jc w:val="both"/>
        <w:rPr>
          <w:szCs w:val="24"/>
          <w:lang w:val="en-GB"/>
        </w:rPr>
      </w:pPr>
    </w:p>
    <w:p w:rsidR="005C7356" w:rsidRDefault="005C7356" w:rsidP="00A5203A">
      <w:pPr>
        <w:spacing w:before="0" w:after="0" w:line="240" w:lineRule="auto"/>
        <w:ind w:left="360"/>
        <w:jc w:val="both"/>
        <w:rPr>
          <w:szCs w:val="24"/>
          <w:lang w:val="en-GB"/>
        </w:rPr>
      </w:pPr>
      <w:r w:rsidRPr="004A2D71">
        <w:rPr>
          <w:szCs w:val="24"/>
          <w:u w:val="single"/>
          <w:lang w:val="en-GB"/>
        </w:rPr>
        <w:t>Reimbursement rules</w:t>
      </w:r>
      <w:r>
        <w:rPr>
          <w:szCs w:val="24"/>
          <w:lang w:val="en-GB"/>
        </w:rPr>
        <w:t xml:space="preserve"> (according to EU </w:t>
      </w:r>
      <w:r w:rsidR="00A36679">
        <w:rPr>
          <w:szCs w:val="24"/>
          <w:lang w:val="en-GB"/>
        </w:rPr>
        <w:t>rules</w:t>
      </w:r>
      <w:r>
        <w:rPr>
          <w:szCs w:val="24"/>
          <w:lang w:val="en-GB"/>
        </w:rPr>
        <w:t xml:space="preserve"> and the Framework Contract N° ENV.D.2/FRA/2012/0017</w:t>
      </w:r>
      <w:r w:rsidR="005C77EF">
        <w:rPr>
          <w:szCs w:val="24"/>
          <w:lang w:val="en-GB"/>
        </w:rPr>
        <w:t>)</w:t>
      </w:r>
    </w:p>
    <w:p w:rsidR="005C7356" w:rsidRDefault="005C7356" w:rsidP="00A5203A">
      <w:pPr>
        <w:spacing w:before="0" w:after="0" w:line="240" w:lineRule="auto"/>
        <w:ind w:left="360"/>
        <w:jc w:val="both"/>
        <w:rPr>
          <w:szCs w:val="24"/>
          <w:lang w:val="en-GB"/>
        </w:rPr>
      </w:pPr>
    </w:p>
    <w:p w:rsidR="00671D7B" w:rsidRDefault="00B357C4" w:rsidP="00A5203A">
      <w:pPr>
        <w:pStyle w:val="Lijstalinea"/>
        <w:numPr>
          <w:ilvl w:val="0"/>
          <w:numId w:val="30"/>
        </w:numPr>
        <w:spacing w:before="0" w:after="0" w:line="240" w:lineRule="auto"/>
        <w:jc w:val="both"/>
        <w:rPr>
          <w:szCs w:val="24"/>
          <w:lang w:val="en-GB"/>
        </w:rPr>
      </w:pPr>
      <w:r>
        <w:rPr>
          <w:szCs w:val="24"/>
          <w:lang w:val="en-GB"/>
        </w:rPr>
        <w:t xml:space="preserve">CBE (capacity building event): </w:t>
      </w:r>
      <w:r w:rsidR="00A5203A" w:rsidRPr="00A5203A">
        <w:rPr>
          <w:szCs w:val="24"/>
          <w:lang w:val="en-GB"/>
        </w:rPr>
        <w:t>Reimbursement</w:t>
      </w:r>
      <w:r w:rsidR="00A5203A">
        <w:rPr>
          <w:szCs w:val="24"/>
          <w:lang w:val="en-GB"/>
        </w:rPr>
        <w:t xml:space="preserve"> will be done</w:t>
      </w:r>
      <w:r w:rsidR="00A5203A" w:rsidRPr="00A5203A">
        <w:rPr>
          <w:szCs w:val="24"/>
          <w:lang w:val="en-GB"/>
        </w:rPr>
        <w:t xml:space="preserve"> of a maximum of three experts from Bulgaria and Romania per meeting which does not take place in their home country. </w:t>
      </w:r>
    </w:p>
    <w:p w:rsidR="00907906" w:rsidRPr="00907906" w:rsidRDefault="00B357C4" w:rsidP="00907906">
      <w:pPr>
        <w:pStyle w:val="Lijstalinea"/>
        <w:numPr>
          <w:ilvl w:val="0"/>
          <w:numId w:val="30"/>
        </w:numPr>
        <w:spacing w:before="0" w:after="0" w:line="240" w:lineRule="auto"/>
        <w:jc w:val="both"/>
        <w:rPr>
          <w:szCs w:val="24"/>
          <w:lang w:val="en-GB"/>
        </w:rPr>
      </w:pPr>
      <w:r>
        <w:rPr>
          <w:szCs w:val="24"/>
          <w:lang w:val="en-GB"/>
        </w:rPr>
        <w:t xml:space="preserve">Steering group meeting: </w:t>
      </w:r>
      <w:r w:rsidR="00907906" w:rsidRPr="00907906">
        <w:rPr>
          <w:szCs w:val="24"/>
          <w:lang w:val="en-GB"/>
        </w:rPr>
        <w:t xml:space="preserve">The contractor shall foresee reimbursing travel expenses and </w:t>
      </w:r>
      <w:r w:rsidR="007623AF">
        <w:rPr>
          <w:szCs w:val="24"/>
          <w:lang w:val="en-GB"/>
        </w:rPr>
        <w:t>P</w:t>
      </w:r>
      <w:r w:rsidR="00907906" w:rsidRPr="00907906">
        <w:rPr>
          <w:szCs w:val="24"/>
          <w:lang w:val="en-GB"/>
        </w:rPr>
        <w:t xml:space="preserve">er </w:t>
      </w:r>
      <w:r w:rsidR="007623AF">
        <w:rPr>
          <w:szCs w:val="24"/>
          <w:lang w:val="en-GB"/>
        </w:rPr>
        <w:t>D</w:t>
      </w:r>
      <w:r w:rsidR="00907906" w:rsidRPr="00907906">
        <w:rPr>
          <w:szCs w:val="24"/>
          <w:lang w:val="en-GB"/>
        </w:rPr>
        <w:t>iem, in accordance to EU rules, for a maximum of two (minimum of one depending on budget availability and real travel costs) experts from Bulgaria and Romania for each meeting which takes place outside their home country.</w:t>
      </w:r>
    </w:p>
    <w:p w:rsidR="00907906" w:rsidRPr="00907906" w:rsidRDefault="00F3295A" w:rsidP="00D37637">
      <w:pPr>
        <w:pStyle w:val="Lijstalinea"/>
        <w:numPr>
          <w:ilvl w:val="0"/>
          <w:numId w:val="30"/>
        </w:numPr>
        <w:spacing w:before="0" w:after="0" w:line="240" w:lineRule="auto"/>
        <w:jc w:val="both"/>
        <w:rPr>
          <w:szCs w:val="24"/>
          <w:lang w:val="en-GB"/>
        </w:rPr>
      </w:pPr>
      <w:r>
        <w:rPr>
          <w:szCs w:val="24"/>
          <w:lang w:val="en-GB"/>
        </w:rPr>
        <w:t xml:space="preserve">The contractor will decide on </w:t>
      </w:r>
      <w:r w:rsidR="00587D27">
        <w:rPr>
          <w:szCs w:val="24"/>
          <w:lang w:val="en-GB"/>
        </w:rPr>
        <w:t>the experts</w:t>
      </w:r>
      <w:r w:rsidR="00907906">
        <w:rPr>
          <w:szCs w:val="24"/>
          <w:lang w:val="en-GB"/>
        </w:rPr>
        <w:t xml:space="preserve"> </w:t>
      </w:r>
      <w:r>
        <w:rPr>
          <w:szCs w:val="24"/>
          <w:lang w:val="en-GB"/>
        </w:rPr>
        <w:t>to be</w:t>
      </w:r>
      <w:r w:rsidR="00907906">
        <w:rPr>
          <w:szCs w:val="24"/>
          <w:lang w:val="en-GB"/>
        </w:rPr>
        <w:t xml:space="preserve"> reimbursed, taking into account the maximum number of reimbursements foreseen as part of the contract</w:t>
      </w:r>
      <w:r>
        <w:rPr>
          <w:szCs w:val="24"/>
          <w:lang w:val="en-GB"/>
        </w:rPr>
        <w:t xml:space="preserve">, and the attendance of the </w:t>
      </w:r>
      <w:r w:rsidR="00A35CE5">
        <w:rPr>
          <w:szCs w:val="24"/>
          <w:lang w:val="en-GB"/>
        </w:rPr>
        <w:t>National</w:t>
      </w:r>
      <w:r w:rsidR="00D37637" w:rsidRPr="00D37637">
        <w:rPr>
          <w:szCs w:val="24"/>
          <w:lang w:val="en-GB"/>
        </w:rPr>
        <w:t xml:space="preserve"> Focal Contact Point</w:t>
      </w:r>
      <w:r w:rsidR="00D37637">
        <w:rPr>
          <w:szCs w:val="24"/>
          <w:lang w:val="en-GB"/>
        </w:rPr>
        <w:t>s</w:t>
      </w:r>
      <w:r w:rsidR="00D37637" w:rsidRPr="00D37637">
        <w:rPr>
          <w:szCs w:val="24"/>
          <w:lang w:val="en-GB"/>
        </w:rPr>
        <w:t xml:space="preserve"> </w:t>
      </w:r>
      <w:r>
        <w:rPr>
          <w:szCs w:val="24"/>
          <w:lang w:val="en-GB"/>
        </w:rPr>
        <w:t>themselves to the CBEs</w:t>
      </w:r>
      <w:r w:rsidR="00587D27">
        <w:rPr>
          <w:szCs w:val="24"/>
          <w:lang w:val="en-GB"/>
        </w:rPr>
        <w:t xml:space="preserve">. </w:t>
      </w:r>
    </w:p>
    <w:p w:rsidR="00A5203A" w:rsidRDefault="00A5203A" w:rsidP="00A5203A">
      <w:pPr>
        <w:pStyle w:val="Lijstalinea"/>
        <w:numPr>
          <w:ilvl w:val="0"/>
          <w:numId w:val="30"/>
        </w:numPr>
        <w:spacing w:before="0" w:after="0" w:line="240" w:lineRule="auto"/>
        <w:jc w:val="both"/>
        <w:rPr>
          <w:szCs w:val="24"/>
          <w:lang w:val="en-GB"/>
        </w:rPr>
      </w:pPr>
      <w:r>
        <w:rPr>
          <w:szCs w:val="24"/>
          <w:lang w:val="en-GB"/>
        </w:rPr>
        <w:t>For those experts that are located in the country in which the meeting takes place</w:t>
      </w:r>
      <w:r w:rsidR="00671D7B">
        <w:rPr>
          <w:szCs w:val="24"/>
          <w:lang w:val="en-GB"/>
        </w:rPr>
        <w:t xml:space="preserve">, no reimbursement will be done. </w:t>
      </w:r>
    </w:p>
    <w:p w:rsidR="00A5203A" w:rsidRDefault="00A5203A" w:rsidP="00A5203A">
      <w:pPr>
        <w:pStyle w:val="Lijstalinea"/>
        <w:numPr>
          <w:ilvl w:val="0"/>
          <w:numId w:val="30"/>
        </w:numPr>
        <w:spacing w:before="0" w:after="0" w:line="240" w:lineRule="auto"/>
        <w:jc w:val="both"/>
        <w:rPr>
          <w:szCs w:val="24"/>
          <w:lang w:val="en-GB"/>
        </w:rPr>
      </w:pPr>
      <w:r>
        <w:rPr>
          <w:szCs w:val="24"/>
          <w:lang w:val="en-GB"/>
        </w:rPr>
        <w:t>The reimbursement will follow EU rules, this includes the following</w:t>
      </w:r>
    </w:p>
    <w:p w:rsidR="00587D27" w:rsidRDefault="00BE1768" w:rsidP="00BE1768">
      <w:pPr>
        <w:pStyle w:val="Lijstalinea"/>
        <w:numPr>
          <w:ilvl w:val="1"/>
          <w:numId w:val="30"/>
        </w:numPr>
        <w:spacing w:before="0" w:after="0" w:line="240" w:lineRule="auto"/>
        <w:jc w:val="both"/>
        <w:rPr>
          <w:szCs w:val="24"/>
          <w:lang w:val="en-GB"/>
        </w:rPr>
      </w:pPr>
      <w:r>
        <w:rPr>
          <w:szCs w:val="24"/>
          <w:lang w:val="en-GB"/>
        </w:rPr>
        <w:t xml:space="preserve">Travel expenses shall be reimbursed, where appropriate, on the basis of the shortest itinerary. </w:t>
      </w:r>
    </w:p>
    <w:p w:rsidR="00FE29D0" w:rsidRDefault="00FE29D0" w:rsidP="00BE1768">
      <w:pPr>
        <w:pStyle w:val="Lijstalinea"/>
        <w:numPr>
          <w:ilvl w:val="1"/>
          <w:numId w:val="30"/>
        </w:numPr>
        <w:spacing w:before="0" w:after="0" w:line="240" w:lineRule="auto"/>
        <w:jc w:val="both"/>
        <w:rPr>
          <w:szCs w:val="24"/>
          <w:lang w:val="en-GB"/>
        </w:rPr>
      </w:pPr>
      <w:r>
        <w:rPr>
          <w:szCs w:val="24"/>
          <w:lang w:val="en-GB"/>
        </w:rPr>
        <w:t xml:space="preserve">Without any agreed changes by the contractor, travel is considered to take place from the experts location at the start of the contract (see </w:t>
      </w:r>
      <w:r w:rsidR="008E565B">
        <w:rPr>
          <w:szCs w:val="24"/>
          <w:lang w:val="en-GB"/>
        </w:rPr>
        <w:fldChar w:fldCharType="begin"/>
      </w:r>
      <w:r w:rsidR="008E565B">
        <w:rPr>
          <w:szCs w:val="24"/>
          <w:lang w:val="en-GB"/>
        </w:rPr>
        <w:instrText xml:space="preserve"> REF _Ref372621606 \h </w:instrText>
      </w:r>
      <w:r w:rsidR="008E565B">
        <w:rPr>
          <w:szCs w:val="24"/>
          <w:lang w:val="en-GB"/>
        </w:rPr>
      </w:r>
      <w:r w:rsidR="008E565B">
        <w:rPr>
          <w:szCs w:val="24"/>
          <w:lang w:val="en-GB"/>
        </w:rPr>
        <w:fldChar w:fldCharType="separate"/>
      </w:r>
      <w:r w:rsidR="002B621A" w:rsidRPr="00691BED">
        <w:rPr>
          <w:lang w:val="en-US"/>
        </w:rPr>
        <w:t xml:space="preserve">Annex </w:t>
      </w:r>
      <w:r w:rsidR="002B621A">
        <w:rPr>
          <w:noProof/>
          <w:lang w:val="en-US"/>
        </w:rPr>
        <w:t>2</w:t>
      </w:r>
      <w:r w:rsidR="008E565B">
        <w:rPr>
          <w:szCs w:val="24"/>
          <w:lang w:val="en-GB"/>
        </w:rPr>
        <w:fldChar w:fldCharType="end"/>
      </w:r>
      <w:r w:rsidR="008E565B">
        <w:rPr>
          <w:szCs w:val="24"/>
          <w:lang w:val="en-GB"/>
        </w:rPr>
        <w:t xml:space="preserve"> </w:t>
      </w:r>
      <w:r>
        <w:rPr>
          <w:szCs w:val="24"/>
          <w:lang w:val="en-GB"/>
        </w:rPr>
        <w:t>for matrix of experts including location)</w:t>
      </w:r>
    </w:p>
    <w:p w:rsidR="00BE1768" w:rsidRPr="0025219B" w:rsidRDefault="00BE1768" w:rsidP="00BE1768">
      <w:pPr>
        <w:pStyle w:val="Lijstalinea"/>
        <w:numPr>
          <w:ilvl w:val="1"/>
          <w:numId w:val="30"/>
        </w:numPr>
        <w:spacing w:before="0" w:after="0" w:line="240" w:lineRule="auto"/>
        <w:jc w:val="both"/>
        <w:rPr>
          <w:szCs w:val="24"/>
          <w:lang w:val="en-GB"/>
        </w:rPr>
      </w:pPr>
      <w:r w:rsidRPr="0025219B">
        <w:rPr>
          <w:szCs w:val="24"/>
          <w:lang w:val="en-GB"/>
        </w:rPr>
        <w:t xml:space="preserve">Travel expenses shall be reimbursed as follows: </w:t>
      </w:r>
    </w:p>
    <w:p w:rsidR="00907906" w:rsidRPr="0025219B" w:rsidRDefault="00907906" w:rsidP="00BE1768">
      <w:pPr>
        <w:pStyle w:val="Lijstalinea"/>
        <w:numPr>
          <w:ilvl w:val="2"/>
          <w:numId w:val="30"/>
        </w:numPr>
        <w:spacing w:before="0" w:after="0" w:line="240" w:lineRule="auto"/>
        <w:jc w:val="both"/>
        <w:rPr>
          <w:szCs w:val="24"/>
          <w:lang w:val="en-GB"/>
        </w:rPr>
      </w:pPr>
      <w:r w:rsidRPr="0025219B">
        <w:rPr>
          <w:szCs w:val="24"/>
          <w:lang w:val="en-GB"/>
        </w:rPr>
        <w:t>Travel shall only be reimbursed for a meeting that does not take place in the home country of the expert</w:t>
      </w:r>
    </w:p>
    <w:p w:rsidR="00BE1768" w:rsidRPr="0025219B" w:rsidRDefault="00BE1768" w:rsidP="00BE1768">
      <w:pPr>
        <w:pStyle w:val="Lijstalinea"/>
        <w:numPr>
          <w:ilvl w:val="2"/>
          <w:numId w:val="30"/>
        </w:numPr>
        <w:spacing w:before="0" w:after="0" w:line="240" w:lineRule="auto"/>
        <w:jc w:val="both"/>
        <w:rPr>
          <w:szCs w:val="24"/>
          <w:lang w:val="en-GB"/>
        </w:rPr>
      </w:pPr>
      <w:r w:rsidRPr="0025219B">
        <w:rPr>
          <w:szCs w:val="24"/>
          <w:lang w:val="en-GB"/>
        </w:rPr>
        <w:t>Travel by air shall be reimbursed up to the maximum cost on an economy ticket at the time of the reservation</w:t>
      </w:r>
      <w:r w:rsidR="00671D7B" w:rsidRPr="0025219B">
        <w:rPr>
          <w:szCs w:val="24"/>
          <w:lang w:val="en-GB"/>
        </w:rPr>
        <w:t>;</w:t>
      </w:r>
    </w:p>
    <w:p w:rsidR="00BE1768" w:rsidRPr="0025219B" w:rsidRDefault="00BE1768" w:rsidP="00BE1768">
      <w:pPr>
        <w:pStyle w:val="Lijstalinea"/>
        <w:numPr>
          <w:ilvl w:val="2"/>
          <w:numId w:val="30"/>
        </w:numPr>
        <w:spacing w:before="0" w:after="0" w:line="240" w:lineRule="auto"/>
        <w:jc w:val="both"/>
        <w:rPr>
          <w:szCs w:val="24"/>
          <w:lang w:val="en-GB"/>
        </w:rPr>
      </w:pPr>
      <w:r w:rsidRPr="0025219B">
        <w:rPr>
          <w:szCs w:val="24"/>
          <w:lang w:val="en-GB"/>
        </w:rPr>
        <w:t xml:space="preserve">Travel by boat or rail shall be reimbursed up to the maximum cost of a </w:t>
      </w:r>
      <w:r w:rsidR="001767E0" w:rsidRPr="0025219B">
        <w:rPr>
          <w:szCs w:val="24"/>
          <w:lang w:val="en-GB"/>
        </w:rPr>
        <w:t xml:space="preserve">first class </w:t>
      </w:r>
      <w:r w:rsidRPr="0025219B">
        <w:rPr>
          <w:szCs w:val="24"/>
          <w:lang w:val="en-GB"/>
        </w:rPr>
        <w:t>ticket</w:t>
      </w:r>
      <w:r w:rsidR="00671D7B" w:rsidRPr="0025219B">
        <w:rPr>
          <w:szCs w:val="24"/>
          <w:lang w:val="en-GB"/>
        </w:rPr>
        <w:t>;</w:t>
      </w:r>
    </w:p>
    <w:p w:rsidR="00BE1768" w:rsidRPr="0025219B" w:rsidRDefault="00671D7B" w:rsidP="00BE1768">
      <w:pPr>
        <w:pStyle w:val="Lijstalinea"/>
        <w:numPr>
          <w:ilvl w:val="2"/>
          <w:numId w:val="30"/>
        </w:numPr>
        <w:spacing w:before="0" w:after="0" w:line="240" w:lineRule="auto"/>
        <w:jc w:val="both"/>
        <w:rPr>
          <w:szCs w:val="24"/>
          <w:lang w:val="en-GB"/>
        </w:rPr>
      </w:pPr>
      <w:r w:rsidRPr="0025219B">
        <w:rPr>
          <w:szCs w:val="24"/>
          <w:lang w:val="en-GB"/>
        </w:rPr>
        <w:t xml:space="preserve">Travel by car shall be reimbursed up to the maximum cost of an </w:t>
      </w:r>
      <w:r w:rsidR="001767E0" w:rsidRPr="0025219B">
        <w:rPr>
          <w:szCs w:val="24"/>
          <w:lang w:val="en-GB"/>
        </w:rPr>
        <w:t>first class</w:t>
      </w:r>
      <w:r w:rsidR="00D354F4" w:rsidRPr="0025219B">
        <w:rPr>
          <w:szCs w:val="24"/>
          <w:lang w:val="en-GB"/>
        </w:rPr>
        <w:t xml:space="preserve"> </w:t>
      </w:r>
      <w:r w:rsidRPr="0025219B">
        <w:rPr>
          <w:szCs w:val="24"/>
          <w:lang w:val="en-GB"/>
        </w:rPr>
        <w:t>rail ticket for the same journey on the same day</w:t>
      </w:r>
      <w:r w:rsidR="001767E0" w:rsidRPr="0025219B">
        <w:rPr>
          <w:szCs w:val="24"/>
          <w:lang w:val="en-GB"/>
        </w:rPr>
        <w:t>, or by default at the rate of 0,22 euro per km</w:t>
      </w:r>
      <w:r w:rsidRPr="0025219B">
        <w:rPr>
          <w:szCs w:val="24"/>
          <w:lang w:val="en-GB"/>
        </w:rPr>
        <w:t>;</w:t>
      </w:r>
    </w:p>
    <w:p w:rsidR="00DF3F1B" w:rsidRPr="0025219B" w:rsidRDefault="00DF3F1B" w:rsidP="00BE1768">
      <w:pPr>
        <w:pStyle w:val="Lijstalinea"/>
        <w:numPr>
          <w:ilvl w:val="2"/>
          <w:numId w:val="30"/>
        </w:numPr>
        <w:spacing w:before="0" w:after="0" w:line="240" w:lineRule="auto"/>
        <w:jc w:val="both"/>
        <w:rPr>
          <w:szCs w:val="24"/>
          <w:lang w:val="en-GB"/>
        </w:rPr>
      </w:pPr>
      <w:r w:rsidRPr="0025219B">
        <w:rPr>
          <w:szCs w:val="24"/>
          <w:lang w:val="en-GB"/>
        </w:rPr>
        <w:t xml:space="preserve">Total travel cost to be reimbursed will not exceed </w:t>
      </w:r>
      <w:r w:rsidR="00403BF6">
        <w:rPr>
          <w:szCs w:val="24"/>
          <w:lang w:val="en-GB"/>
        </w:rPr>
        <w:t>7</w:t>
      </w:r>
      <w:r w:rsidR="00403BF6" w:rsidRPr="0025219B">
        <w:rPr>
          <w:szCs w:val="24"/>
          <w:lang w:val="en-GB"/>
        </w:rPr>
        <w:t xml:space="preserve">00 </w:t>
      </w:r>
      <w:r w:rsidRPr="0025219B">
        <w:rPr>
          <w:szCs w:val="24"/>
          <w:lang w:val="en-GB"/>
        </w:rPr>
        <w:t>euros.</w:t>
      </w:r>
    </w:p>
    <w:p w:rsidR="00671D7B" w:rsidRPr="0025219B" w:rsidRDefault="00671D7B" w:rsidP="00671D7B">
      <w:pPr>
        <w:pStyle w:val="Lijstalinea"/>
        <w:numPr>
          <w:ilvl w:val="1"/>
          <w:numId w:val="30"/>
        </w:numPr>
        <w:spacing w:before="0" w:after="0" w:line="240" w:lineRule="auto"/>
        <w:jc w:val="both"/>
        <w:rPr>
          <w:szCs w:val="24"/>
          <w:lang w:val="en-GB"/>
        </w:rPr>
      </w:pPr>
      <w:r w:rsidRPr="0025219B">
        <w:rPr>
          <w:szCs w:val="24"/>
          <w:lang w:val="en-GB"/>
        </w:rPr>
        <w:t xml:space="preserve">Subsistence expenses shall be reimbursed </w:t>
      </w:r>
      <w:r w:rsidR="00FD7EFC" w:rsidRPr="0025219B">
        <w:rPr>
          <w:szCs w:val="24"/>
          <w:lang w:val="en-GB"/>
        </w:rPr>
        <w:t xml:space="preserve">for those confirmed reimbursements </w:t>
      </w:r>
      <w:r w:rsidRPr="0025219B">
        <w:rPr>
          <w:szCs w:val="24"/>
          <w:lang w:val="en-GB"/>
        </w:rPr>
        <w:t xml:space="preserve">on the </w:t>
      </w:r>
      <w:r w:rsidRPr="00DD5FFF">
        <w:rPr>
          <w:b/>
          <w:szCs w:val="24"/>
          <w:lang w:val="en-GB"/>
        </w:rPr>
        <w:t xml:space="preserve">basis of a daily </w:t>
      </w:r>
      <w:r w:rsidRPr="007623AF">
        <w:rPr>
          <w:b/>
          <w:szCs w:val="24"/>
          <w:lang w:val="en-GB"/>
        </w:rPr>
        <w:t xml:space="preserve">allowance </w:t>
      </w:r>
      <w:r w:rsidR="007623AF" w:rsidRPr="007623AF">
        <w:rPr>
          <w:b/>
          <w:szCs w:val="24"/>
          <w:lang w:val="en-GB"/>
        </w:rPr>
        <w:t>(Per Diem)</w:t>
      </w:r>
      <w:r w:rsidR="007623AF">
        <w:rPr>
          <w:szCs w:val="24"/>
          <w:lang w:val="en-GB"/>
        </w:rPr>
        <w:t xml:space="preserve"> </w:t>
      </w:r>
      <w:r w:rsidRPr="0025219B">
        <w:rPr>
          <w:szCs w:val="24"/>
          <w:lang w:val="en-GB"/>
        </w:rPr>
        <w:t>as follows</w:t>
      </w:r>
    </w:p>
    <w:p w:rsidR="001672FB" w:rsidRPr="0025219B" w:rsidRDefault="001672FB" w:rsidP="001672FB">
      <w:pPr>
        <w:pStyle w:val="Lijstalinea"/>
        <w:numPr>
          <w:ilvl w:val="2"/>
          <w:numId w:val="30"/>
        </w:numPr>
        <w:spacing w:before="0" w:after="0" w:line="240" w:lineRule="auto"/>
        <w:jc w:val="both"/>
        <w:rPr>
          <w:szCs w:val="24"/>
          <w:lang w:val="en-GB"/>
        </w:rPr>
      </w:pPr>
      <w:r w:rsidRPr="0025219B">
        <w:rPr>
          <w:szCs w:val="24"/>
          <w:lang w:val="en-GB"/>
        </w:rPr>
        <w:t>In case in- and outward travel takes place on the same day and no overnight stay is foreseen, no subsistence expenses will be paid for</w:t>
      </w:r>
    </w:p>
    <w:p w:rsidR="00671D7B" w:rsidRPr="0025219B" w:rsidRDefault="001672FB" w:rsidP="00671D7B">
      <w:pPr>
        <w:pStyle w:val="Lijstalinea"/>
        <w:numPr>
          <w:ilvl w:val="2"/>
          <w:numId w:val="30"/>
        </w:numPr>
        <w:spacing w:before="0" w:after="0" w:line="240" w:lineRule="auto"/>
        <w:jc w:val="both"/>
        <w:rPr>
          <w:szCs w:val="24"/>
          <w:lang w:val="en-GB"/>
        </w:rPr>
      </w:pPr>
      <w:r w:rsidRPr="0025219B">
        <w:rPr>
          <w:szCs w:val="24"/>
          <w:lang w:val="en-GB"/>
        </w:rPr>
        <w:t>Following on from the above, f</w:t>
      </w:r>
      <w:r w:rsidR="00671D7B" w:rsidRPr="0025219B">
        <w:rPr>
          <w:szCs w:val="24"/>
          <w:lang w:val="en-GB"/>
        </w:rPr>
        <w:t>or journeys of less than 200 km (return trip)</w:t>
      </w:r>
      <w:r w:rsidR="001767E0" w:rsidRPr="0025219B">
        <w:rPr>
          <w:szCs w:val="24"/>
          <w:lang w:val="en-GB"/>
        </w:rPr>
        <w:t xml:space="preserve"> </w:t>
      </w:r>
      <w:r w:rsidR="00671D7B" w:rsidRPr="0025219B">
        <w:rPr>
          <w:szCs w:val="24"/>
          <w:lang w:val="en-GB"/>
        </w:rPr>
        <w:t>no subsistence allowance shall be payable</w:t>
      </w:r>
    </w:p>
    <w:p w:rsidR="00671D7B" w:rsidRPr="0025219B" w:rsidRDefault="007623AF" w:rsidP="00671D7B">
      <w:pPr>
        <w:pStyle w:val="Lijstalinea"/>
        <w:numPr>
          <w:ilvl w:val="2"/>
          <w:numId w:val="30"/>
        </w:numPr>
        <w:spacing w:before="0" w:after="0" w:line="240" w:lineRule="auto"/>
        <w:jc w:val="both"/>
        <w:rPr>
          <w:szCs w:val="24"/>
          <w:lang w:val="en-GB"/>
        </w:rPr>
      </w:pPr>
      <w:r>
        <w:rPr>
          <w:szCs w:val="24"/>
          <w:lang w:val="en-GB"/>
        </w:rPr>
        <w:t>Per Diem</w:t>
      </w:r>
      <w:r w:rsidR="005E6057" w:rsidRPr="0025219B">
        <w:rPr>
          <w:szCs w:val="24"/>
          <w:lang w:val="en-GB"/>
        </w:rPr>
        <w:t xml:space="preserve"> shall take the form of a </w:t>
      </w:r>
      <w:r w:rsidR="005E6057" w:rsidRPr="00DD5FFF">
        <w:rPr>
          <w:b/>
          <w:szCs w:val="24"/>
          <w:lang w:val="en-GB"/>
        </w:rPr>
        <w:t>flat-rate payment</w:t>
      </w:r>
      <w:r w:rsidR="005E6057" w:rsidRPr="0025219B">
        <w:rPr>
          <w:szCs w:val="24"/>
          <w:lang w:val="en-GB"/>
        </w:rPr>
        <w:t xml:space="preserve"> to cover all subsistence expenses, including </w:t>
      </w:r>
      <w:r w:rsidR="005E6057" w:rsidRPr="00A20CC9">
        <w:rPr>
          <w:szCs w:val="24"/>
          <w:lang w:val="en-GB"/>
        </w:rPr>
        <w:t>accommodation, meals, local tra</w:t>
      </w:r>
      <w:r w:rsidR="00FD7EFC" w:rsidRPr="00A20CC9">
        <w:rPr>
          <w:szCs w:val="24"/>
          <w:lang w:val="en-GB"/>
        </w:rPr>
        <w:t xml:space="preserve">nsport, insurance and sundries. The flat rate payment </w:t>
      </w:r>
      <w:r w:rsidR="001672FB" w:rsidRPr="00A20CC9">
        <w:rPr>
          <w:szCs w:val="24"/>
          <w:lang w:val="en-GB"/>
        </w:rPr>
        <w:t>(Annex</w:t>
      </w:r>
      <w:r w:rsidR="00A20CC9" w:rsidRPr="00A20CC9">
        <w:rPr>
          <w:szCs w:val="24"/>
          <w:lang w:val="en-GB"/>
        </w:rPr>
        <w:t xml:space="preserve"> 5</w:t>
      </w:r>
      <w:r w:rsidR="001672FB" w:rsidRPr="00A20CC9">
        <w:rPr>
          <w:szCs w:val="24"/>
          <w:lang w:val="en-GB"/>
        </w:rPr>
        <w:t xml:space="preserve">) </w:t>
      </w:r>
      <w:r w:rsidR="00FD7EFC" w:rsidRPr="00A20CC9">
        <w:rPr>
          <w:szCs w:val="24"/>
          <w:lang w:val="en-GB"/>
        </w:rPr>
        <w:t>is</w:t>
      </w:r>
      <w:r w:rsidR="00FD7EFC" w:rsidRPr="0025219B">
        <w:rPr>
          <w:szCs w:val="24"/>
          <w:lang w:val="en-GB"/>
        </w:rPr>
        <w:t xml:space="preserve"> </w:t>
      </w:r>
      <w:r w:rsidR="001672FB" w:rsidRPr="0025219B">
        <w:rPr>
          <w:szCs w:val="24"/>
          <w:lang w:val="en-GB"/>
        </w:rPr>
        <w:t>paid</w:t>
      </w:r>
      <w:r w:rsidR="00FD7EFC" w:rsidRPr="0025219B">
        <w:rPr>
          <w:szCs w:val="24"/>
          <w:lang w:val="en-GB"/>
        </w:rPr>
        <w:t xml:space="preserve"> in </w:t>
      </w:r>
      <w:r w:rsidR="00DB54B3" w:rsidRPr="0025219B">
        <w:rPr>
          <w:szCs w:val="24"/>
          <w:lang w:val="en-GB"/>
        </w:rPr>
        <w:t>euro.</w:t>
      </w:r>
    </w:p>
    <w:p w:rsidR="005E6057" w:rsidRDefault="005E6057" w:rsidP="00CB2535">
      <w:pPr>
        <w:pStyle w:val="Lijstalinea"/>
        <w:numPr>
          <w:ilvl w:val="1"/>
          <w:numId w:val="30"/>
        </w:numPr>
        <w:spacing w:before="0" w:after="0" w:line="240" w:lineRule="auto"/>
        <w:jc w:val="both"/>
        <w:rPr>
          <w:szCs w:val="24"/>
          <w:lang w:val="en-GB"/>
        </w:rPr>
      </w:pPr>
      <w:r>
        <w:rPr>
          <w:szCs w:val="24"/>
          <w:lang w:val="en-GB"/>
        </w:rPr>
        <w:t>Conversion between the euro and another currency shall be made using the daily euro exchange rate</w:t>
      </w:r>
      <w:r w:rsidR="008D7B1E">
        <w:rPr>
          <w:szCs w:val="24"/>
          <w:lang w:val="en-GB"/>
        </w:rPr>
        <w:tab/>
      </w:r>
      <w:r w:rsidR="00907906">
        <w:rPr>
          <w:szCs w:val="24"/>
          <w:lang w:val="en-GB"/>
        </w:rPr>
        <w:t xml:space="preserve"> </w:t>
      </w:r>
      <w:r w:rsidR="008D7B1E">
        <w:rPr>
          <w:szCs w:val="24"/>
          <w:lang w:val="en-GB"/>
        </w:rPr>
        <w:t xml:space="preserve"> </w:t>
      </w:r>
      <w:r w:rsidR="00907906">
        <w:rPr>
          <w:szCs w:val="24"/>
          <w:lang w:val="en-GB"/>
        </w:rPr>
        <w:t>(</w:t>
      </w:r>
      <w:r w:rsidR="00CB2535" w:rsidRPr="00CB2535">
        <w:rPr>
          <w:szCs w:val="24"/>
          <w:lang w:val="en-GB"/>
        </w:rPr>
        <w:t>http://www.ecb.europa.eu/stats/exchange/eurofxref/html/eurofxref-graph-usd.en.html</w:t>
      </w:r>
      <w:r w:rsidR="00907906">
        <w:rPr>
          <w:szCs w:val="24"/>
          <w:lang w:val="en-GB"/>
        </w:rPr>
        <w:t xml:space="preserve">) </w:t>
      </w:r>
    </w:p>
    <w:p w:rsidR="004A2D71" w:rsidRDefault="004A2D71" w:rsidP="00907906">
      <w:pPr>
        <w:pStyle w:val="Lijstalinea"/>
        <w:spacing w:before="0" w:after="0" w:line="240" w:lineRule="auto"/>
        <w:ind w:left="1440"/>
        <w:jc w:val="both"/>
        <w:rPr>
          <w:szCs w:val="24"/>
          <w:lang w:val="en-GB"/>
        </w:rPr>
      </w:pPr>
    </w:p>
    <w:p w:rsidR="004A2D71" w:rsidRDefault="004A2D71" w:rsidP="005C77EF">
      <w:pPr>
        <w:spacing w:before="0" w:after="0" w:line="240" w:lineRule="auto"/>
        <w:ind w:firstLine="708"/>
        <w:jc w:val="both"/>
        <w:rPr>
          <w:szCs w:val="24"/>
          <w:lang w:val="en-GB"/>
        </w:rPr>
      </w:pPr>
    </w:p>
    <w:p w:rsidR="00587D27" w:rsidRDefault="005C77EF" w:rsidP="001465B4">
      <w:pPr>
        <w:spacing w:before="0" w:after="0" w:line="240" w:lineRule="auto"/>
        <w:ind w:left="360"/>
        <w:jc w:val="both"/>
        <w:rPr>
          <w:szCs w:val="24"/>
          <w:u w:val="single"/>
          <w:lang w:val="en-GB"/>
        </w:rPr>
      </w:pPr>
      <w:r w:rsidRPr="004A2D71">
        <w:rPr>
          <w:szCs w:val="24"/>
          <w:u w:val="single"/>
          <w:lang w:val="en-GB"/>
        </w:rPr>
        <w:t>Reimbursement process</w:t>
      </w:r>
    </w:p>
    <w:p w:rsidR="00B357C4" w:rsidRPr="00B357C4" w:rsidRDefault="00B357C4" w:rsidP="001465B4">
      <w:pPr>
        <w:spacing w:before="0" w:after="0" w:line="240" w:lineRule="auto"/>
        <w:ind w:left="360"/>
        <w:jc w:val="both"/>
        <w:rPr>
          <w:b/>
          <w:szCs w:val="24"/>
          <w:lang w:val="en-GB"/>
        </w:rPr>
      </w:pPr>
      <w:r w:rsidRPr="00B357C4">
        <w:rPr>
          <w:b/>
          <w:szCs w:val="24"/>
          <w:lang w:val="en-GB"/>
        </w:rPr>
        <w:t>For CBE</w:t>
      </w:r>
      <w:r w:rsidR="00662D1F">
        <w:rPr>
          <w:b/>
          <w:szCs w:val="24"/>
          <w:lang w:val="en-GB"/>
        </w:rPr>
        <w:t>s</w:t>
      </w:r>
      <w:r w:rsidRPr="00B357C4">
        <w:rPr>
          <w:b/>
          <w:szCs w:val="24"/>
          <w:lang w:val="en-GB"/>
        </w:rPr>
        <w:t xml:space="preserve">: </w:t>
      </w:r>
    </w:p>
    <w:p w:rsidR="005A1AB6" w:rsidRDefault="00D354F4" w:rsidP="00D37637">
      <w:pPr>
        <w:pStyle w:val="Lijstalinea"/>
        <w:numPr>
          <w:ilvl w:val="0"/>
          <w:numId w:val="30"/>
        </w:numPr>
        <w:spacing w:before="0" w:after="0" w:line="240" w:lineRule="auto"/>
        <w:jc w:val="both"/>
        <w:rPr>
          <w:szCs w:val="24"/>
          <w:lang w:val="en-GB"/>
        </w:rPr>
      </w:pPr>
      <w:r>
        <w:rPr>
          <w:szCs w:val="24"/>
          <w:lang w:val="en-GB"/>
        </w:rPr>
        <w:t>On the invitation form, it will be included i</w:t>
      </w:r>
      <w:r w:rsidR="00150E2F">
        <w:rPr>
          <w:szCs w:val="24"/>
          <w:lang w:val="en-GB"/>
        </w:rPr>
        <w:t>f</w:t>
      </w:r>
      <w:r>
        <w:rPr>
          <w:szCs w:val="24"/>
          <w:lang w:val="en-GB"/>
        </w:rPr>
        <w:t xml:space="preserve"> an expert will be reimbursed or not. </w:t>
      </w:r>
      <w:r w:rsidR="004A2D71">
        <w:rPr>
          <w:szCs w:val="24"/>
          <w:lang w:val="en-GB"/>
        </w:rPr>
        <w:t xml:space="preserve">Only travel included on the invitation form of the </w:t>
      </w:r>
      <w:r w:rsidR="003332EC">
        <w:rPr>
          <w:szCs w:val="24"/>
          <w:lang w:val="en-GB"/>
        </w:rPr>
        <w:t xml:space="preserve">invited </w:t>
      </w:r>
      <w:r>
        <w:rPr>
          <w:szCs w:val="24"/>
          <w:lang w:val="en-GB"/>
        </w:rPr>
        <w:t>expert</w:t>
      </w:r>
      <w:r w:rsidR="003332EC">
        <w:rPr>
          <w:szCs w:val="24"/>
          <w:lang w:val="en-GB"/>
        </w:rPr>
        <w:t>,</w:t>
      </w:r>
      <w:r>
        <w:rPr>
          <w:szCs w:val="24"/>
          <w:lang w:val="en-GB"/>
        </w:rPr>
        <w:t xml:space="preserve"> </w:t>
      </w:r>
      <w:r w:rsidR="004A2D71">
        <w:rPr>
          <w:szCs w:val="24"/>
          <w:lang w:val="en-GB"/>
        </w:rPr>
        <w:t>can be reimbursed</w:t>
      </w:r>
      <w:r w:rsidR="00907906">
        <w:rPr>
          <w:szCs w:val="24"/>
          <w:lang w:val="en-GB"/>
        </w:rPr>
        <w:t>.</w:t>
      </w:r>
      <w:r>
        <w:rPr>
          <w:szCs w:val="24"/>
          <w:lang w:val="en-GB"/>
        </w:rPr>
        <w:t xml:space="preserve"> The </w:t>
      </w:r>
      <w:r w:rsidR="00A35CE5">
        <w:rPr>
          <w:szCs w:val="24"/>
          <w:lang w:val="en-GB"/>
        </w:rPr>
        <w:t>National</w:t>
      </w:r>
      <w:r w:rsidR="00D37637" w:rsidRPr="00D37637">
        <w:rPr>
          <w:szCs w:val="24"/>
          <w:lang w:val="en-GB"/>
        </w:rPr>
        <w:t xml:space="preserve"> Focal Contact P</w:t>
      </w:r>
      <w:r w:rsidR="00D37637">
        <w:rPr>
          <w:szCs w:val="24"/>
          <w:lang w:val="en-GB"/>
        </w:rPr>
        <w:t xml:space="preserve">oints </w:t>
      </w:r>
      <w:r>
        <w:rPr>
          <w:szCs w:val="24"/>
          <w:lang w:val="en-GB"/>
        </w:rPr>
        <w:t>will be reimbursed for all meetings when travel does take place outside their home country.</w:t>
      </w:r>
    </w:p>
    <w:p w:rsidR="005A1AB6" w:rsidRDefault="007E2AC4" w:rsidP="004A2D71">
      <w:pPr>
        <w:pStyle w:val="Lijstalinea"/>
        <w:numPr>
          <w:ilvl w:val="0"/>
          <w:numId w:val="30"/>
        </w:numPr>
        <w:spacing w:before="0" w:after="0" w:line="240" w:lineRule="auto"/>
        <w:jc w:val="both"/>
        <w:rPr>
          <w:szCs w:val="24"/>
          <w:lang w:val="en-GB"/>
        </w:rPr>
      </w:pPr>
      <w:r w:rsidRPr="007E2AC4">
        <w:rPr>
          <w:szCs w:val="24"/>
          <w:lang w:val="en-GB"/>
        </w:rPr>
        <w:t>The expert will pay for his/her travel in front.</w:t>
      </w:r>
      <w:r w:rsidR="00403BF6">
        <w:rPr>
          <w:szCs w:val="24"/>
          <w:lang w:val="en-GB"/>
        </w:rPr>
        <w:t xml:space="preserve"> </w:t>
      </w:r>
      <w:r w:rsidR="005A1AB6">
        <w:rPr>
          <w:szCs w:val="24"/>
          <w:lang w:val="en-GB"/>
        </w:rPr>
        <w:t>The expert submit</w:t>
      </w:r>
      <w:r w:rsidR="007623AF">
        <w:rPr>
          <w:szCs w:val="24"/>
          <w:lang w:val="en-GB"/>
        </w:rPr>
        <w:t>s</w:t>
      </w:r>
      <w:r w:rsidR="00403BF6">
        <w:rPr>
          <w:szCs w:val="24"/>
          <w:lang w:val="en-GB"/>
        </w:rPr>
        <w:t xml:space="preserve"> an invoice covering </w:t>
      </w:r>
      <w:r w:rsidR="00995222">
        <w:rPr>
          <w:szCs w:val="24"/>
          <w:lang w:val="en-GB"/>
        </w:rPr>
        <w:t>Per Diem</w:t>
      </w:r>
      <w:r w:rsidR="00E046A3">
        <w:rPr>
          <w:szCs w:val="24"/>
          <w:lang w:val="en-GB"/>
        </w:rPr>
        <w:t xml:space="preserve">, </w:t>
      </w:r>
      <w:r w:rsidR="005A1AB6">
        <w:rPr>
          <w:szCs w:val="24"/>
          <w:lang w:val="en-GB"/>
        </w:rPr>
        <w:t xml:space="preserve">transport (air or rail tickets, car </w:t>
      </w:r>
      <w:r w:rsidR="008D7B1E">
        <w:rPr>
          <w:szCs w:val="24"/>
          <w:lang w:val="en-GB"/>
        </w:rPr>
        <w:t>kilometres</w:t>
      </w:r>
      <w:r w:rsidR="005A1AB6">
        <w:rPr>
          <w:szCs w:val="24"/>
          <w:lang w:val="en-GB"/>
        </w:rPr>
        <w:t>)</w:t>
      </w:r>
      <w:r w:rsidR="00403BF6">
        <w:rPr>
          <w:szCs w:val="24"/>
          <w:lang w:val="en-GB"/>
        </w:rPr>
        <w:t xml:space="preserve"> and</w:t>
      </w:r>
      <w:r w:rsidR="007623AF">
        <w:rPr>
          <w:szCs w:val="24"/>
          <w:lang w:val="en-GB"/>
        </w:rPr>
        <w:t xml:space="preserve"> </w:t>
      </w:r>
      <w:r w:rsidR="00130339">
        <w:rPr>
          <w:szCs w:val="24"/>
          <w:lang w:val="en-GB"/>
        </w:rPr>
        <w:t xml:space="preserve">copies of the </w:t>
      </w:r>
      <w:r w:rsidR="005A1AB6">
        <w:rPr>
          <w:szCs w:val="24"/>
          <w:lang w:val="en-GB"/>
        </w:rPr>
        <w:t xml:space="preserve">invoices of accommodation (hotel bills) to the </w:t>
      </w:r>
      <w:r w:rsidR="00E046A3">
        <w:rPr>
          <w:szCs w:val="24"/>
          <w:lang w:val="en-GB"/>
        </w:rPr>
        <w:t>contractor</w:t>
      </w:r>
      <w:r w:rsidR="005A1AB6">
        <w:rPr>
          <w:szCs w:val="24"/>
          <w:lang w:val="en-GB"/>
        </w:rPr>
        <w:t xml:space="preserve">. </w:t>
      </w:r>
      <w:r>
        <w:rPr>
          <w:szCs w:val="24"/>
          <w:lang w:val="en-GB"/>
        </w:rPr>
        <w:t xml:space="preserve">The expert signs the attendance register at the CBE event and provides </w:t>
      </w:r>
      <w:r w:rsidR="006679AF">
        <w:rPr>
          <w:szCs w:val="24"/>
          <w:lang w:val="en-GB"/>
        </w:rPr>
        <w:t>details of the bank account for reimbursement</w:t>
      </w:r>
      <w:r>
        <w:rPr>
          <w:szCs w:val="24"/>
          <w:lang w:val="en-GB"/>
        </w:rPr>
        <w:t>.</w:t>
      </w:r>
    </w:p>
    <w:p w:rsidR="007F4AAC" w:rsidRDefault="007F4AAC" w:rsidP="00F24685">
      <w:pPr>
        <w:pStyle w:val="Lijstalinea"/>
        <w:spacing w:before="0" w:after="0" w:line="240" w:lineRule="auto"/>
        <w:jc w:val="both"/>
        <w:rPr>
          <w:szCs w:val="24"/>
          <w:lang w:val="en-GB"/>
        </w:rPr>
      </w:pPr>
    </w:p>
    <w:p w:rsidR="007F4AAC" w:rsidRDefault="006511F3" w:rsidP="00F24685">
      <w:pPr>
        <w:pStyle w:val="Lijstalinea"/>
        <w:spacing w:before="0" w:after="0" w:line="240" w:lineRule="auto"/>
        <w:jc w:val="both"/>
        <w:rPr>
          <w:szCs w:val="24"/>
          <w:lang w:val="en-GB"/>
        </w:rPr>
      </w:pPr>
      <w:r w:rsidRPr="006511F3">
        <w:rPr>
          <w:szCs w:val="24"/>
          <w:lang w:val="en-GB"/>
        </w:rPr>
        <w:lastRenderedPageBreak/>
        <w:t xml:space="preserve">A template for invoicing is provided by ARCADIS. </w:t>
      </w:r>
      <w:r w:rsidR="007F4AAC" w:rsidRPr="007F4AAC">
        <w:rPr>
          <w:szCs w:val="24"/>
          <w:lang w:val="en-GB"/>
        </w:rPr>
        <w:t xml:space="preserve">The invoice has to be sent electronically </w:t>
      </w:r>
      <w:r w:rsidR="007F4AAC">
        <w:rPr>
          <w:szCs w:val="24"/>
          <w:lang w:val="en-GB"/>
        </w:rPr>
        <w:t xml:space="preserve">in </w:t>
      </w:r>
      <w:proofErr w:type="spellStart"/>
      <w:r w:rsidR="007F4AAC">
        <w:rPr>
          <w:szCs w:val="24"/>
          <w:lang w:val="en-GB"/>
        </w:rPr>
        <w:t>pdf</w:t>
      </w:r>
      <w:proofErr w:type="spellEnd"/>
      <w:r w:rsidR="007F4AAC">
        <w:rPr>
          <w:szCs w:val="24"/>
          <w:lang w:val="en-GB"/>
        </w:rPr>
        <w:t xml:space="preserve"> format (A4) </w:t>
      </w:r>
      <w:r w:rsidR="007F4AAC" w:rsidRPr="007F4AAC">
        <w:rPr>
          <w:szCs w:val="24"/>
          <w:lang w:val="en-GB"/>
        </w:rPr>
        <w:t xml:space="preserve">to the email addresses mentioned below and should be include the following </w:t>
      </w:r>
      <w:r w:rsidR="00AB054F">
        <w:rPr>
          <w:szCs w:val="24"/>
          <w:lang w:val="en-GB"/>
        </w:rPr>
        <w:t>elements</w:t>
      </w:r>
      <w:r w:rsidR="007F4AAC" w:rsidRPr="007F4AAC">
        <w:rPr>
          <w:szCs w:val="24"/>
          <w:lang w:val="en-GB"/>
        </w:rPr>
        <w:t>:</w:t>
      </w:r>
    </w:p>
    <w:p w:rsidR="00F55615" w:rsidRDefault="00F55615" w:rsidP="00F24685">
      <w:pPr>
        <w:pStyle w:val="Lijstalinea"/>
        <w:spacing w:before="0" w:after="0" w:line="240" w:lineRule="auto"/>
        <w:jc w:val="both"/>
        <w:rPr>
          <w:szCs w:val="24"/>
          <w:lang w:val="en-GB"/>
        </w:rPr>
      </w:pPr>
    </w:p>
    <w:tbl>
      <w:tblPr>
        <w:tblStyle w:val="Tabelraster"/>
        <w:tblW w:w="0" w:type="auto"/>
        <w:tblInd w:w="1526" w:type="dxa"/>
        <w:tblLook w:val="04A0" w:firstRow="1" w:lastRow="0" w:firstColumn="1" w:lastColumn="0" w:noHBand="0" w:noVBand="1"/>
      </w:tblPr>
      <w:tblGrid>
        <w:gridCol w:w="5670"/>
      </w:tblGrid>
      <w:tr w:rsidR="007F4AAC" w:rsidTr="00F24685">
        <w:tc>
          <w:tcPr>
            <w:tcW w:w="5670" w:type="dxa"/>
          </w:tcPr>
          <w:p w:rsidR="00AB054F" w:rsidRDefault="00AB054F" w:rsidP="007F4AAC">
            <w:pPr>
              <w:spacing w:line="280" w:lineRule="exact"/>
              <w:rPr>
                <w:b/>
                <w:u w:val="single"/>
                <w:lang w:val="en-GB"/>
              </w:rPr>
            </w:pPr>
            <w:r>
              <w:rPr>
                <w:b/>
                <w:u w:val="single"/>
                <w:lang w:val="en-GB"/>
              </w:rPr>
              <w:t>Project: 9252213 MSFD in Bulgaria &amp; Romania – EC</w:t>
            </w:r>
          </w:p>
          <w:p w:rsidR="00AB054F" w:rsidRDefault="00AB054F" w:rsidP="007F4AAC">
            <w:pPr>
              <w:spacing w:line="280" w:lineRule="exact"/>
              <w:rPr>
                <w:b/>
                <w:u w:val="single"/>
                <w:lang w:val="en-GB"/>
              </w:rPr>
            </w:pPr>
            <w:r>
              <w:rPr>
                <w:b/>
                <w:u w:val="single"/>
                <w:lang w:val="en-GB"/>
              </w:rPr>
              <w:t>CBE title</w:t>
            </w:r>
          </w:p>
          <w:p w:rsidR="00AB054F" w:rsidRDefault="00AB054F" w:rsidP="007F4AAC">
            <w:pPr>
              <w:spacing w:line="280" w:lineRule="exact"/>
              <w:rPr>
                <w:b/>
                <w:u w:val="single"/>
                <w:lang w:val="en-GB"/>
              </w:rPr>
            </w:pPr>
            <w:r>
              <w:rPr>
                <w:b/>
                <w:u w:val="single"/>
                <w:lang w:val="en-GB"/>
              </w:rPr>
              <w:t>CBE date</w:t>
            </w:r>
          </w:p>
          <w:p w:rsidR="00AB054F" w:rsidRDefault="00AB054F" w:rsidP="007F4AAC">
            <w:pPr>
              <w:spacing w:line="280" w:lineRule="exact"/>
              <w:rPr>
                <w:b/>
                <w:u w:val="single"/>
                <w:lang w:val="en-GB"/>
              </w:rPr>
            </w:pPr>
          </w:p>
          <w:p w:rsidR="007F4AAC" w:rsidRPr="00F24685" w:rsidRDefault="007F4AAC" w:rsidP="007F4AAC">
            <w:pPr>
              <w:spacing w:line="280" w:lineRule="exact"/>
              <w:rPr>
                <w:b/>
                <w:u w:val="single"/>
                <w:lang w:val="en-US"/>
              </w:rPr>
            </w:pPr>
            <w:r w:rsidRPr="00F24685">
              <w:rPr>
                <w:b/>
                <w:u w:val="single"/>
                <w:lang w:val="en-US"/>
              </w:rPr>
              <w:t>Email addresses:</w:t>
            </w:r>
          </w:p>
          <w:p w:rsidR="007F4AAC" w:rsidRPr="00F24685" w:rsidRDefault="00D85EBB" w:rsidP="007F4AAC">
            <w:pPr>
              <w:spacing w:line="280" w:lineRule="exact"/>
              <w:rPr>
                <w:lang w:val="en-US"/>
              </w:rPr>
            </w:pPr>
            <w:hyperlink r:id="rId15" w:history="1">
              <w:r w:rsidR="007F4AAC" w:rsidRPr="00F24685">
                <w:rPr>
                  <w:rStyle w:val="Hyperlink"/>
                  <w:lang w:val="en-US"/>
                </w:rPr>
                <w:t>a.volckaert@arcadisbelgium.be</w:t>
              </w:r>
            </w:hyperlink>
          </w:p>
          <w:p w:rsidR="007F4AAC" w:rsidRDefault="00D85EBB" w:rsidP="007F4AAC">
            <w:pPr>
              <w:spacing w:line="280" w:lineRule="exact"/>
              <w:rPr>
                <w:rStyle w:val="Hyperlink"/>
                <w:lang w:val="en-US"/>
              </w:rPr>
            </w:pPr>
            <w:hyperlink r:id="rId16" w:history="1">
              <w:r w:rsidR="00995222" w:rsidRPr="00FF026E">
                <w:rPr>
                  <w:rStyle w:val="Hyperlink"/>
                  <w:lang w:val="en-US"/>
                </w:rPr>
                <w:t>w.rommens@arcadisbelgium.be</w:t>
              </w:r>
            </w:hyperlink>
          </w:p>
          <w:p w:rsidR="00995222" w:rsidRPr="000138F8" w:rsidRDefault="00995222" w:rsidP="00995222">
            <w:pPr>
              <w:spacing w:line="280" w:lineRule="exact"/>
              <w:rPr>
                <w:rStyle w:val="Hyperlink"/>
                <w:lang w:val="en-US"/>
              </w:rPr>
            </w:pPr>
            <w:r>
              <w:rPr>
                <w:rStyle w:val="Hyperlink"/>
                <w:lang w:val="en-US"/>
              </w:rPr>
              <w:t>i.claeys@arcadisbelgium.be</w:t>
            </w:r>
          </w:p>
          <w:p w:rsidR="007F4AAC" w:rsidRDefault="00D85EBB" w:rsidP="007F4AAC">
            <w:pPr>
              <w:spacing w:line="280" w:lineRule="exact"/>
              <w:rPr>
                <w:lang w:val="en-US"/>
              </w:rPr>
            </w:pPr>
            <w:hyperlink r:id="rId17" w:history="1">
              <w:r w:rsidR="007F4AAC" w:rsidRPr="00FA28AD">
                <w:rPr>
                  <w:rStyle w:val="Hyperlink"/>
                  <w:lang w:val="en-GB"/>
                </w:rPr>
                <w:t>vendoraccounting@arcadisbelgium.be</w:t>
              </w:r>
            </w:hyperlink>
          </w:p>
          <w:p w:rsidR="007F4AAC" w:rsidRPr="00F24685" w:rsidRDefault="007F4AAC" w:rsidP="007F4AAC">
            <w:pPr>
              <w:spacing w:line="280" w:lineRule="exact"/>
              <w:rPr>
                <w:b/>
                <w:u w:val="single"/>
                <w:lang w:val="en-US"/>
              </w:rPr>
            </w:pPr>
            <w:r w:rsidRPr="00F24685">
              <w:rPr>
                <w:b/>
                <w:u w:val="single"/>
                <w:lang w:val="en-US"/>
              </w:rPr>
              <w:t>Postal address</w:t>
            </w:r>
          </w:p>
          <w:p w:rsidR="007F4AAC" w:rsidRPr="007F4AAC" w:rsidRDefault="007F4AAC" w:rsidP="007F4AAC">
            <w:pPr>
              <w:spacing w:line="280" w:lineRule="exact"/>
              <w:rPr>
                <w:lang w:val="en-US"/>
              </w:rPr>
            </w:pPr>
            <w:r w:rsidRPr="007F4AAC">
              <w:rPr>
                <w:lang w:val="en-US"/>
              </w:rPr>
              <w:t>ARCADIS Belgium NV</w:t>
            </w:r>
            <w:r w:rsidRPr="007F4AAC">
              <w:rPr>
                <w:lang w:val="en-US"/>
              </w:rPr>
              <w:br/>
            </w:r>
            <w:proofErr w:type="spellStart"/>
            <w:r w:rsidRPr="007F4AAC">
              <w:rPr>
                <w:lang w:val="en-US"/>
              </w:rPr>
              <w:t>Posthofbrug</w:t>
            </w:r>
            <w:proofErr w:type="spellEnd"/>
            <w:r w:rsidRPr="007F4AAC">
              <w:rPr>
                <w:lang w:val="en-US"/>
              </w:rPr>
              <w:t xml:space="preserve"> 12</w:t>
            </w:r>
            <w:r w:rsidRPr="007F4AAC">
              <w:rPr>
                <w:lang w:val="en-US"/>
              </w:rPr>
              <w:br/>
              <w:t xml:space="preserve">2600 </w:t>
            </w:r>
            <w:proofErr w:type="spellStart"/>
            <w:r w:rsidRPr="007F4AAC">
              <w:rPr>
                <w:lang w:val="en-US"/>
              </w:rPr>
              <w:t>Berchem</w:t>
            </w:r>
            <w:proofErr w:type="spellEnd"/>
          </w:p>
          <w:p w:rsidR="007F4AAC" w:rsidRDefault="007F4AAC" w:rsidP="007F4AAC">
            <w:pPr>
              <w:pStyle w:val="Lijstalinea"/>
              <w:spacing w:before="0" w:after="0" w:line="240" w:lineRule="auto"/>
              <w:ind w:left="0"/>
              <w:jc w:val="both"/>
              <w:rPr>
                <w:szCs w:val="24"/>
                <w:lang w:val="en-GB"/>
              </w:rPr>
            </w:pPr>
          </w:p>
          <w:p w:rsidR="007F4AAC" w:rsidRPr="007F4AAC" w:rsidRDefault="007F4AAC" w:rsidP="007F4AAC">
            <w:pPr>
              <w:pStyle w:val="Lijstalinea"/>
              <w:spacing w:before="0" w:after="0" w:line="240" w:lineRule="auto"/>
              <w:ind w:left="0"/>
              <w:jc w:val="both"/>
              <w:rPr>
                <w:szCs w:val="24"/>
                <w:lang w:val="en-GB"/>
              </w:rPr>
            </w:pPr>
            <w:r w:rsidRPr="007F4AAC">
              <w:rPr>
                <w:szCs w:val="24"/>
                <w:lang w:val="en-GB"/>
              </w:rPr>
              <w:t xml:space="preserve">VAT: </w:t>
            </w:r>
            <w:r w:rsidRPr="00F24685">
              <w:rPr>
                <w:lang w:val="en-GB"/>
              </w:rPr>
              <w:t>BE0426.682.709</w:t>
            </w:r>
          </w:p>
        </w:tc>
      </w:tr>
    </w:tbl>
    <w:p w:rsidR="007F4AAC" w:rsidRDefault="007F4AAC" w:rsidP="00F24685">
      <w:pPr>
        <w:pStyle w:val="Lijstalinea"/>
        <w:spacing w:before="0" w:after="0" w:line="240" w:lineRule="auto"/>
        <w:jc w:val="both"/>
        <w:rPr>
          <w:szCs w:val="24"/>
          <w:lang w:val="en-GB"/>
        </w:rPr>
      </w:pPr>
    </w:p>
    <w:p w:rsidR="007E2AC4" w:rsidRDefault="007E2AC4" w:rsidP="004A2D71">
      <w:pPr>
        <w:pStyle w:val="Lijstalinea"/>
        <w:numPr>
          <w:ilvl w:val="0"/>
          <w:numId w:val="30"/>
        </w:numPr>
        <w:spacing w:before="0" w:after="0" w:line="240" w:lineRule="auto"/>
        <w:jc w:val="both"/>
        <w:rPr>
          <w:szCs w:val="24"/>
          <w:lang w:val="en-GB"/>
        </w:rPr>
      </w:pPr>
      <w:r>
        <w:rPr>
          <w:szCs w:val="24"/>
          <w:lang w:val="en-GB"/>
        </w:rPr>
        <w:t xml:space="preserve">The contractor pays the invoice within </w:t>
      </w:r>
      <w:r w:rsidR="00E046A3">
        <w:rPr>
          <w:szCs w:val="24"/>
          <w:lang w:val="en-GB"/>
        </w:rPr>
        <w:t>3</w:t>
      </w:r>
      <w:r>
        <w:rPr>
          <w:szCs w:val="24"/>
          <w:lang w:val="en-GB"/>
        </w:rPr>
        <w:t xml:space="preserve"> weeks after </w:t>
      </w:r>
      <w:r w:rsidR="006511F3">
        <w:rPr>
          <w:szCs w:val="24"/>
          <w:lang w:val="en-GB"/>
        </w:rPr>
        <w:t xml:space="preserve">receipt </w:t>
      </w:r>
      <w:r>
        <w:rPr>
          <w:szCs w:val="24"/>
          <w:lang w:val="en-GB"/>
        </w:rPr>
        <w:t xml:space="preserve">to the </w:t>
      </w:r>
      <w:r w:rsidR="00403BF6">
        <w:rPr>
          <w:szCs w:val="24"/>
          <w:lang w:val="en-GB"/>
        </w:rPr>
        <w:t>expert by bank transfer</w:t>
      </w:r>
      <w:r>
        <w:rPr>
          <w:szCs w:val="24"/>
          <w:lang w:val="en-GB"/>
        </w:rPr>
        <w:t>.</w:t>
      </w:r>
    </w:p>
    <w:p w:rsidR="00F24685" w:rsidRDefault="00F24685" w:rsidP="00F24685">
      <w:pPr>
        <w:pStyle w:val="Lijstalinea"/>
        <w:spacing w:before="0" w:after="0" w:line="240" w:lineRule="auto"/>
        <w:jc w:val="both"/>
        <w:rPr>
          <w:szCs w:val="24"/>
          <w:lang w:val="en-GB"/>
        </w:rPr>
      </w:pPr>
    </w:p>
    <w:p w:rsidR="00B66A45" w:rsidRDefault="00B357C4" w:rsidP="00B357C4">
      <w:pPr>
        <w:spacing w:before="0" w:after="0" w:line="240" w:lineRule="auto"/>
        <w:ind w:left="360"/>
        <w:jc w:val="both"/>
        <w:rPr>
          <w:szCs w:val="24"/>
          <w:lang w:val="en-GB"/>
        </w:rPr>
      </w:pPr>
      <w:r w:rsidRPr="00B357C4">
        <w:rPr>
          <w:b/>
          <w:szCs w:val="24"/>
          <w:lang w:val="en-GB"/>
        </w:rPr>
        <w:t>For steering group meetings:</w:t>
      </w:r>
      <w:r w:rsidR="00403BF6">
        <w:rPr>
          <w:b/>
          <w:szCs w:val="24"/>
          <w:lang w:val="en-GB"/>
        </w:rPr>
        <w:t xml:space="preserve"> </w:t>
      </w:r>
      <w:r w:rsidR="00B66A45" w:rsidRPr="00F24685">
        <w:rPr>
          <w:szCs w:val="24"/>
          <w:lang w:val="en-GB"/>
        </w:rPr>
        <w:t>A similar approach is used as described above.</w:t>
      </w:r>
    </w:p>
    <w:p w:rsidR="00B66A45" w:rsidRDefault="00B66A45" w:rsidP="00D37637">
      <w:pPr>
        <w:pStyle w:val="Lijstalinea"/>
        <w:numPr>
          <w:ilvl w:val="0"/>
          <w:numId w:val="30"/>
        </w:numPr>
        <w:spacing w:before="0" w:after="0" w:line="240" w:lineRule="auto"/>
        <w:jc w:val="both"/>
        <w:rPr>
          <w:szCs w:val="24"/>
          <w:lang w:val="en-GB"/>
        </w:rPr>
      </w:pPr>
      <w:r w:rsidRPr="007E2AC4">
        <w:rPr>
          <w:szCs w:val="24"/>
          <w:lang w:val="en-GB"/>
        </w:rPr>
        <w:t xml:space="preserve">The </w:t>
      </w:r>
      <w:r w:rsidR="00D37637" w:rsidRPr="00D37637">
        <w:rPr>
          <w:szCs w:val="24"/>
          <w:lang w:val="en-GB"/>
        </w:rPr>
        <w:t>National Focal Contact Point</w:t>
      </w:r>
      <w:r w:rsidR="00D37637">
        <w:rPr>
          <w:szCs w:val="24"/>
          <w:lang w:val="en-GB"/>
        </w:rPr>
        <w:t>s</w:t>
      </w:r>
      <w:r w:rsidR="00D37637" w:rsidRPr="00D37637">
        <w:rPr>
          <w:szCs w:val="24"/>
          <w:lang w:val="en-GB"/>
        </w:rPr>
        <w:t xml:space="preserve"> </w:t>
      </w:r>
      <w:r w:rsidRPr="007E2AC4">
        <w:rPr>
          <w:szCs w:val="24"/>
          <w:lang w:val="en-GB"/>
        </w:rPr>
        <w:t>will pay for his/her travel in front.</w:t>
      </w:r>
    </w:p>
    <w:p w:rsidR="00B66A45" w:rsidRDefault="00B66A45" w:rsidP="00D37637">
      <w:pPr>
        <w:pStyle w:val="Lijstalinea"/>
        <w:numPr>
          <w:ilvl w:val="0"/>
          <w:numId w:val="30"/>
        </w:numPr>
        <w:spacing w:before="0" w:after="0" w:line="240" w:lineRule="auto"/>
        <w:jc w:val="both"/>
        <w:rPr>
          <w:szCs w:val="24"/>
          <w:lang w:val="en-GB"/>
        </w:rPr>
      </w:pPr>
      <w:r>
        <w:rPr>
          <w:szCs w:val="24"/>
          <w:lang w:val="en-GB"/>
        </w:rPr>
        <w:t xml:space="preserve">The </w:t>
      </w:r>
      <w:r w:rsidR="00D37637" w:rsidRPr="00D37637">
        <w:rPr>
          <w:szCs w:val="24"/>
          <w:lang w:val="en-GB"/>
        </w:rPr>
        <w:t xml:space="preserve">National Focal Contact Point </w:t>
      </w:r>
      <w:r>
        <w:rPr>
          <w:szCs w:val="24"/>
          <w:lang w:val="en-GB"/>
        </w:rPr>
        <w:t>submits an invoice to the contractor</w:t>
      </w:r>
      <w:r w:rsidR="002821B5" w:rsidRPr="002821B5">
        <w:rPr>
          <w:szCs w:val="24"/>
          <w:lang w:val="en-GB"/>
        </w:rPr>
        <w:t xml:space="preserve"> </w:t>
      </w:r>
      <w:r w:rsidR="002821B5">
        <w:rPr>
          <w:szCs w:val="24"/>
          <w:lang w:val="en-GB"/>
        </w:rPr>
        <w:t xml:space="preserve">together with copies (scans) of the original invoices. </w:t>
      </w:r>
      <w:r w:rsidR="006511F3">
        <w:rPr>
          <w:szCs w:val="24"/>
          <w:lang w:val="en-GB"/>
        </w:rPr>
        <w:t xml:space="preserve">A template for invoicing is provided by ARCADIS. </w:t>
      </w:r>
      <w:r w:rsidR="002821B5">
        <w:rPr>
          <w:szCs w:val="24"/>
          <w:lang w:val="en-GB"/>
        </w:rPr>
        <w:t>This includes</w:t>
      </w:r>
      <w:r>
        <w:rPr>
          <w:szCs w:val="24"/>
          <w:lang w:val="en-GB"/>
        </w:rPr>
        <w:t xml:space="preserve"> the costs of his/her travel (invoices of transport (air or rail tickets, car </w:t>
      </w:r>
      <w:r w:rsidR="008D7B1E">
        <w:rPr>
          <w:szCs w:val="24"/>
          <w:lang w:val="en-GB"/>
        </w:rPr>
        <w:t>kilometres</w:t>
      </w:r>
      <w:r>
        <w:rPr>
          <w:szCs w:val="24"/>
          <w:lang w:val="en-GB"/>
        </w:rPr>
        <w:t xml:space="preserve">), invoices of accommodation (hotel bills) to the </w:t>
      </w:r>
      <w:r w:rsidR="00D37637" w:rsidRPr="00D37637">
        <w:rPr>
          <w:szCs w:val="24"/>
          <w:lang w:val="en-GB"/>
        </w:rPr>
        <w:t xml:space="preserve">National Focal Contact Point </w:t>
      </w:r>
      <w:r>
        <w:rPr>
          <w:szCs w:val="24"/>
          <w:lang w:val="en-GB"/>
        </w:rPr>
        <w:t xml:space="preserve">at the </w:t>
      </w:r>
      <w:r w:rsidR="008D7B1E">
        <w:rPr>
          <w:szCs w:val="24"/>
          <w:lang w:val="en-GB"/>
        </w:rPr>
        <w:t>SGM</w:t>
      </w:r>
      <w:r>
        <w:rPr>
          <w:szCs w:val="24"/>
          <w:lang w:val="en-GB"/>
        </w:rPr>
        <w:t xml:space="preserve">. The </w:t>
      </w:r>
      <w:r w:rsidR="00D37637" w:rsidRPr="00D37637">
        <w:rPr>
          <w:szCs w:val="24"/>
          <w:lang w:val="en-GB"/>
        </w:rPr>
        <w:t xml:space="preserve">National Focal Contact Point </w:t>
      </w:r>
      <w:r>
        <w:rPr>
          <w:szCs w:val="24"/>
          <w:lang w:val="en-GB"/>
        </w:rPr>
        <w:t xml:space="preserve">signs the attendance register at the </w:t>
      </w:r>
      <w:r w:rsidR="008D7B1E">
        <w:rPr>
          <w:szCs w:val="24"/>
          <w:lang w:val="en-GB"/>
        </w:rPr>
        <w:t>SGM</w:t>
      </w:r>
      <w:r>
        <w:rPr>
          <w:szCs w:val="24"/>
          <w:lang w:val="en-GB"/>
        </w:rPr>
        <w:t>.</w:t>
      </w:r>
    </w:p>
    <w:p w:rsidR="00B66A45" w:rsidRDefault="00B66A45" w:rsidP="00B66A45">
      <w:pPr>
        <w:pStyle w:val="Lijstalinea"/>
        <w:spacing w:before="0" w:after="0" w:line="240" w:lineRule="auto"/>
        <w:jc w:val="both"/>
        <w:rPr>
          <w:szCs w:val="24"/>
          <w:lang w:val="en-GB"/>
        </w:rPr>
      </w:pPr>
    </w:p>
    <w:p w:rsidR="00B66A45" w:rsidRPr="007F4AAC" w:rsidRDefault="00B66A45" w:rsidP="00B66A45">
      <w:pPr>
        <w:pStyle w:val="Lijstalinea"/>
        <w:spacing w:before="0" w:after="0" w:line="240" w:lineRule="auto"/>
        <w:jc w:val="both"/>
        <w:rPr>
          <w:szCs w:val="24"/>
          <w:lang w:val="en-GB"/>
        </w:rPr>
      </w:pPr>
      <w:r w:rsidRPr="007F4AAC">
        <w:rPr>
          <w:szCs w:val="24"/>
          <w:lang w:val="en-GB"/>
        </w:rPr>
        <w:t xml:space="preserve">The invoice has to be sent electronically </w:t>
      </w:r>
      <w:r>
        <w:rPr>
          <w:szCs w:val="24"/>
          <w:lang w:val="en-GB"/>
        </w:rPr>
        <w:t xml:space="preserve">in </w:t>
      </w:r>
      <w:proofErr w:type="spellStart"/>
      <w:r>
        <w:rPr>
          <w:szCs w:val="24"/>
          <w:lang w:val="en-GB"/>
        </w:rPr>
        <w:t>pdf</w:t>
      </w:r>
      <w:proofErr w:type="spellEnd"/>
      <w:r>
        <w:rPr>
          <w:szCs w:val="24"/>
          <w:lang w:val="en-GB"/>
        </w:rPr>
        <w:t xml:space="preserve"> format (A4) </w:t>
      </w:r>
      <w:r w:rsidRPr="007F4AAC">
        <w:rPr>
          <w:szCs w:val="24"/>
          <w:lang w:val="en-GB"/>
        </w:rPr>
        <w:t xml:space="preserve">to the email addresses mentioned below and should be include the following </w:t>
      </w:r>
      <w:r>
        <w:rPr>
          <w:szCs w:val="24"/>
          <w:lang w:val="en-GB"/>
        </w:rPr>
        <w:t>elements</w:t>
      </w:r>
      <w:r w:rsidRPr="007F4AAC">
        <w:rPr>
          <w:szCs w:val="24"/>
          <w:lang w:val="en-GB"/>
        </w:rPr>
        <w:t>:</w:t>
      </w:r>
    </w:p>
    <w:p w:rsidR="00B66A45" w:rsidRDefault="00B66A45" w:rsidP="00B66A45">
      <w:pPr>
        <w:pStyle w:val="Lijstalinea"/>
        <w:spacing w:before="0" w:after="0" w:line="240" w:lineRule="auto"/>
        <w:jc w:val="both"/>
        <w:rPr>
          <w:szCs w:val="24"/>
          <w:lang w:val="en-GB"/>
        </w:rPr>
      </w:pPr>
    </w:p>
    <w:tbl>
      <w:tblPr>
        <w:tblStyle w:val="Tabelraster"/>
        <w:tblW w:w="0" w:type="auto"/>
        <w:tblInd w:w="1526" w:type="dxa"/>
        <w:tblLook w:val="04A0" w:firstRow="1" w:lastRow="0" w:firstColumn="1" w:lastColumn="0" w:noHBand="0" w:noVBand="1"/>
      </w:tblPr>
      <w:tblGrid>
        <w:gridCol w:w="5670"/>
      </w:tblGrid>
      <w:tr w:rsidR="00B66A45" w:rsidTr="00C70B90">
        <w:tc>
          <w:tcPr>
            <w:tcW w:w="5670" w:type="dxa"/>
          </w:tcPr>
          <w:p w:rsidR="00B66A45" w:rsidRDefault="00B66A45" w:rsidP="00C70B90">
            <w:pPr>
              <w:spacing w:line="280" w:lineRule="exact"/>
              <w:rPr>
                <w:b/>
                <w:u w:val="single"/>
                <w:lang w:val="en-GB"/>
              </w:rPr>
            </w:pPr>
            <w:r>
              <w:rPr>
                <w:b/>
                <w:u w:val="single"/>
                <w:lang w:val="en-GB"/>
              </w:rPr>
              <w:t>Project: 9252213 MSFD in Bulgaria &amp; Romania – EC</w:t>
            </w:r>
          </w:p>
          <w:p w:rsidR="00B66A45" w:rsidRDefault="002821B5" w:rsidP="00C70B90">
            <w:pPr>
              <w:spacing w:line="280" w:lineRule="exact"/>
              <w:rPr>
                <w:b/>
                <w:u w:val="single"/>
                <w:lang w:val="en-GB"/>
              </w:rPr>
            </w:pPr>
            <w:r>
              <w:rPr>
                <w:b/>
                <w:u w:val="single"/>
                <w:lang w:val="en-GB"/>
              </w:rPr>
              <w:t>Steering group meeting title</w:t>
            </w:r>
          </w:p>
          <w:p w:rsidR="00B66A45" w:rsidRDefault="002821B5" w:rsidP="00C70B90">
            <w:pPr>
              <w:spacing w:line="280" w:lineRule="exact"/>
              <w:rPr>
                <w:b/>
                <w:u w:val="single"/>
                <w:lang w:val="en-GB"/>
              </w:rPr>
            </w:pPr>
            <w:r>
              <w:rPr>
                <w:b/>
                <w:u w:val="single"/>
                <w:lang w:val="en-GB"/>
              </w:rPr>
              <w:t>Steering group meeting date</w:t>
            </w:r>
          </w:p>
          <w:p w:rsidR="00B66A45" w:rsidRDefault="00B66A45" w:rsidP="00C70B90">
            <w:pPr>
              <w:spacing w:line="280" w:lineRule="exact"/>
              <w:rPr>
                <w:b/>
                <w:u w:val="single"/>
                <w:lang w:val="en-GB"/>
              </w:rPr>
            </w:pPr>
          </w:p>
          <w:p w:rsidR="00B66A45" w:rsidRPr="00C70B90" w:rsidRDefault="00B66A45" w:rsidP="00C70B90">
            <w:pPr>
              <w:spacing w:line="280" w:lineRule="exact"/>
              <w:rPr>
                <w:b/>
                <w:u w:val="single"/>
                <w:lang w:val="en-US"/>
              </w:rPr>
            </w:pPr>
            <w:r w:rsidRPr="00C70B90">
              <w:rPr>
                <w:b/>
                <w:u w:val="single"/>
                <w:lang w:val="en-US"/>
              </w:rPr>
              <w:t>Email addresses:</w:t>
            </w:r>
          </w:p>
          <w:p w:rsidR="00B66A45" w:rsidRPr="00C70B90" w:rsidRDefault="00D85EBB" w:rsidP="00C70B90">
            <w:pPr>
              <w:spacing w:line="280" w:lineRule="exact"/>
              <w:rPr>
                <w:lang w:val="en-US"/>
              </w:rPr>
            </w:pPr>
            <w:hyperlink r:id="rId18" w:history="1">
              <w:r w:rsidR="00B66A45" w:rsidRPr="00C70B90">
                <w:rPr>
                  <w:rStyle w:val="Hyperlink"/>
                  <w:lang w:val="en-US"/>
                </w:rPr>
                <w:t>a.volckaert@arcadisbelgium.be</w:t>
              </w:r>
            </w:hyperlink>
          </w:p>
          <w:p w:rsidR="00B66A45" w:rsidRDefault="00D85EBB" w:rsidP="00C70B90">
            <w:pPr>
              <w:spacing w:line="280" w:lineRule="exact"/>
              <w:rPr>
                <w:rStyle w:val="Hyperlink"/>
                <w:lang w:val="en-US"/>
              </w:rPr>
            </w:pPr>
            <w:hyperlink r:id="rId19" w:history="1">
              <w:r w:rsidR="00995222" w:rsidRPr="00FF026E">
                <w:rPr>
                  <w:rStyle w:val="Hyperlink"/>
                  <w:lang w:val="en-US"/>
                </w:rPr>
                <w:t>w.rommens@arcadisbelgium.be</w:t>
              </w:r>
            </w:hyperlink>
          </w:p>
          <w:p w:rsidR="006C0DF8" w:rsidRPr="006C0DF8" w:rsidRDefault="00D85EBB" w:rsidP="00C70B90">
            <w:pPr>
              <w:spacing w:line="280" w:lineRule="exact"/>
              <w:rPr>
                <w:lang w:val="en-US"/>
              </w:rPr>
            </w:pPr>
            <w:hyperlink r:id="rId20" w:history="1">
              <w:r w:rsidR="006C0DF8" w:rsidRPr="00EC01D5">
                <w:rPr>
                  <w:rStyle w:val="Hyperlink"/>
                  <w:lang w:val="en-US"/>
                </w:rPr>
                <w:t>i.claeys@arcadisbelgium.be</w:t>
              </w:r>
            </w:hyperlink>
          </w:p>
          <w:p w:rsidR="00B66A45" w:rsidRDefault="00D85EBB" w:rsidP="00C70B90">
            <w:pPr>
              <w:spacing w:line="280" w:lineRule="exact"/>
              <w:rPr>
                <w:lang w:val="en-GB"/>
              </w:rPr>
            </w:pPr>
            <w:hyperlink r:id="rId21" w:history="1">
              <w:r w:rsidR="006C0DF8" w:rsidRPr="00EC01D5">
                <w:rPr>
                  <w:rStyle w:val="Hyperlink"/>
                  <w:lang w:val="en-GB"/>
                </w:rPr>
                <w:t>vendoraccounting@arcadisbelgium.be</w:t>
              </w:r>
            </w:hyperlink>
          </w:p>
          <w:p w:rsidR="006C0DF8" w:rsidRDefault="006C0DF8" w:rsidP="00C70B90">
            <w:pPr>
              <w:spacing w:line="280" w:lineRule="exact"/>
              <w:rPr>
                <w:lang w:val="en-US"/>
              </w:rPr>
            </w:pPr>
          </w:p>
          <w:p w:rsidR="00B66A45" w:rsidRPr="00C70B90" w:rsidRDefault="00B66A45" w:rsidP="00C70B90">
            <w:pPr>
              <w:spacing w:line="280" w:lineRule="exact"/>
              <w:rPr>
                <w:b/>
                <w:u w:val="single"/>
                <w:lang w:val="en-US"/>
              </w:rPr>
            </w:pPr>
            <w:r w:rsidRPr="00C70B90">
              <w:rPr>
                <w:b/>
                <w:u w:val="single"/>
                <w:lang w:val="en-US"/>
              </w:rPr>
              <w:t>Postal address</w:t>
            </w:r>
          </w:p>
          <w:p w:rsidR="00B66A45" w:rsidRPr="007F4AAC" w:rsidRDefault="00B66A45" w:rsidP="00C70B90">
            <w:pPr>
              <w:spacing w:line="280" w:lineRule="exact"/>
              <w:rPr>
                <w:lang w:val="en-US"/>
              </w:rPr>
            </w:pPr>
            <w:r w:rsidRPr="007F4AAC">
              <w:rPr>
                <w:lang w:val="en-US"/>
              </w:rPr>
              <w:t>ARCADIS Belgium NV</w:t>
            </w:r>
            <w:r w:rsidRPr="007F4AAC">
              <w:rPr>
                <w:lang w:val="en-US"/>
              </w:rPr>
              <w:br/>
            </w:r>
            <w:proofErr w:type="spellStart"/>
            <w:r w:rsidRPr="007F4AAC">
              <w:rPr>
                <w:lang w:val="en-US"/>
              </w:rPr>
              <w:t>Posthofbrug</w:t>
            </w:r>
            <w:proofErr w:type="spellEnd"/>
            <w:r w:rsidRPr="007F4AAC">
              <w:rPr>
                <w:lang w:val="en-US"/>
              </w:rPr>
              <w:t xml:space="preserve"> 12</w:t>
            </w:r>
            <w:r w:rsidRPr="007F4AAC">
              <w:rPr>
                <w:lang w:val="en-US"/>
              </w:rPr>
              <w:br/>
              <w:t xml:space="preserve">2600 </w:t>
            </w:r>
            <w:proofErr w:type="spellStart"/>
            <w:r w:rsidRPr="007F4AAC">
              <w:rPr>
                <w:lang w:val="en-US"/>
              </w:rPr>
              <w:t>Berchem</w:t>
            </w:r>
            <w:proofErr w:type="spellEnd"/>
          </w:p>
          <w:p w:rsidR="00B66A45" w:rsidRDefault="00B66A45" w:rsidP="00C70B90">
            <w:pPr>
              <w:pStyle w:val="Lijstalinea"/>
              <w:spacing w:before="0" w:after="0" w:line="240" w:lineRule="auto"/>
              <w:ind w:left="0"/>
              <w:jc w:val="both"/>
              <w:rPr>
                <w:szCs w:val="24"/>
                <w:lang w:val="en-GB"/>
              </w:rPr>
            </w:pPr>
          </w:p>
          <w:p w:rsidR="00B66A45" w:rsidRPr="007F4AAC" w:rsidRDefault="00B66A45" w:rsidP="00C70B90">
            <w:pPr>
              <w:pStyle w:val="Lijstalinea"/>
              <w:spacing w:before="0" w:after="0" w:line="240" w:lineRule="auto"/>
              <w:ind w:left="0"/>
              <w:jc w:val="both"/>
              <w:rPr>
                <w:szCs w:val="24"/>
                <w:lang w:val="en-GB"/>
              </w:rPr>
            </w:pPr>
            <w:r w:rsidRPr="007F4AAC">
              <w:rPr>
                <w:szCs w:val="24"/>
                <w:lang w:val="en-GB"/>
              </w:rPr>
              <w:lastRenderedPageBreak/>
              <w:t xml:space="preserve">VAT: </w:t>
            </w:r>
            <w:r w:rsidRPr="00C70B90">
              <w:rPr>
                <w:lang w:val="en-GB"/>
              </w:rPr>
              <w:t>BE0426.682.709</w:t>
            </w:r>
          </w:p>
        </w:tc>
      </w:tr>
    </w:tbl>
    <w:p w:rsidR="00B66A45" w:rsidRDefault="00B66A45" w:rsidP="00B66A45">
      <w:pPr>
        <w:pStyle w:val="Lijstalinea"/>
        <w:spacing w:before="0" w:after="0" w:line="240" w:lineRule="auto"/>
        <w:jc w:val="both"/>
        <w:rPr>
          <w:szCs w:val="24"/>
          <w:lang w:val="en-GB"/>
        </w:rPr>
      </w:pPr>
    </w:p>
    <w:p w:rsidR="00B66A45" w:rsidRDefault="00B66A45" w:rsidP="00B66A45">
      <w:pPr>
        <w:pStyle w:val="Lijstalinea"/>
        <w:numPr>
          <w:ilvl w:val="0"/>
          <w:numId w:val="30"/>
        </w:numPr>
        <w:spacing w:before="0" w:after="0" w:line="240" w:lineRule="auto"/>
        <w:jc w:val="both"/>
        <w:rPr>
          <w:szCs w:val="24"/>
          <w:lang w:val="en-GB"/>
        </w:rPr>
      </w:pPr>
      <w:r>
        <w:rPr>
          <w:szCs w:val="24"/>
          <w:lang w:val="en-GB"/>
        </w:rPr>
        <w:t xml:space="preserve">The reimbursement of travel costs and subsistence expenses will take place within </w:t>
      </w:r>
      <w:r w:rsidR="00E046A3">
        <w:rPr>
          <w:szCs w:val="24"/>
          <w:lang w:val="en-GB"/>
        </w:rPr>
        <w:t xml:space="preserve">3 </w:t>
      </w:r>
      <w:r>
        <w:rPr>
          <w:szCs w:val="24"/>
          <w:lang w:val="en-GB"/>
        </w:rPr>
        <w:t xml:space="preserve">weeks after the </w:t>
      </w:r>
      <w:r w:rsidR="004A1642">
        <w:rPr>
          <w:szCs w:val="24"/>
          <w:lang w:val="en-GB"/>
        </w:rPr>
        <w:t>receipt of the invoice by ARCADIS</w:t>
      </w:r>
      <w:r>
        <w:rPr>
          <w:szCs w:val="24"/>
          <w:lang w:val="en-GB"/>
        </w:rPr>
        <w:t>.</w:t>
      </w:r>
    </w:p>
    <w:p w:rsidR="00B66A45" w:rsidRDefault="00B66A45" w:rsidP="00B357C4">
      <w:pPr>
        <w:spacing w:before="0" w:after="0" w:line="240" w:lineRule="auto"/>
        <w:ind w:left="360"/>
        <w:jc w:val="both"/>
        <w:rPr>
          <w:b/>
          <w:szCs w:val="24"/>
          <w:lang w:val="en-GB"/>
        </w:rPr>
      </w:pPr>
    </w:p>
    <w:p w:rsidR="00662D1F" w:rsidRPr="00662D1F" w:rsidRDefault="00662D1F" w:rsidP="00F24685">
      <w:pPr>
        <w:pStyle w:val="Lijstalinea"/>
        <w:numPr>
          <w:ilvl w:val="0"/>
          <w:numId w:val="30"/>
        </w:numPr>
        <w:spacing w:before="0" w:after="0" w:line="240" w:lineRule="auto"/>
        <w:jc w:val="both"/>
        <w:rPr>
          <w:i/>
          <w:szCs w:val="24"/>
          <w:lang w:val="en-GB"/>
        </w:rPr>
      </w:pPr>
      <w:r w:rsidRPr="00662D1F">
        <w:rPr>
          <w:i/>
          <w:szCs w:val="24"/>
          <w:lang w:val="en-GB"/>
        </w:rPr>
        <w:t>Note: Bulgaria and Romania shall cover all the remaining costs of their experts (</w:t>
      </w:r>
      <w:proofErr w:type="spellStart"/>
      <w:r w:rsidRPr="00662D1F">
        <w:rPr>
          <w:i/>
          <w:szCs w:val="24"/>
          <w:lang w:val="en-GB"/>
        </w:rPr>
        <w:t>eg</w:t>
      </w:r>
      <w:proofErr w:type="spellEnd"/>
      <w:r w:rsidRPr="00662D1F">
        <w:rPr>
          <w:i/>
          <w:szCs w:val="24"/>
          <w:lang w:val="en-GB"/>
        </w:rPr>
        <w:t xml:space="preserve"> in case of preparation needed, printed material to be brought, extra experts wished to bring in by MS authorities) not covered by the reimbursement as explained above.</w:t>
      </w:r>
    </w:p>
    <w:p w:rsidR="00B357C4" w:rsidRPr="00B357C4" w:rsidRDefault="00B357C4" w:rsidP="00B357C4">
      <w:pPr>
        <w:spacing w:before="0" w:after="0" w:line="240" w:lineRule="auto"/>
        <w:ind w:left="360"/>
        <w:jc w:val="both"/>
        <w:rPr>
          <w:szCs w:val="24"/>
          <w:lang w:val="en-GB"/>
        </w:rPr>
      </w:pPr>
    </w:p>
    <w:p w:rsidR="00671D7B" w:rsidRPr="00D354F4" w:rsidRDefault="008D42B4" w:rsidP="00A5203A">
      <w:pPr>
        <w:spacing w:before="0" w:after="0" w:line="240" w:lineRule="auto"/>
        <w:jc w:val="both"/>
        <w:rPr>
          <w:szCs w:val="24"/>
          <w:u w:val="single"/>
          <w:lang w:val="en-GB"/>
        </w:rPr>
      </w:pPr>
      <w:r w:rsidRPr="00D354F4">
        <w:rPr>
          <w:szCs w:val="24"/>
          <w:u w:val="single"/>
          <w:lang w:val="en-GB"/>
        </w:rPr>
        <w:t xml:space="preserve">Organisation of </w:t>
      </w:r>
      <w:r w:rsidR="00662D1F" w:rsidRPr="00D354F4">
        <w:rPr>
          <w:szCs w:val="24"/>
          <w:u w:val="single"/>
          <w:lang w:val="en-GB"/>
        </w:rPr>
        <w:t xml:space="preserve">CBE </w:t>
      </w:r>
      <w:r w:rsidRPr="00D354F4">
        <w:rPr>
          <w:szCs w:val="24"/>
          <w:u w:val="single"/>
          <w:lang w:val="en-GB"/>
        </w:rPr>
        <w:t>meetings</w:t>
      </w:r>
      <w:r w:rsidR="00662D1F" w:rsidRPr="00D354F4">
        <w:rPr>
          <w:szCs w:val="24"/>
          <w:u w:val="single"/>
          <w:lang w:val="en-GB"/>
        </w:rPr>
        <w:t xml:space="preserve"> – venue</w:t>
      </w:r>
      <w:r w:rsidRPr="00D354F4">
        <w:rPr>
          <w:szCs w:val="24"/>
          <w:u w:val="single"/>
          <w:lang w:val="en-GB"/>
        </w:rPr>
        <w:t>:</w:t>
      </w:r>
    </w:p>
    <w:p w:rsidR="008D42B4" w:rsidRPr="00D354F4" w:rsidRDefault="008D42B4" w:rsidP="00D37637">
      <w:pPr>
        <w:pStyle w:val="Lijstalinea"/>
        <w:numPr>
          <w:ilvl w:val="0"/>
          <w:numId w:val="29"/>
        </w:numPr>
        <w:spacing w:before="0" w:after="0" w:line="240" w:lineRule="auto"/>
        <w:jc w:val="both"/>
        <w:rPr>
          <w:szCs w:val="24"/>
          <w:lang w:val="en-GB"/>
        </w:rPr>
      </w:pPr>
      <w:r w:rsidRPr="00D354F4">
        <w:rPr>
          <w:szCs w:val="24"/>
          <w:lang w:val="en-GB"/>
        </w:rPr>
        <w:t xml:space="preserve">For two events, the contractor shall organise a venue (including coffee/tea/water for the participants) and technical equipment, as necessary. For the other remaining events, these costs (coffee/tea/water/lunch/technical equipment) will be taken care of by </w:t>
      </w:r>
      <w:r w:rsidR="00D354F4" w:rsidRPr="00D354F4">
        <w:rPr>
          <w:szCs w:val="24"/>
          <w:lang w:val="en-GB"/>
        </w:rPr>
        <w:t xml:space="preserve">the host country via the </w:t>
      </w:r>
      <w:r w:rsidR="008D7B1E">
        <w:rPr>
          <w:szCs w:val="24"/>
          <w:lang w:val="en-GB"/>
        </w:rPr>
        <w:t>local PTE coordinators</w:t>
      </w:r>
      <w:r w:rsidRPr="00D354F4">
        <w:rPr>
          <w:szCs w:val="24"/>
          <w:lang w:val="en-GB"/>
        </w:rPr>
        <w:t>.</w:t>
      </w:r>
      <w:r w:rsidR="00A3285F">
        <w:rPr>
          <w:szCs w:val="24"/>
          <w:lang w:val="en-GB"/>
        </w:rPr>
        <w:t xml:space="preserve"> Each MS (BG and RO) will be the host country for such a meeting in turn.</w:t>
      </w:r>
    </w:p>
    <w:p w:rsidR="00587D27" w:rsidRPr="00D354F4" w:rsidRDefault="008D42B4" w:rsidP="00D37637">
      <w:pPr>
        <w:pStyle w:val="Lijstalinea"/>
        <w:numPr>
          <w:ilvl w:val="0"/>
          <w:numId w:val="29"/>
        </w:numPr>
        <w:spacing w:before="0" w:after="0" w:line="240" w:lineRule="auto"/>
        <w:jc w:val="both"/>
        <w:rPr>
          <w:szCs w:val="24"/>
          <w:lang w:val="en-GB"/>
        </w:rPr>
      </w:pPr>
      <w:r w:rsidRPr="00D354F4">
        <w:rPr>
          <w:szCs w:val="24"/>
          <w:lang w:val="en-GB"/>
        </w:rPr>
        <w:t xml:space="preserve">The contractor shall prepare the draft agenda, prepare the meeting documents, invite participants including speakers, facilitate the meeting and draft a meeting summary report </w:t>
      </w:r>
      <w:r w:rsidR="001672FB" w:rsidRPr="00D354F4">
        <w:rPr>
          <w:szCs w:val="24"/>
          <w:lang w:val="en-GB"/>
        </w:rPr>
        <w:t xml:space="preserve">based upon the minutes of the </w:t>
      </w:r>
      <w:r w:rsidR="008D7B1E">
        <w:rPr>
          <w:szCs w:val="24"/>
          <w:lang w:val="en-GB"/>
        </w:rPr>
        <w:t>Local PTE coordinators</w:t>
      </w:r>
      <w:r w:rsidR="00D37637" w:rsidRPr="00D37637">
        <w:rPr>
          <w:szCs w:val="24"/>
          <w:lang w:val="en-GB"/>
        </w:rPr>
        <w:t xml:space="preserve"> </w:t>
      </w:r>
      <w:r w:rsidRPr="00D354F4">
        <w:rPr>
          <w:szCs w:val="24"/>
          <w:lang w:val="en-GB"/>
        </w:rPr>
        <w:t>which will be shared together with all presentations and meeting documents at the information exchange platform.</w:t>
      </w:r>
    </w:p>
    <w:p w:rsidR="001672FB" w:rsidRDefault="00D354F4" w:rsidP="00A5203A">
      <w:pPr>
        <w:pStyle w:val="Lijstalinea"/>
        <w:numPr>
          <w:ilvl w:val="0"/>
          <w:numId w:val="29"/>
        </w:numPr>
        <w:spacing w:before="0" w:after="0" w:line="240" w:lineRule="auto"/>
        <w:jc w:val="both"/>
        <w:rPr>
          <w:szCs w:val="24"/>
          <w:lang w:val="en-GB"/>
        </w:rPr>
      </w:pPr>
      <w:r w:rsidRPr="00D354F4">
        <w:rPr>
          <w:szCs w:val="24"/>
          <w:lang w:val="en-GB"/>
        </w:rPr>
        <w:t>The v</w:t>
      </w:r>
      <w:r w:rsidR="001672FB" w:rsidRPr="00D354F4">
        <w:rPr>
          <w:szCs w:val="24"/>
          <w:lang w:val="en-GB"/>
        </w:rPr>
        <w:t xml:space="preserve">enue </w:t>
      </w:r>
      <w:r w:rsidRPr="00D354F4">
        <w:rPr>
          <w:szCs w:val="24"/>
          <w:lang w:val="en-GB"/>
        </w:rPr>
        <w:t xml:space="preserve">will be booked by the </w:t>
      </w:r>
      <w:r w:rsidR="00E046A3">
        <w:rPr>
          <w:szCs w:val="24"/>
          <w:lang w:val="en-GB"/>
        </w:rPr>
        <w:t xml:space="preserve">Local </w:t>
      </w:r>
      <w:r w:rsidR="00F55615">
        <w:rPr>
          <w:szCs w:val="24"/>
          <w:lang w:val="en-GB"/>
        </w:rPr>
        <w:t>PTE coordinator</w:t>
      </w:r>
      <w:r w:rsidRPr="00D354F4">
        <w:rPr>
          <w:szCs w:val="24"/>
          <w:lang w:val="en-GB"/>
        </w:rPr>
        <w:t xml:space="preserve"> including catering and practicalities </w:t>
      </w:r>
      <w:r w:rsidR="001672FB" w:rsidRPr="00D354F4">
        <w:rPr>
          <w:szCs w:val="24"/>
          <w:lang w:val="en-GB"/>
        </w:rPr>
        <w:t>(see above)</w:t>
      </w:r>
    </w:p>
    <w:p w:rsidR="00E046A3" w:rsidRPr="00D354F4" w:rsidRDefault="00E046A3" w:rsidP="00A5203A">
      <w:pPr>
        <w:pStyle w:val="Lijstalinea"/>
        <w:numPr>
          <w:ilvl w:val="0"/>
          <w:numId w:val="29"/>
        </w:numPr>
        <w:spacing w:before="0" w:after="0" w:line="240" w:lineRule="auto"/>
        <w:jc w:val="both"/>
        <w:rPr>
          <w:szCs w:val="24"/>
          <w:lang w:val="en-GB"/>
        </w:rPr>
      </w:pPr>
      <w:r>
        <w:rPr>
          <w:szCs w:val="24"/>
          <w:lang w:val="en-GB"/>
        </w:rPr>
        <w:t xml:space="preserve">Catering will be reimbursed upon receipt of an invoice sent by the </w:t>
      </w:r>
      <w:r w:rsidR="00F55615">
        <w:rPr>
          <w:szCs w:val="24"/>
          <w:lang w:val="en-GB"/>
        </w:rPr>
        <w:t>Local PTE coordinator</w:t>
      </w:r>
      <w:r w:rsidR="00F55615" w:rsidRPr="00D354F4">
        <w:rPr>
          <w:szCs w:val="24"/>
          <w:lang w:val="en-GB"/>
        </w:rPr>
        <w:t xml:space="preserve"> </w:t>
      </w:r>
      <w:r>
        <w:rPr>
          <w:szCs w:val="24"/>
          <w:lang w:val="en-GB"/>
        </w:rPr>
        <w:t>to the contractor (procedure to be discussed at the Kick-off meeting)</w:t>
      </w:r>
      <w:r w:rsidR="00995222">
        <w:rPr>
          <w:szCs w:val="24"/>
          <w:lang w:val="en-GB"/>
        </w:rPr>
        <w:t>.</w:t>
      </w:r>
    </w:p>
    <w:p w:rsidR="001672FB" w:rsidRPr="00D354F4" w:rsidRDefault="001672FB" w:rsidP="00A5203A">
      <w:pPr>
        <w:pStyle w:val="Lijstalinea"/>
        <w:numPr>
          <w:ilvl w:val="0"/>
          <w:numId w:val="29"/>
        </w:numPr>
        <w:spacing w:before="0" w:after="0" w:line="240" w:lineRule="auto"/>
        <w:jc w:val="both"/>
        <w:rPr>
          <w:szCs w:val="24"/>
          <w:lang w:val="en-GB"/>
        </w:rPr>
      </w:pPr>
      <w:r w:rsidRPr="00D354F4">
        <w:rPr>
          <w:szCs w:val="24"/>
          <w:lang w:val="en-GB"/>
        </w:rPr>
        <w:t>Meeting language</w:t>
      </w:r>
      <w:r w:rsidR="006B2301" w:rsidRPr="00D354F4">
        <w:rPr>
          <w:szCs w:val="24"/>
          <w:lang w:val="en-GB"/>
        </w:rPr>
        <w:t xml:space="preserve"> is English.</w:t>
      </w:r>
      <w:r w:rsidRPr="00D354F4">
        <w:rPr>
          <w:szCs w:val="24"/>
          <w:lang w:val="en-GB"/>
        </w:rPr>
        <w:t xml:space="preserve"> In case translation is needed, this should be done at the expense</w:t>
      </w:r>
      <w:r w:rsidR="006B2301" w:rsidRPr="00D354F4">
        <w:rPr>
          <w:szCs w:val="24"/>
          <w:lang w:val="en-GB"/>
        </w:rPr>
        <w:t>s</w:t>
      </w:r>
      <w:r w:rsidRPr="00D354F4">
        <w:rPr>
          <w:szCs w:val="24"/>
          <w:lang w:val="en-GB"/>
        </w:rPr>
        <w:t xml:space="preserve"> of the </w:t>
      </w:r>
      <w:r w:rsidR="006B2301" w:rsidRPr="00D354F4">
        <w:rPr>
          <w:szCs w:val="24"/>
          <w:lang w:val="en-GB"/>
        </w:rPr>
        <w:t>hosting country</w:t>
      </w:r>
      <w:r w:rsidRPr="00D354F4">
        <w:rPr>
          <w:szCs w:val="24"/>
          <w:lang w:val="en-GB"/>
        </w:rPr>
        <w:t>.</w:t>
      </w:r>
    </w:p>
    <w:p w:rsidR="006B2301" w:rsidRPr="00D354F4" w:rsidRDefault="006B2301" w:rsidP="00A5203A">
      <w:pPr>
        <w:pStyle w:val="Lijstalinea"/>
        <w:numPr>
          <w:ilvl w:val="0"/>
          <w:numId w:val="29"/>
        </w:numPr>
        <w:spacing w:before="0" w:after="0" w:line="240" w:lineRule="auto"/>
        <w:jc w:val="both"/>
        <w:rPr>
          <w:szCs w:val="24"/>
          <w:lang w:val="en-GB"/>
        </w:rPr>
      </w:pPr>
      <w:r w:rsidRPr="00D354F4">
        <w:rPr>
          <w:szCs w:val="24"/>
          <w:lang w:val="en-GB"/>
        </w:rPr>
        <w:t xml:space="preserve">All documents </w:t>
      </w:r>
      <w:r w:rsidR="00150E2F">
        <w:rPr>
          <w:szCs w:val="24"/>
          <w:lang w:val="en-GB"/>
        </w:rPr>
        <w:t xml:space="preserve">(incl. minutes) </w:t>
      </w:r>
      <w:r w:rsidRPr="00D354F4">
        <w:rPr>
          <w:szCs w:val="24"/>
          <w:lang w:val="en-GB"/>
        </w:rPr>
        <w:t>need to be delivered in English</w:t>
      </w:r>
    </w:p>
    <w:p w:rsidR="00587D27" w:rsidRDefault="00587D27" w:rsidP="00A5203A">
      <w:pPr>
        <w:spacing w:before="0" w:after="0" w:line="240" w:lineRule="auto"/>
        <w:jc w:val="both"/>
        <w:rPr>
          <w:szCs w:val="24"/>
          <w:lang w:val="en-GB"/>
        </w:rPr>
      </w:pPr>
    </w:p>
    <w:p w:rsidR="00F55615" w:rsidRDefault="00F55615" w:rsidP="00A5203A">
      <w:pPr>
        <w:spacing w:before="0" w:after="0" w:line="240" w:lineRule="auto"/>
        <w:jc w:val="both"/>
        <w:rPr>
          <w:szCs w:val="24"/>
          <w:lang w:val="en-GB"/>
        </w:rPr>
      </w:pPr>
    </w:p>
    <w:p w:rsidR="00F55615" w:rsidRDefault="00F55615" w:rsidP="00A5203A">
      <w:pPr>
        <w:spacing w:before="0" w:after="0" w:line="240" w:lineRule="auto"/>
        <w:jc w:val="both"/>
        <w:rPr>
          <w:szCs w:val="24"/>
          <w:lang w:val="en-GB"/>
        </w:rPr>
      </w:pPr>
    </w:p>
    <w:p w:rsidR="00F55615" w:rsidRDefault="00F55615" w:rsidP="00A5203A">
      <w:pPr>
        <w:spacing w:before="0" w:after="0" w:line="240" w:lineRule="auto"/>
        <w:jc w:val="both"/>
        <w:rPr>
          <w:szCs w:val="24"/>
          <w:lang w:val="en-GB"/>
        </w:rPr>
      </w:pPr>
    </w:p>
    <w:p w:rsidR="00F55615" w:rsidRDefault="00F55615" w:rsidP="00A5203A">
      <w:pPr>
        <w:spacing w:before="0" w:after="0" w:line="240" w:lineRule="auto"/>
        <w:jc w:val="both"/>
        <w:rPr>
          <w:color w:val="1F497D" w:themeColor="text2"/>
          <w:sz w:val="28"/>
          <w:szCs w:val="28"/>
          <w:lang w:val="en-GB"/>
        </w:rPr>
      </w:pPr>
      <w:r w:rsidRPr="00F55615">
        <w:rPr>
          <w:color w:val="1F497D" w:themeColor="text2"/>
          <w:sz w:val="28"/>
          <w:szCs w:val="28"/>
          <w:lang w:val="en-GB"/>
        </w:rPr>
        <w:t>Annexes</w:t>
      </w:r>
    </w:p>
    <w:p w:rsidR="00F55615" w:rsidRDefault="00F55615" w:rsidP="00F55615">
      <w:pPr>
        <w:spacing w:before="0" w:after="0" w:line="240" w:lineRule="auto"/>
        <w:jc w:val="both"/>
        <w:rPr>
          <w:i/>
          <w:szCs w:val="24"/>
          <w:lang w:val="en-GB"/>
        </w:rPr>
      </w:pPr>
      <w:r w:rsidRPr="00F55615">
        <w:rPr>
          <w:i/>
          <w:szCs w:val="24"/>
          <w:lang w:val="en-GB"/>
        </w:rPr>
        <w:t>(Note</w:t>
      </w:r>
      <w:r>
        <w:rPr>
          <w:i/>
          <w:szCs w:val="24"/>
          <w:lang w:val="en-GB"/>
        </w:rPr>
        <w:t>: Annexes were already provided in final inception report (IR), however with a different numbering)</w:t>
      </w:r>
    </w:p>
    <w:p w:rsidR="00F55615" w:rsidRPr="00F55615" w:rsidRDefault="00F55615" w:rsidP="00F55615">
      <w:pPr>
        <w:spacing w:before="0" w:after="0" w:line="240" w:lineRule="auto"/>
        <w:jc w:val="both"/>
        <w:rPr>
          <w:i/>
          <w:szCs w:val="24"/>
          <w:lang w:val="en-GB"/>
        </w:rPr>
      </w:pPr>
    </w:p>
    <w:p w:rsidR="00637E8D" w:rsidRPr="00691BED" w:rsidRDefault="007D383B" w:rsidP="00F55615">
      <w:pPr>
        <w:pStyle w:val="Bijschrift"/>
        <w:ind w:left="0"/>
        <w:rPr>
          <w:i/>
          <w:color w:val="auto"/>
          <w:sz w:val="20"/>
          <w:lang w:val="en-US"/>
        </w:rPr>
      </w:pPr>
      <w:bookmarkStart w:id="9" w:name="_Ref372621591"/>
      <w:r w:rsidRPr="00691BED">
        <w:rPr>
          <w:sz w:val="20"/>
          <w:lang w:val="en-US"/>
        </w:rPr>
        <w:t xml:space="preserve">Annex </w:t>
      </w:r>
      <w:r w:rsidRPr="00691BED">
        <w:rPr>
          <w:sz w:val="20"/>
        </w:rPr>
        <w:fldChar w:fldCharType="begin"/>
      </w:r>
      <w:r w:rsidRPr="00691BED">
        <w:rPr>
          <w:sz w:val="20"/>
          <w:lang w:val="en-US"/>
        </w:rPr>
        <w:instrText xml:space="preserve"> SEQ Annex \* ARABIC </w:instrText>
      </w:r>
      <w:r w:rsidRPr="00691BED">
        <w:rPr>
          <w:sz w:val="20"/>
        </w:rPr>
        <w:fldChar w:fldCharType="separate"/>
      </w:r>
      <w:r w:rsidR="002B621A">
        <w:rPr>
          <w:noProof/>
          <w:sz w:val="20"/>
          <w:lang w:val="en-US"/>
        </w:rPr>
        <w:t>1</w:t>
      </w:r>
      <w:r w:rsidRPr="00691BED">
        <w:rPr>
          <w:sz w:val="20"/>
        </w:rPr>
        <w:fldChar w:fldCharType="end"/>
      </w:r>
      <w:bookmarkEnd w:id="9"/>
      <w:r w:rsidR="00EE5441" w:rsidRPr="00691BED">
        <w:rPr>
          <w:sz w:val="20"/>
          <w:lang w:val="en-US"/>
        </w:rPr>
        <w:t xml:space="preserve"> </w:t>
      </w:r>
      <w:r w:rsidR="00BC02C9" w:rsidRPr="00691BED">
        <w:rPr>
          <w:sz w:val="20"/>
          <w:lang w:val="en-US"/>
        </w:rPr>
        <w:t>Proposed list Capacity Building Events (CBE)</w:t>
      </w:r>
      <w:r w:rsidR="00F55615" w:rsidRPr="00691BED">
        <w:rPr>
          <w:sz w:val="20"/>
          <w:lang w:val="en-US"/>
        </w:rPr>
        <w:t xml:space="preserve"> </w:t>
      </w:r>
      <w:r w:rsidR="00F55615" w:rsidRPr="00691BED">
        <w:rPr>
          <w:i/>
          <w:color w:val="auto"/>
          <w:sz w:val="20"/>
          <w:lang w:val="en-US"/>
        </w:rPr>
        <w:t>(IR Annex 8)</w:t>
      </w:r>
    </w:p>
    <w:p w:rsidR="00F55615" w:rsidRPr="00691BED" w:rsidRDefault="00EE5441" w:rsidP="00F55615">
      <w:pPr>
        <w:pStyle w:val="Bijschrift"/>
        <w:ind w:left="0"/>
        <w:rPr>
          <w:i/>
          <w:color w:val="auto"/>
          <w:sz w:val="20"/>
          <w:lang w:val="en-US"/>
        </w:rPr>
      </w:pPr>
      <w:bookmarkStart w:id="10" w:name="_Ref372621606"/>
      <w:r w:rsidRPr="00691BED">
        <w:rPr>
          <w:sz w:val="20"/>
          <w:lang w:val="en-US"/>
        </w:rPr>
        <w:t xml:space="preserve">Annex </w:t>
      </w:r>
      <w:r w:rsidRPr="00691BED">
        <w:rPr>
          <w:sz w:val="20"/>
        </w:rPr>
        <w:fldChar w:fldCharType="begin"/>
      </w:r>
      <w:r w:rsidRPr="00691BED">
        <w:rPr>
          <w:sz w:val="20"/>
          <w:lang w:val="en-US"/>
        </w:rPr>
        <w:instrText xml:space="preserve"> SEQ Annex \* ARABIC </w:instrText>
      </w:r>
      <w:r w:rsidRPr="00691BED">
        <w:rPr>
          <w:sz w:val="20"/>
        </w:rPr>
        <w:fldChar w:fldCharType="separate"/>
      </w:r>
      <w:r w:rsidR="002B621A">
        <w:rPr>
          <w:noProof/>
          <w:sz w:val="20"/>
          <w:lang w:val="en-US"/>
        </w:rPr>
        <w:t>2</w:t>
      </w:r>
      <w:r w:rsidRPr="00691BED">
        <w:rPr>
          <w:sz w:val="20"/>
        </w:rPr>
        <w:fldChar w:fldCharType="end"/>
      </w:r>
      <w:bookmarkStart w:id="11" w:name="_Ref372621618"/>
      <w:bookmarkEnd w:id="10"/>
      <w:r w:rsidR="00F3295A" w:rsidRPr="00691BED">
        <w:rPr>
          <w:sz w:val="20"/>
          <w:lang w:val="en-US"/>
        </w:rPr>
        <w:t xml:space="preserve"> Matrix of experts </w:t>
      </w:r>
      <w:r w:rsidR="00F55615" w:rsidRPr="00691BED">
        <w:rPr>
          <w:i/>
          <w:color w:val="auto"/>
          <w:sz w:val="20"/>
          <w:lang w:val="en-US"/>
        </w:rPr>
        <w:t>(IR Annex 4)</w:t>
      </w:r>
    </w:p>
    <w:p w:rsidR="00F55615" w:rsidRPr="00691BED" w:rsidRDefault="00F55615" w:rsidP="00F55615">
      <w:pPr>
        <w:pStyle w:val="Bijschrift"/>
        <w:ind w:left="0"/>
        <w:rPr>
          <w:i/>
          <w:color w:val="auto"/>
          <w:sz w:val="20"/>
          <w:lang w:val="en-US"/>
        </w:rPr>
      </w:pPr>
      <w:r w:rsidRPr="00691BED">
        <w:rPr>
          <w:sz w:val="20"/>
          <w:lang w:val="en-US"/>
        </w:rPr>
        <w:t>A</w:t>
      </w:r>
      <w:r w:rsidR="00A52478" w:rsidRPr="00691BED">
        <w:rPr>
          <w:sz w:val="20"/>
          <w:lang w:val="en-US"/>
        </w:rPr>
        <w:t xml:space="preserve">nnex </w:t>
      </w:r>
      <w:r w:rsidR="00A52478" w:rsidRPr="00691BED">
        <w:rPr>
          <w:sz w:val="20"/>
        </w:rPr>
        <w:fldChar w:fldCharType="begin"/>
      </w:r>
      <w:r w:rsidR="00A52478" w:rsidRPr="00691BED">
        <w:rPr>
          <w:sz w:val="20"/>
          <w:lang w:val="en-US"/>
        </w:rPr>
        <w:instrText xml:space="preserve"> SEQ Annex \* ARABIC </w:instrText>
      </w:r>
      <w:r w:rsidR="00A52478" w:rsidRPr="00691BED">
        <w:rPr>
          <w:sz w:val="20"/>
        </w:rPr>
        <w:fldChar w:fldCharType="separate"/>
      </w:r>
      <w:r w:rsidR="002B621A">
        <w:rPr>
          <w:noProof/>
          <w:sz w:val="20"/>
          <w:lang w:val="en-US"/>
        </w:rPr>
        <w:t>3</w:t>
      </w:r>
      <w:r w:rsidR="00A52478" w:rsidRPr="00691BED">
        <w:rPr>
          <w:sz w:val="20"/>
        </w:rPr>
        <w:fldChar w:fldCharType="end"/>
      </w:r>
      <w:bookmarkStart w:id="12" w:name="_Ref372621643"/>
      <w:bookmarkEnd w:id="11"/>
      <w:r w:rsidR="00A20CC9" w:rsidRPr="00691BED">
        <w:rPr>
          <w:sz w:val="20"/>
          <w:lang w:val="en-US"/>
        </w:rPr>
        <w:t xml:space="preserve"> Project Description Sheet</w:t>
      </w:r>
      <w:r w:rsidRPr="00691BED">
        <w:rPr>
          <w:sz w:val="20"/>
          <w:lang w:val="en-US"/>
        </w:rPr>
        <w:t xml:space="preserve"> </w:t>
      </w:r>
      <w:r w:rsidRPr="00691BED">
        <w:rPr>
          <w:i/>
          <w:color w:val="auto"/>
          <w:sz w:val="20"/>
          <w:lang w:val="en-US"/>
        </w:rPr>
        <w:t>(IR Annex 1)</w:t>
      </w:r>
    </w:p>
    <w:p w:rsidR="00F55615" w:rsidRPr="00691BED" w:rsidRDefault="00225DCA" w:rsidP="00F55615">
      <w:pPr>
        <w:pStyle w:val="Bijschrift"/>
        <w:ind w:left="0"/>
        <w:rPr>
          <w:i/>
          <w:color w:val="auto"/>
          <w:sz w:val="20"/>
          <w:lang w:val="en-US"/>
        </w:rPr>
      </w:pPr>
      <w:r w:rsidRPr="00691BED">
        <w:rPr>
          <w:sz w:val="20"/>
          <w:lang w:val="en-US"/>
        </w:rPr>
        <w:t xml:space="preserve">Annex </w:t>
      </w:r>
      <w:r w:rsidRPr="00691BED">
        <w:rPr>
          <w:sz w:val="20"/>
        </w:rPr>
        <w:fldChar w:fldCharType="begin"/>
      </w:r>
      <w:r w:rsidRPr="00691BED">
        <w:rPr>
          <w:sz w:val="20"/>
          <w:lang w:val="en-US"/>
        </w:rPr>
        <w:instrText xml:space="preserve"> SEQ Annex \* ARABIC </w:instrText>
      </w:r>
      <w:r w:rsidRPr="00691BED">
        <w:rPr>
          <w:sz w:val="20"/>
        </w:rPr>
        <w:fldChar w:fldCharType="separate"/>
      </w:r>
      <w:r w:rsidR="002B621A">
        <w:rPr>
          <w:noProof/>
          <w:sz w:val="20"/>
          <w:lang w:val="en-US"/>
        </w:rPr>
        <w:t>4</w:t>
      </w:r>
      <w:r w:rsidRPr="00691BED">
        <w:rPr>
          <w:sz w:val="20"/>
        </w:rPr>
        <w:fldChar w:fldCharType="end"/>
      </w:r>
      <w:bookmarkEnd w:id="12"/>
      <w:r w:rsidRPr="00691BED">
        <w:rPr>
          <w:sz w:val="20"/>
          <w:lang w:val="en-US"/>
        </w:rPr>
        <w:t xml:space="preserve"> </w:t>
      </w:r>
      <w:r w:rsidR="00BC02C9" w:rsidRPr="00691BED">
        <w:rPr>
          <w:sz w:val="20"/>
          <w:lang w:val="en-US"/>
        </w:rPr>
        <w:t>Invitation letter (example)</w:t>
      </w:r>
      <w:bookmarkStart w:id="13" w:name="_Ref372621665"/>
      <w:r w:rsidR="00F55615" w:rsidRPr="00691BED">
        <w:rPr>
          <w:sz w:val="20"/>
          <w:lang w:val="en-US"/>
        </w:rPr>
        <w:t xml:space="preserve"> </w:t>
      </w:r>
      <w:r w:rsidR="00F55615" w:rsidRPr="00691BED">
        <w:rPr>
          <w:i/>
          <w:color w:val="auto"/>
          <w:sz w:val="20"/>
          <w:lang w:val="en-US"/>
        </w:rPr>
        <w:t>(IR Annex 10)</w:t>
      </w:r>
    </w:p>
    <w:p w:rsidR="00EE5441" w:rsidRPr="00691BED" w:rsidRDefault="00A36679" w:rsidP="00F55615">
      <w:pPr>
        <w:pStyle w:val="Bijschrift"/>
        <w:ind w:left="0"/>
        <w:rPr>
          <w:sz w:val="20"/>
          <w:lang w:val="en-US"/>
        </w:rPr>
      </w:pPr>
      <w:r w:rsidRPr="00691BED">
        <w:rPr>
          <w:sz w:val="20"/>
          <w:lang w:val="en-US"/>
        </w:rPr>
        <w:t xml:space="preserve">Annex </w:t>
      </w:r>
      <w:r w:rsidRPr="00691BED">
        <w:rPr>
          <w:sz w:val="20"/>
        </w:rPr>
        <w:fldChar w:fldCharType="begin"/>
      </w:r>
      <w:r w:rsidRPr="00691BED">
        <w:rPr>
          <w:sz w:val="20"/>
          <w:lang w:val="en-US"/>
        </w:rPr>
        <w:instrText xml:space="preserve"> SEQ Annex \* ARABIC </w:instrText>
      </w:r>
      <w:r w:rsidRPr="00691BED">
        <w:rPr>
          <w:sz w:val="20"/>
        </w:rPr>
        <w:fldChar w:fldCharType="separate"/>
      </w:r>
      <w:r w:rsidR="002B621A">
        <w:rPr>
          <w:noProof/>
          <w:sz w:val="20"/>
          <w:lang w:val="en-US"/>
        </w:rPr>
        <w:t>5</w:t>
      </w:r>
      <w:r w:rsidRPr="00691BED">
        <w:rPr>
          <w:sz w:val="20"/>
        </w:rPr>
        <w:fldChar w:fldCharType="end"/>
      </w:r>
      <w:bookmarkEnd w:id="13"/>
      <w:r w:rsidRPr="00691BED">
        <w:rPr>
          <w:sz w:val="20"/>
          <w:lang w:val="en-US"/>
        </w:rPr>
        <w:t xml:space="preserve"> </w:t>
      </w:r>
      <w:r w:rsidR="00A20CC9" w:rsidRPr="00691BED">
        <w:rPr>
          <w:sz w:val="20"/>
          <w:lang w:val="en-US"/>
        </w:rPr>
        <w:t>Flat rate payment</w:t>
      </w:r>
      <w:r w:rsidR="000A50A7" w:rsidRPr="00691BED">
        <w:rPr>
          <w:sz w:val="20"/>
          <w:lang w:val="en-US"/>
        </w:rPr>
        <w:t xml:space="preserve"> (subsistence allowance)</w:t>
      </w:r>
    </w:p>
    <w:sectPr w:rsidR="00EE5441" w:rsidRPr="00691BED" w:rsidSect="00637E8D">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41" w:rsidRDefault="005A3A41" w:rsidP="005A3A41">
      <w:pPr>
        <w:spacing w:before="0" w:after="0" w:line="240" w:lineRule="auto"/>
      </w:pPr>
      <w:r>
        <w:separator/>
      </w:r>
    </w:p>
  </w:endnote>
  <w:endnote w:type="continuationSeparator" w:id="0">
    <w:p w:rsidR="005A3A41" w:rsidRDefault="005A3A41" w:rsidP="005A3A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31 Blk BT">
    <w:altName w:val="Humanst531 Blk B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41" w:rsidRDefault="005A3A41" w:rsidP="005A3A41">
      <w:pPr>
        <w:spacing w:before="0" w:after="0" w:line="240" w:lineRule="auto"/>
      </w:pPr>
      <w:r>
        <w:separator/>
      </w:r>
    </w:p>
  </w:footnote>
  <w:footnote w:type="continuationSeparator" w:id="0">
    <w:p w:rsidR="005A3A41" w:rsidRDefault="005A3A41" w:rsidP="005A3A4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341DD"/>
    <w:multiLevelType w:val="hybridMultilevel"/>
    <w:tmpl w:val="957FA9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7B4A3936"/>
    <w:lvl w:ilvl="0">
      <w:start w:val="1"/>
      <w:numFmt w:val="decimal"/>
      <w:lvlText w:val="%1."/>
      <w:lvlJc w:val="left"/>
      <w:pPr>
        <w:tabs>
          <w:tab w:val="num" w:pos="360"/>
        </w:tabs>
        <w:ind w:left="360" w:hanging="360"/>
      </w:pPr>
    </w:lvl>
  </w:abstractNum>
  <w:abstractNum w:abstractNumId="2">
    <w:nsid w:val="004752DF"/>
    <w:multiLevelType w:val="hybridMultilevel"/>
    <w:tmpl w:val="412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669A8"/>
    <w:multiLevelType w:val="hybridMultilevel"/>
    <w:tmpl w:val="2B0EFDE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F067902"/>
    <w:multiLevelType w:val="hybridMultilevel"/>
    <w:tmpl w:val="57805E04"/>
    <w:lvl w:ilvl="0" w:tplc="6270E68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6">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5F978DB"/>
    <w:multiLevelType w:val="hybridMultilevel"/>
    <w:tmpl w:val="A9D24830"/>
    <w:lvl w:ilvl="0" w:tplc="FFFFFFFF">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nsid w:val="28C0757B"/>
    <w:multiLevelType w:val="hybridMultilevel"/>
    <w:tmpl w:val="E440244C"/>
    <w:lvl w:ilvl="0" w:tplc="25FA63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6E7F00"/>
    <w:multiLevelType w:val="hybridMultilevel"/>
    <w:tmpl w:val="0DB2DF8C"/>
    <w:lvl w:ilvl="0" w:tplc="05CA55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3">
    <w:nsid w:val="42C128F9"/>
    <w:multiLevelType w:val="hybridMultilevel"/>
    <w:tmpl w:val="670CB1A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5">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5E121895"/>
    <w:multiLevelType w:val="hybridMultilevel"/>
    <w:tmpl w:val="03120E6E"/>
    <w:lvl w:ilvl="0" w:tplc="04130001">
      <w:start w:val="1"/>
      <w:numFmt w:val="bullet"/>
      <w:lvlText w:val=""/>
      <w:lvlJc w:val="left"/>
      <w:pPr>
        <w:tabs>
          <w:tab w:val="num" w:pos="360"/>
        </w:tabs>
        <w:ind w:left="360" w:hanging="360"/>
      </w:pPr>
      <w:rPr>
        <w:rFonts w:ascii="Symbol" w:hAnsi="Symbol" w:hint="default"/>
      </w:rPr>
    </w:lvl>
    <w:lvl w:ilvl="1" w:tplc="F3C8D172">
      <w:start w:val="20"/>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CD5FD1"/>
    <w:multiLevelType w:val="hybridMultilevel"/>
    <w:tmpl w:val="670CB1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74A2391"/>
    <w:multiLevelType w:val="hybridMultilevel"/>
    <w:tmpl w:val="90B2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abstractNum w:abstractNumId="24">
    <w:nsid w:val="7B5066D6"/>
    <w:multiLevelType w:val="hybridMultilevel"/>
    <w:tmpl w:val="B0CFA7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D032336"/>
    <w:multiLevelType w:val="hybridMultilevel"/>
    <w:tmpl w:val="0F768492"/>
    <w:lvl w:ilvl="0" w:tplc="05CA55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8"/>
  </w:num>
  <w:num w:numId="4">
    <w:abstractNumId w:val="18"/>
  </w:num>
  <w:num w:numId="5">
    <w:abstractNumId w:val="18"/>
  </w:num>
  <w:num w:numId="6">
    <w:abstractNumId w:val="18"/>
  </w:num>
  <w:num w:numId="7">
    <w:abstractNumId w:val="18"/>
  </w:num>
  <w:num w:numId="8">
    <w:abstractNumId w:val="1"/>
  </w:num>
  <w:num w:numId="9">
    <w:abstractNumId w:val="7"/>
  </w:num>
  <w:num w:numId="10">
    <w:abstractNumId w:val="14"/>
  </w:num>
  <w:num w:numId="11">
    <w:abstractNumId w:val="5"/>
  </w:num>
  <w:num w:numId="12">
    <w:abstractNumId w:val="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1"/>
  </w:num>
  <w:num w:numId="20">
    <w:abstractNumId w:val="17"/>
  </w:num>
  <w:num w:numId="21">
    <w:abstractNumId w:val="15"/>
  </w:num>
  <w:num w:numId="22">
    <w:abstractNumId w:val="23"/>
  </w:num>
  <w:num w:numId="23">
    <w:abstractNumId w:val="6"/>
  </w:num>
  <w:num w:numId="24">
    <w:abstractNumId w:val="8"/>
  </w:num>
  <w:num w:numId="25">
    <w:abstractNumId w:val="16"/>
  </w:num>
  <w:num w:numId="26">
    <w:abstractNumId w:val="3"/>
  </w:num>
  <w:num w:numId="27">
    <w:abstractNumId w:val="13"/>
  </w:num>
  <w:num w:numId="28">
    <w:abstractNumId w:val="20"/>
  </w:num>
  <w:num w:numId="29">
    <w:abstractNumId w:val="2"/>
  </w:num>
  <w:num w:numId="30">
    <w:abstractNumId w:val="4"/>
  </w:num>
  <w:num w:numId="31">
    <w:abstractNumId w:val="10"/>
  </w:num>
  <w:num w:numId="32">
    <w:abstractNumId w:val="11"/>
  </w:num>
  <w:num w:numId="33">
    <w:abstractNumId w:val="25"/>
  </w:num>
  <w:num w:numId="34">
    <w:abstractNumId w:val="2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80"/>
    <w:rsid w:val="00012CAE"/>
    <w:rsid w:val="000138F8"/>
    <w:rsid w:val="000146C0"/>
    <w:rsid w:val="000318DE"/>
    <w:rsid w:val="00031D0D"/>
    <w:rsid w:val="000340A8"/>
    <w:rsid w:val="00036FE6"/>
    <w:rsid w:val="00054C49"/>
    <w:rsid w:val="00055943"/>
    <w:rsid w:val="00076A1D"/>
    <w:rsid w:val="000906DC"/>
    <w:rsid w:val="000910C9"/>
    <w:rsid w:val="00091DE3"/>
    <w:rsid w:val="00093205"/>
    <w:rsid w:val="000A50A7"/>
    <w:rsid w:val="000B3206"/>
    <w:rsid w:val="000C71A7"/>
    <w:rsid w:val="000C746D"/>
    <w:rsid w:val="000E4349"/>
    <w:rsid w:val="000F23E2"/>
    <w:rsid w:val="000F5040"/>
    <w:rsid w:val="001004D6"/>
    <w:rsid w:val="00130339"/>
    <w:rsid w:val="00132CFC"/>
    <w:rsid w:val="00145374"/>
    <w:rsid w:val="001465B4"/>
    <w:rsid w:val="00150E2F"/>
    <w:rsid w:val="001672FB"/>
    <w:rsid w:val="001767E0"/>
    <w:rsid w:val="001A6249"/>
    <w:rsid w:val="001B6F4D"/>
    <w:rsid w:val="001C13BB"/>
    <w:rsid w:val="001E14D4"/>
    <w:rsid w:val="001E5A72"/>
    <w:rsid w:val="001F6185"/>
    <w:rsid w:val="001F659A"/>
    <w:rsid w:val="00225DCA"/>
    <w:rsid w:val="0023061B"/>
    <w:rsid w:val="00234E5D"/>
    <w:rsid w:val="0024004A"/>
    <w:rsid w:val="0025219B"/>
    <w:rsid w:val="002820B0"/>
    <w:rsid w:val="002821B5"/>
    <w:rsid w:val="00282FAB"/>
    <w:rsid w:val="002945DC"/>
    <w:rsid w:val="00295CD4"/>
    <w:rsid w:val="002B1FA9"/>
    <w:rsid w:val="002B4EB2"/>
    <w:rsid w:val="002B621A"/>
    <w:rsid w:val="002C6352"/>
    <w:rsid w:val="002E67F5"/>
    <w:rsid w:val="0031020A"/>
    <w:rsid w:val="00317F89"/>
    <w:rsid w:val="0032332B"/>
    <w:rsid w:val="003332EC"/>
    <w:rsid w:val="00345206"/>
    <w:rsid w:val="00346C3D"/>
    <w:rsid w:val="00367024"/>
    <w:rsid w:val="00376D38"/>
    <w:rsid w:val="003B7434"/>
    <w:rsid w:val="003B7950"/>
    <w:rsid w:val="003C7E4E"/>
    <w:rsid w:val="003D3810"/>
    <w:rsid w:val="003D63FD"/>
    <w:rsid w:val="003E62D6"/>
    <w:rsid w:val="003F08D6"/>
    <w:rsid w:val="004019F0"/>
    <w:rsid w:val="00402909"/>
    <w:rsid w:val="0040321F"/>
    <w:rsid w:val="00403BF6"/>
    <w:rsid w:val="00405225"/>
    <w:rsid w:val="00411552"/>
    <w:rsid w:val="00414E6B"/>
    <w:rsid w:val="00422A5F"/>
    <w:rsid w:val="00423EC0"/>
    <w:rsid w:val="004268B5"/>
    <w:rsid w:val="00440C8E"/>
    <w:rsid w:val="00440FCE"/>
    <w:rsid w:val="00464CE4"/>
    <w:rsid w:val="0047787F"/>
    <w:rsid w:val="0048545B"/>
    <w:rsid w:val="004913C6"/>
    <w:rsid w:val="004A0FC4"/>
    <w:rsid w:val="004A1642"/>
    <w:rsid w:val="004A2D71"/>
    <w:rsid w:val="004B0CC4"/>
    <w:rsid w:val="004B3C8E"/>
    <w:rsid w:val="004D6954"/>
    <w:rsid w:val="004D756C"/>
    <w:rsid w:val="004E045C"/>
    <w:rsid w:val="004E38B1"/>
    <w:rsid w:val="004F0D5F"/>
    <w:rsid w:val="004F0D8E"/>
    <w:rsid w:val="00506899"/>
    <w:rsid w:val="00520B28"/>
    <w:rsid w:val="00520E52"/>
    <w:rsid w:val="00525D79"/>
    <w:rsid w:val="00527EDB"/>
    <w:rsid w:val="00535266"/>
    <w:rsid w:val="005727FC"/>
    <w:rsid w:val="005821F0"/>
    <w:rsid w:val="00587D27"/>
    <w:rsid w:val="005926CC"/>
    <w:rsid w:val="005A1AB6"/>
    <w:rsid w:val="005A2841"/>
    <w:rsid w:val="005A3A41"/>
    <w:rsid w:val="005A5EFE"/>
    <w:rsid w:val="005B0C02"/>
    <w:rsid w:val="005B1E1E"/>
    <w:rsid w:val="005C6447"/>
    <w:rsid w:val="005C6800"/>
    <w:rsid w:val="005C7356"/>
    <w:rsid w:val="005C74AD"/>
    <w:rsid w:val="005C77EF"/>
    <w:rsid w:val="005E00D6"/>
    <w:rsid w:val="005E6057"/>
    <w:rsid w:val="006036E7"/>
    <w:rsid w:val="00637E8D"/>
    <w:rsid w:val="00640ADA"/>
    <w:rsid w:val="0064548A"/>
    <w:rsid w:val="00646A28"/>
    <w:rsid w:val="00651084"/>
    <w:rsid w:val="006511F3"/>
    <w:rsid w:val="00657F1E"/>
    <w:rsid w:val="00662D1F"/>
    <w:rsid w:val="006642BB"/>
    <w:rsid w:val="006679AF"/>
    <w:rsid w:val="00671D7B"/>
    <w:rsid w:val="00685E7D"/>
    <w:rsid w:val="00691BED"/>
    <w:rsid w:val="00691FFC"/>
    <w:rsid w:val="00696E94"/>
    <w:rsid w:val="006A1A2A"/>
    <w:rsid w:val="006B0F09"/>
    <w:rsid w:val="006B2301"/>
    <w:rsid w:val="006C0DF8"/>
    <w:rsid w:val="006C6A77"/>
    <w:rsid w:val="006D6EA4"/>
    <w:rsid w:val="006F1951"/>
    <w:rsid w:val="006F27CD"/>
    <w:rsid w:val="007061F4"/>
    <w:rsid w:val="007079C1"/>
    <w:rsid w:val="0071133F"/>
    <w:rsid w:val="00712774"/>
    <w:rsid w:val="0072669C"/>
    <w:rsid w:val="0073538C"/>
    <w:rsid w:val="0073671C"/>
    <w:rsid w:val="0074052B"/>
    <w:rsid w:val="00742FF8"/>
    <w:rsid w:val="00755095"/>
    <w:rsid w:val="007600AF"/>
    <w:rsid w:val="007623AF"/>
    <w:rsid w:val="007628A3"/>
    <w:rsid w:val="00765A5B"/>
    <w:rsid w:val="0077489D"/>
    <w:rsid w:val="007C042B"/>
    <w:rsid w:val="007C6DA2"/>
    <w:rsid w:val="007D383B"/>
    <w:rsid w:val="007D72B4"/>
    <w:rsid w:val="007E2AC4"/>
    <w:rsid w:val="007E3324"/>
    <w:rsid w:val="007F4AAC"/>
    <w:rsid w:val="007F7FA0"/>
    <w:rsid w:val="00804FCA"/>
    <w:rsid w:val="00805384"/>
    <w:rsid w:val="0081275B"/>
    <w:rsid w:val="0081589A"/>
    <w:rsid w:val="008252A7"/>
    <w:rsid w:val="00827553"/>
    <w:rsid w:val="00827C24"/>
    <w:rsid w:val="00852398"/>
    <w:rsid w:val="0085305C"/>
    <w:rsid w:val="0086526E"/>
    <w:rsid w:val="00884ABF"/>
    <w:rsid w:val="00892156"/>
    <w:rsid w:val="0089395A"/>
    <w:rsid w:val="00895E74"/>
    <w:rsid w:val="008A2A69"/>
    <w:rsid w:val="008A5618"/>
    <w:rsid w:val="008A6538"/>
    <w:rsid w:val="008B78B8"/>
    <w:rsid w:val="008C58AE"/>
    <w:rsid w:val="008D42B4"/>
    <w:rsid w:val="008D7B1E"/>
    <w:rsid w:val="008E406A"/>
    <w:rsid w:val="008E565B"/>
    <w:rsid w:val="00900B89"/>
    <w:rsid w:val="00907906"/>
    <w:rsid w:val="00934F44"/>
    <w:rsid w:val="00940BE1"/>
    <w:rsid w:val="00945925"/>
    <w:rsid w:val="00952E71"/>
    <w:rsid w:val="00970D02"/>
    <w:rsid w:val="00995222"/>
    <w:rsid w:val="009A149C"/>
    <w:rsid w:val="009A5391"/>
    <w:rsid w:val="009A6003"/>
    <w:rsid w:val="009B5B11"/>
    <w:rsid w:val="009C3279"/>
    <w:rsid w:val="009D5146"/>
    <w:rsid w:val="009D754B"/>
    <w:rsid w:val="009E1FF7"/>
    <w:rsid w:val="009F3FFD"/>
    <w:rsid w:val="009F4EA9"/>
    <w:rsid w:val="00A01673"/>
    <w:rsid w:val="00A020B3"/>
    <w:rsid w:val="00A035CD"/>
    <w:rsid w:val="00A1556E"/>
    <w:rsid w:val="00A178F4"/>
    <w:rsid w:val="00A20CC9"/>
    <w:rsid w:val="00A3285F"/>
    <w:rsid w:val="00A35CE5"/>
    <w:rsid w:val="00A36679"/>
    <w:rsid w:val="00A36796"/>
    <w:rsid w:val="00A41AD1"/>
    <w:rsid w:val="00A5203A"/>
    <w:rsid w:val="00A52478"/>
    <w:rsid w:val="00A747EB"/>
    <w:rsid w:val="00A7568C"/>
    <w:rsid w:val="00A850DF"/>
    <w:rsid w:val="00A9128F"/>
    <w:rsid w:val="00A92E8A"/>
    <w:rsid w:val="00A94805"/>
    <w:rsid w:val="00AA0728"/>
    <w:rsid w:val="00AB054F"/>
    <w:rsid w:val="00AC535F"/>
    <w:rsid w:val="00AC6937"/>
    <w:rsid w:val="00AD3892"/>
    <w:rsid w:val="00B0343E"/>
    <w:rsid w:val="00B20F60"/>
    <w:rsid w:val="00B24E1C"/>
    <w:rsid w:val="00B32A8A"/>
    <w:rsid w:val="00B357C4"/>
    <w:rsid w:val="00B618F0"/>
    <w:rsid w:val="00B667D1"/>
    <w:rsid w:val="00B66A45"/>
    <w:rsid w:val="00B76C0A"/>
    <w:rsid w:val="00BC02C9"/>
    <w:rsid w:val="00BC6427"/>
    <w:rsid w:val="00BC6E71"/>
    <w:rsid w:val="00BE05AE"/>
    <w:rsid w:val="00BE11A4"/>
    <w:rsid w:val="00BE1768"/>
    <w:rsid w:val="00BE5F6F"/>
    <w:rsid w:val="00BF2099"/>
    <w:rsid w:val="00C07C7A"/>
    <w:rsid w:val="00C12E90"/>
    <w:rsid w:val="00C165C3"/>
    <w:rsid w:val="00C30C9E"/>
    <w:rsid w:val="00C30DBA"/>
    <w:rsid w:val="00C33FAC"/>
    <w:rsid w:val="00C400E8"/>
    <w:rsid w:val="00C40E5C"/>
    <w:rsid w:val="00C532E8"/>
    <w:rsid w:val="00C771E7"/>
    <w:rsid w:val="00CB2535"/>
    <w:rsid w:val="00CC2277"/>
    <w:rsid w:val="00CC3B0B"/>
    <w:rsid w:val="00CD38D4"/>
    <w:rsid w:val="00D1294C"/>
    <w:rsid w:val="00D277F6"/>
    <w:rsid w:val="00D354F4"/>
    <w:rsid w:val="00D37637"/>
    <w:rsid w:val="00D462A6"/>
    <w:rsid w:val="00D46D0F"/>
    <w:rsid w:val="00D61D9C"/>
    <w:rsid w:val="00D65A2A"/>
    <w:rsid w:val="00D67435"/>
    <w:rsid w:val="00D70319"/>
    <w:rsid w:val="00D760F4"/>
    <w:rsid w:val="00D85EBB"/>
    <w:rsid w:val="00D91A77"/>
    <w:rsid w:val="00D95D49"/>
    <w:rsid w:val="00DA6BA1"/>
    <w:rsid w:val="00DB54B3"/>
    <w:rsid w:val="00DC4D24"/>
    <w:rsid w:val="00DC6654"/>
    <w:rsid w:val="00DC7BD4"/>
    <w:rsid w:val="00DC7E05"/>
    <w:rsid w:val="00DD15A8"/>
    <w:rsid w:val="00DD5FFF"/>
    <w:rsid w:val="00DE5980"/>
    <w:rsid w:val="00DE6F83"/>
    <w:rsid w:val="00DF3F1B"/>
    <w:rsid w:val="00E008F5"/>
    <w:rsid w:val="00E046A3"/>
    <w:rsid w:val="00E14D6D"/>
    <w:rsid w:val="00E400C4"/>
    <w:rsid w:val="00E546F4"/>
    <w:rsid w:val="00E779BF"/>
    <w:rsid w:val="00E8040C"/>
    <w:rsid w:val="00E83C2F"/>
    <w:rsid w:val="00E850FB"/>
    <w:rsid w:val="00EA7A90"/>
    <w:rsid w:val="00EB325E"/>
    <w:rsid w:val="00ED5138"/>
    <w:rsid w:val="00EE5441"/>
    <w:rsid w:val="00EE6013"/>
    <w:rsid w:val="00EF05BB"/>
    <w:rsid w:val="00EF5350"/>
    <w:rsid w:val="00F06742"/>
    <w:rsid w:val="00F143BD"/>
    <w:rsid w:val="00F24685"/>
    <w:rsid w:val="00F3295A"/>
    <w:rsid w:val="00F37B6B"/>
    <w:rsid w:val="00F46B1B"/>
    <w:rsid w:val="00F51B5D"/>
    <w:rsid w:val="00F55615"/>
    <w:rsid w:val="00F642E9"/>
    <w:rsid w:val="00F67762"/>
    <w:rsid w:val="00F741E6"/>
    <w:rsid w:val="00F85260"/>
    <w:rsid w:val="00F86B04"/>
    <w:rsid w:val="00FC492C"/>
    <w:rsid w:val="00FD35B6"/>
    <w:rsid w:val="00FD7EFC"/>
    <w:rsid w:val="00FE29D0"/>
    <w:rsid w:val="00FF1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DE5980"/>
    <w:pPr>
      <w:spacing w:before="60" w:after="60" w:line="280" w:lineRule="atLeast"/>
    </w:pPr>
    <w:rPr>
      <w:rFonts w:ascii="Arial" w:hAnsi="Arial"/>
      <w:sz w:val="20"/>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paragraph" w:customStyle="1" w:styleId="Standaard0">
    <w:name w:val="Standaard 0"/>
    <w:basedOn w:val="Standaard"/>
    <w:rsid w:val="00DE5980"/>
    <w:pPr>
      <w:jc w:val="both"/>
    </w:pPr>
    <w:rPr>
      <w:rFonts w:eastAsia="Times New Roman" w:cs="Times New Roman"/>
      <w:szCs w:val="24"/>
      <w:lang w:val="nl-NL" w:eastAsia="nl-NL"/>
    </w:rPr>
  </w:style>
  <w:style w:type="paragraph" w:styleId="Tekstopmerking">
    <w:name w:val="annotation text"/>
    <w:basedOn w:val="Standaard"/>
    <w:link w:val="TekstopmerkingChar"/>
    <w:uiPriority w:val="99"/>
    <w:semiHidden/>
    <w:unhideWhenUsed/>
    <w:rsid w:val="00907906"/>
    <w:pPr>
      <w:spacing w:line="240" w:lineRule="auto"/>
    </w:pPr>
    <w:rPr>
      <w:szCs w:val="20"/>
    </w:rPr>
  </w:style>
  <w:style w:type="character" w:customStyle="1" w:styleId="TekstopmerkingChar">
    <w:name w:val="Tekst opmerking Char"/>
    <w:basedOn w:val="Standaardalinea-lettertype"/>
    <w:link w:val="Tekstopmerking"/>
    <w:uiPriority w:val="99"/>
    <w:semiHidden/>
    <w:rsid w:val="0090790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07906"/>
    <w:rPr>
      <w:b/>
      <w:bCs/>
    </w:rPr>
  </w:style>
  <w:style w:type="character" w:customStyle="1" w:styleId="OnderwerpvanopmerkingChar">
    <w:name w:val="Onderwerp van opmerking Char"/>
    <w:basedOn w:val="TekstopmerkingChar"/>
    <w:link w:val="Onderwerpvanopmerking"/>
    <w:uiPriority w:val="99"/>
    <w:semiHidden/>
    <w:rsid w:val="00907906"/>
    <w:rPr>
      <w:rFonts w:ascii="Arial" w:hAnsi="Arial"/>
      <w:b/>
      <w:bCs/>
      <w:sz w:val="20"/>
      <w:szCs w:val="20"/>
    </w:rPr>
  </w:style>
  <w:style w:type="paragraph" w:customStyle="1" w:styleId="Default">
    <w:name w:val="Default"/>
    <w:rsid w:val="008E565B"/>
    <w:pPr>
      <w:autoSpaceDE w:val="0"/>
      <w:autoSpaceDN w:val="0"/>
      <w:adjustRightInd w:val="0"/>
      <w:spacing w:after="0" w:line="240" w:lineRule="auto"/>
    </w:pPr>
    <w:rPr>
      <w:rFonts w:ascii="Humanst531 Blk BT" w:hAnsi="Humanst531 Blk BT" w:cs="Humanst531 Blk BT"/>
      <w:color w:val="000000"/>
      <w:sz w:val="24"/>
      <w:szCs w:val="24"/>
      <w:lang w:val="en-US"/>
    </w:rPr>
  </w:style>
  <w:style w:type="paragraph" w:customStyle="1" w:styleId="Pa0">
    <w:name w:val="Pa0"/>
    <w:basedOn w:val="Default"/>
    <w:next w:val="Default"/>
    <w:uiPriority w:val="99"/>
    <w:rsid w:val="008E565B"/>
    <w:pPr>
      <w:spacing w:line="241" w:lineRule="atLeast"/>
    </w:pPr>
    <w:rPr>
      <w:rFonts w:cstheme="minorBidi"/>
      <w:color w:val="auto"/>
    </w:rPr>
  </w:style>
  <w:style w:type="character" w:customStyle="1" w:styleId="A1">
    <w:name w:val="A1"/>
    <w:uiPriority w:val="99"/>
    <w:rsid w:val="008E565B"/>
    <w:rPr>
      <w:rFonts w:cs="Humanst531 Blk BT"/>
      <w:b/>
      <w:bCs/>
      <w:color w:val="000000"/>
      <w:sz w:val="26"/>
      <w:szCs w:val="26"/>
    </w:rPr>
  </w:style>
  <w:style w:type="character" w:customStyle="1" w:styleId="A2">
    <w:name w:val="A2"/>
    <w:uiPriority w:val="99"/>
    <w:rsid w:val="008E565B"/>
    <w:rPr>
      <w:rFonts w:cs="Humanst531 Blk BT"/>
      <w:color w:val="000000"/>
      <w:sz w:val="22"/>
      <w:szCs w:val="22"/>
    </w:rPr>
  </w:style>
  <w:style w:type="paragraph" w:customStyle="1" w:styleId="Pa2">
    <w:name w:val="Pa2"/>
    <w:basedOn w:val="Default"/>
    <w:next w:val="Default"/>
    <w:uiPriority w:val="99"/>
    <w:rsid w:val="008E565B"/>
    <w:pPr>
      <w:spacing w:line="241" w:lineRule="atLeast"/>
    </w:pPr>
    <w:rPr>
      <w:rFonts w:cstheme="minorBidi"/>
      <w:color w:val="auto"/>
    </w:rPr>
  </w:style>
  <w:style w:type="character" w:customStyle="1" w:styleId="A3">
    <w:name w:val="A3"/>
    <w:uiPriority w:val="99"/>
    <w:rsid w:val="008E565B"/>
    <w:rPr>
      <w:rFonts w:ascii="Gill Sans MT" w:hAnsi="Gill Sans MT" w:cs="Gill Sans MT"/>
      <w:color w:val="000000"/>
      <w:sz w:val="19"/>
      <w:szCs w:val="19"/>
    </w:rPr>
  </w:style>
  <w:style w:type="paragraph" w:customStyle="1" w:styleId="Pa3">
    <w:name w:val="Pa3"/>
    <w:basedOn w:val="Default"/>
    <w:next w:val="Default"/>
    <w:uiPriority w:val="99"/>
    <w:rsid w:val="008E565B"/>
    <w:pPr>
      <w:spacing w:line="241" w:lineRule="atLeast"/>
    </w:pPr>
    <w:rPr>
      <w:rFonts w:cstheme="minorBidi"/>
      <w:color w:val="auto"/>
    </w:rPr>
  </w:style>
  <w:style w:type="character" w:customStyle="1" w:styleId="A4">
    <w:name w:val="A4"/>
    <w:uiPriority w:val="99"/>
    <w:rsid w:val="008E565B"/>
    <w:rPr>
      <w:rFonts w:ascii="Gill Sans MT" w:hAnsi="Gill Sans MT" w:cs="Gill Sans MT"/>
      <w:b/>
      <w:bCs/>
      <w:color w:val="000000"/>
      <w:sz w:val="7"/>
      <w:szCs w:val="7"/>
    </w:rPr>
  </w:style>
  <w:style w:type="paragraph" w:customStyle="1" w:styleId="Pa5">
    <w:name w:val="Pa5"/>
    <w:basedOn w:val="Default"/>
    <w:next w:val="Default"/>
    <w:uiPriority w:val="99"/>
    <w:rsid w:val="008E565B"/>
    <w:pPr>
      <w:spacing w:line="241" w:lineRule="atLeast"/>
    </w:pPr>
    <w:rPr>
      <w:rFonts w:cstheme="minorBidi"/>
      <w:color w:val="auto"/>
    </w:rPr>
  </w:style>
  <w:style w:type="character" w:customStyle="1" w:styleId="rwrro4">
    <w:name w:val="rwrro4"/>
    <w:basedOn w:val="Standaardalinea-lettertype"/>
    <w:rsid w:val="001A6249"/>
    <w:rPr>
      <w:strike w:val="0"/>
      <w:dstrike w:val="0"/>
      <w:color w:val="408C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DE5980"/>
    <w:pPr>
      <w:spacing w:before="60" w:after="60" w:line="280" w:lineRule="atLeast"/>
    </w:pPr>
    <w:rPr>
      <w:rFonts w:ascii="Arial" w:hAnsi="Arial"/>
      <w:sz w:val="20"/>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paragraph" w:customStyle="1" w:styleId="Standaard0">
    <w:name w:val="Standaard 0"/>
    <w:basedOn w:val="Standaard"/>
    <w:rsid w:val="00DE5980"/>
    <w:pPr>
      <w:jc w:val="both"/>
    </w:pPr>
    <w:rPr>
      <w:rFonts w:eastAsia="Times New Roman" w:cs="Times New Roman"/>
      <w:szCs w:val="24"/>
      <w:lang w:val="nl-NL" w:eastAsia="nl-NL"/>
    </w:rPr>
  </w:style>
  <w:style w:type="paragraph" w:styleId="Tekstopmerking">
    <w:name w:val="annotation text"/>
    <w:basedOn w:val="Standaard"/>
    <w:link w:val="TekstopmerkingChar"/>
    <w:uiPriority w:val="99"/>
    <w:semiHidden/>
    <w:unhideWhenUsed/>
    <w:rsid w:val="00907906"/>
    <w:pPr>
      <w:spacing w:line="240" w:lineRule="auto"/>
    </w:pPr>
    <w:rPr>
      <w:szCs w:val="20"/>
    </w:rPr>
  </w:style>
  <w:style w:type="character" w:customStyle="1" w:styleId="TekstopmerkingChar">
    <w:name w:val="Tekst opmerking Char"/>
    <w:basedOn w:val="Standaardalinea-lettertype"/>
    <w:link w:val="Tekstopmerking"/>
    <w:uiPriority w:val="99"/>
    <w:semiHidden/>
    <w:rsid w:val="0090790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07906"/>
    <w:rPr>
      <w:b/>
      <w:bCs/>
    </w:rPr>
  </w:style>
  <w:style w:type="character" w:customStyle="1" w:styleId="OnderwerpvanopmerkingChar">
    <w:name w:val="Onderwerp van opmerking Char"/>
    <w:basedOn w:val="TekstopmerkingChar"/>
    <w:link w:val="Onderwerpvanopmerking"/>
    <w:uiPriority w:val="99"/>
    <w:semiHidden/>
    <w:rsid w:val="00907906"/>
    <w:rPr>
      <w:rFonts w:ascii="Arial" w:hAnsi="Arial"/>
      <w:b/>
      <w:bCs/>
      <w:sz w:val="20"/>
      <w:szCs w:val="20"/>
    </w:rPr>
  </w:style>
  <w:style w:type="paragraph" w:customStyle="1" w:styleId="Default">
    <w:name w:val="Default"/>
    <w:rsid w:val="008E565B"/>
    <w:pPr>
      <w:autoSpaceDE w:val="0"/>
      <w:autoSpaceDN w:val="0"/>
      <w:adjustRightInd w:val="0"/>
      <w:spacing w:after="0" w:line="240" w:lineRule="auto"/>
    </w:pPr>
    <w:rPr>
      <w:rFonts w:ascii="Humanst531 Blk BT" w:hAnsi="Humanst531 Blk BT" w:cs="Humanst531 Blk BT"/>
      <w:color w:val="000000"/>
      <w:sz w:val="24"/>
      <w:szCs w:val="24"/>
      <w:lang w:val="en-US"/>
    </w:rPr>
  </w:style>
  <w:style w:type="paragraph" w:customStyle="1" w:styleId="Pa0">
    <w:name w:val="Pa0"/>
    <w:basedOn w:val="Default"/>
    <w:next w:val="Default"/>
    <w:uiPriority w:val="99"/>
    <w:rsid w:val="008E565B"/>
    <w:pPr>
      <w:spacing w:line="241" w:lineRule="atLeast"/>
    </w:pPr>
    <w:rPr>
      <w:rFonts w:cstheme="minorBidi"/>
      <w:color w:val="auto"/>
    </w:rPr>
  </w:style>
  <w:style w:type="character" w:customStyle="1" w:styleId="A1">
    <w:name w:val="A1"/>
    <w:uiPriority w:val="99"/>
    <w:rsid w:val="008E565B"/>
    <w:rPr>
      <w:rFonts w:cs="Humanst531 Blk BT"/>
      <w:b/>
      <w:bCs/>
      <w:color w:val="000000"/>
      <w:sz w:val="26"/>
      <w:szCs w:val="26"/>
    </w:rPr>
  </w:style>
  <w:style w:type="character" w:customStyle="1" w:styleId="A2">
    <w:name w:val="A2"/>
    <w:uiPriority w:val="99"/>
    <w:rsid w:val="008E565B"/>
    <w:rPr>
      <w:rFonts w:cs="Humanst531 Blk BT"/>
      <w:color w:val="000000"/>
      <w:sz w:val="22"/>
      <w:szCs w:val="22"/>
    </w:rPr>
  </w:style>
  <w:style w:type="paragraph" w:customStyle="1" w:styleId="Pa2">
    <w:name w:val="Pa2"/>
    <w:basedOn w:val="Default"/>
    <w:next w:val="Default"/>
    <w:uiPriority w:val="99"/>
    <w:rsid w:val="008E565B"/>
    <w:pPr>
      <w:spacing w:line="241" w:lineRule="atLeast"/>
    </w:pPr>
    <w:rPr>
      <w:rFonts w:cstheme="minorBidi"/>
      <w:color w:val="auto"/>
    </w:rPr>
  </w:style>
  <w:style w:type="character" w:customStyle="1" w:styleId="A3">
    <w:name w:val="A3"/>
    <w:uiPriority w:val="99"/>
    <w:rsid w:val="008E565B"/>
    <w:rPr>
      <w:rFonts w:ascii="Gill Sans MT" w:hAnsi="Gill Sans MT" w:cs="Gill Sans MT"/>
      <w:color w:val="000000"/>
      <w:sz w:val="19"/>
      <w:szCs w:val="19"/>
    </w:rPr>
  </w:style>
  <w:style w:type="paragraph" w:customStyle="1" w:styleId="Pa3">
    <w:name w:val="Pa3"/>
    <w:basedOn w:val="Default"/>
    <w:next w:val="Default"/>
    <w:uiPriority w:val="99"/>
    <w:rsid w:val="008E565B"/>
    <w:pPr>
      <w:spacing w:line="241" w:lineRule="atLeast"/>
    </w:pPr>
    <w:rPr>
      <w:rFonts w:cstheme="minorBidi"/>
      <w:color w:val="auto"/>
    </w:rPr>
  </w:style>
  <w:style w:type="character" w:customStyle="1" w:styleId="A4">
    <w:name w:val="A4"/>
    <w:uiPriority w:val="99"/>
    <w:rsid w:val="008E565B"/>
    <w:rPr>
      <w:rFonts w:ascii="Gill Sans MT" w:hAnsi="Gill Sans MT" w:cs="Gill Sans MT"/>
      <w:b/>
      <w:bCs/>
      <w:color w:val="000000"/>
      <w:sz w:val="7"/>
      <w:szCs w:val="7"/>
    </w:rPr>
  </w:style>
  <w:style w:type="paragraph" w:customStyle="1" w:styleId="Pa5">
    <w:name w:val="Pa5"/>
    <w:basedOn w:val="Default"/>
    <w:next w:val="Default"/>
    <w:uiPriority w:val="99"/>
    <w:rsid w:val="008E565B"/>
    <w:pPr>
      <w:spacing w:line="241" w:lineRule="atLeast"/>
    </w:pPr>
    <w:rPr>
      <w:rFonts w:cstheme="minorBidi"/>
      <w:color w:val="auto"/>
    </w:rPr>
  </w:style>
  <w:style w:type="character" w:customStyle="1" w:styleId="rwrro4">
    <w:name w:val="rwrro4"/>
    <w:basedOn w:val="Standaardalinea-lettertype"/>
    <w:rsid w:val="001A6249"/>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il.Papadoyannakis@ec.europa.eu" TargetMode="External"/><Relationship Id="rId18" Type="http://schemas.openxmlformats.org/officeDocument/2006/relationships/hyperlink" Target="mailto:a.volckaert@arcadisbelgium.be" TargetMode="External"/><Relationship Id="rId3" Type="http://schemas.openxmlformats.org/officeDocument/2006/relationships/styles" Target="styles.xml"/><Relationship Id="rId21" Type="http://schemas.openxmlformats.org/officeDocument/2006/relationships/hyperlink" Target="mailto:vendoraccounting@arcadisbelgium.be" TargetMode="External"/><Relationship Id="rId7" Type="http://schemas.openxmlformats.org/officeDocument/2006/relationships/footnotes" Target="footnotes.xml"/><Relationship Id="rId12" Type="http://schemas.openxmlformats.org/officeDocument/2006/relationships/hyperlink" Target="mailto:w.rommens@arcadisbelgium.be" TargetMode="External"/><Relationship Id="rId17" Type="http://schemas.openxmlformats.org/officeDocument/2006/relationships/hyperlink" Target="mailto:vendoraccounting@arcadisbelgium.be" TargetMode="External"/><Relationship Id="rId2" Type="http://schemas.openxmlformats.org/officeDocument/2006/relationships/numbering" Target="numbering.xml"/><Relationship Id="rId16" Type="http://schemas.openxmlformats.org/officeDocument/2006/relationships/hyperlink" Target="mailto:w.rommens@arcadisbelgium.be" TargetMode="External"/><Relationship Id="rId20" Type="http://schemas.openxmlformats.org/officeDocument/2006/relationships/hyperlink" Target="mailto:i.claeys@arcadisbelgium.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olckaert@arcadisbelgium.be" TargetMode="External"/><Relationship Id="rId5" Type="http://schemas.openxmlformats.org/officeDocument/2006/relationships/settings" Target="settings.xml"/><Relationship Id="rId15" Type="http://schemas.openxmlformats.org/officeDocument/2006/relationships/hyperlink" Target="mailto:a.volckaert@arcadisbelgium.be" TargetMode="External"/><Relationship Id="rId23" Type="http://schemas.openxmlformats.org/officeDocument/2006/relationships/theme" Target="theme/theme1.xml"/><Relationship Id="rId10" Type="http://schemas.openxmlformats.org/officeDocument/2006/relationships/hyperlink" Target="mailto:bdvarna@bsbd.org" TargetMode="External"/><Relationship Id="rId19" Type="http://schemas.openxmlformats.org/officeDocument/2006/relationships/hyperlink" Target="mailto:w.rommens@arcadisbelgium.be" TargetMode="External"/><Relationship Id="rId4" Type="http://schemas.microsoft.com/office/2007/relationships/stylesWithEffects" Target="stylesWithEffects.xml"/><Relationship Id="rId9" Type="http://schemas.openxmlformats.org/officeDocument/2006/relationships/hyperlink" Target="mailto:otilia.mihail@mmediu.ro" TargetMode="External"/><Relationship Id="rId14" Type="http://schemas.openxmlformats.org/officeDocument/2006/relationships/image" Target="media/image1.jp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4062AA-8AC3-43F1-8B7A-EF3100FF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3071</Words>
  <Characters>17506</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ARCADIS Belgium</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Laureysens, Ilse</dc:creator>
  <cp:lastModifiedBy>Wouter Rommens</cp:lastModifiedBy>
  <cp:revision>3</cp:revision>
  <cp:lastPrinted>2014-01-10T22:58:00Z</cp:lastPrinted>
  <dcterms:created xsi:type="dcterms:W3CDTF">2014-02-27T13:41:00Z</dcterms:created>
  <dcterms:modified xsi:type="dcterms:W3CDTF">2014-02-27T13:46:00Z</dcterms:modified>
</cp:coreProperties>
</file>