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F8" w:rsidRDefault="00FC3FCD" w:rsidP="00A97C72">
      <w:pPr>
        <w:pStyle w:val="Titel"/>
        <w:rPr>
          <w:sz w:val="28"/>
          <w:szCs w:val="28"/>
        </w:rPr>
      </w:pPr>
      <w:r>
        <w:rPr>
          <w:sz w:val="28"/>
          <w:szCs w:val="28"/>
        </w:rPr>
        <w:t>BS-C</w:t>
      </w:r>
      <w:r w:rsidR="00A97C72" w:rsidRPr="00A97C72">
        <w:rPr>
          <w:sz w:val="28"/>
          <w:szCs w:val="28"/>
        </w:rPr>
        <w:t>BE</w:t>
      </w:r>
      <w:r w:rsidR="00371CC9">
        <w:rPr>
          <w:sz w:val="28"/>
          <w:szCs w:val="28"/>
        </w:rPr>
        <w:t xml:space="preserve"> </w:t>
      </w:r>
      <w:r w:rsidR="00EB2BB9">
        <w:rPr>
          <w:sz w:val="28"/>
          <w:szCs w:val="28"/>
        </w:rPr>
        <w:t>March</w:t>
      </w:r>
      <w:r>
        <w:rPr>
          <w:sz w:val="28"/>
          <w:szCs w:val="28"/>
        </w:rPr>
        <w:t xml:space="preserve"> reporting</w:t>
      </w:r>
      <w:r w:rsidR="004E3003">
        <w:rPr>
          <w:sz w:val="28"/>
          <w:szCs w:val="28"/>
        </w:rPr>
        <w:t xml:space="preserve"> CBE </w:t>
      </w:r>
      <w:r w:rsidR="004539E5">
        <w:rPr>
          <w:sz w:val="28"/>
          <w:szCs w:val="28"/>
        </w:rPr>
        <w:t>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7"/>
        <w:gridCol w:w="2060"/>
        <w:gridCol w:w="2869"/>
        <w:gridCol w:w="2422"/>
      </w:tblGrid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51" w:type="dxa"/>
            <w:gridSpan w:val="3"/>
          </w:tcPr>
          <w:p w:rsidR="00CC29ED" w:rsidRPr="004E3003" w:rsidRDefault="00FC3FCD" w:rsidP="00123DEE">
            <w:pPr>
              <w:rPr>
                <w:b/>
                <w:color w:val="4F81BD" w:themeColor="accent1"/>
                <w:sz w:val="24"/>
                <w:szCs w:val="24"/>
              </w:rPr>
            </w:pPr>
            <w:r w:rsidRPr="004E3003">
              <w:rPr>
                <w:b/>
                <w:color w:val="4F81BD" w:themeColor="accent1"/>
                <w:sz w:val="24"/>
                <w:szCs w:val="24"/>
              </w:rPr>
              <w:t xml:space="preserve">BS Report CBE </w:t>
            </w:r>
            <w:r w:rsidR="00CC29ED">
              <w:rPr>
                <w:b/>
                <w:color w:val="4F81BD" w:themeColor="accent1"/>
                <w:sz w:val="24"/>
                <w:szCs w:val="24"/>
              </w:rPr>
              <w:t>9</w:t>
            </w:r>
            <w:r w:rsidRPr="004E3003">
              <w:rPr>
                <w:b/>
                <w:color w:val="4F81BD" w:themeColor="accent1"/>
                <w:sz w:val="24"/>
                <w:szCs w:val="24"/>
              </w:rPr>
              <w:t xml:space="preserve">: </w:t>
            </w:r>
            <w:r w:rsidR="00CC29ED" w:rsidRPr="00CC29ED">
              <w:rPr>
                <w:b/>
                <w:color w:val="4F81BD" w:themeColor="accent1"/>
                <w:sz w:val="24"/>
                <w:szCs w:val="24"/>
              </w:rPr>
              <w:t>Discussion results review GES and targets (Art. 9 &amp; 10)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51" w:type="dxa"/>
            <w:gridSpan w:val="3"/>
          </w:tcPr>
          <w:p w:rsidR="00FC3FCD" w:rsidRDefault="00CC29ED" w:rsidP="00467902">
            <w:r>
              <w:t>28 March 2014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351" w:type="dxa"/>
            <w:gridSpan w:val="3"/>
          </w:tcPr>
          <w:p w:rsidR="00FC3FCD" w:rsidRPr="003934EF" w:rsidRDefault="00CC29ED" w:rsidP="00467902">
            <w:r w:rsidRPr="003934EF">
              <w:t>Brussels (Belgium)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Attendees</w:t>
            </w:r>
          </w:p>
          <w:p w:rsidR="00FC3FCD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Pr="003934EF" w:rsidRDefault="00FC3FCD" w:rsidP="003934EF">
            <w:r w:rsidRPr="003934EF">
              <w:t xml:space="preserve">See </w:t>
            </w:r>
            <w:r w:rsidR="003934EF" w:rsidRPr="003934EF">
              <w:t>Participants</w:t>
            </w:r>
            <w:r w:rsidRPr="003934EF">
              <w:t xml:space="preserve"> list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Reporter name</w:t>
            </w:r>
          </w:p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FC3FCD" w:rsidRPr="003934EF" w:rsidRDefault="00CC29ED" w:rsidP="00467902">
            <w:r w:rsidRPr="003934EF">
              <w:t>Volckaert Annemie, Durinck Riet (ARCADIS Belgium)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Subject</w:t>
            </w:r>
          </w:p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107314" w:rsidRPr="003934EF" w:rsidRDefault="00CC29ED" w:rsidP="0060430D">
            <w:r w:rsidRPr="003934EF">
              <w:t>Discussion (potential) common indicators, evaluation monitoring fact sheets</w:t>
            </w:r>
            <w:r w:rsidR="003934EF" w:rsidRPr="003934EF">
              <w:t xml:space="preserve"> (based on pilot D5 &amp; D10)</w:t>
            </w:r>
            <w:r w:rsidRPr="003934EF">
              <w:t xml:space="preserve">, </w:t>
            </w:r>
            <w:r w:rsidR="0060430D" w:rsidRPr="003934EF">
              <w:t>action plans</w:t>
            </w:r>
            <w:r w:rsidRPr="003934EF">
              <w:t>.</w:t>
            </w:r>
          </w:p>
        </w:tc>
      </w:tr>
      <w:tr w:rsidR="00FC3FCD" w:rsidTr="004539E5">
        <w:trPr>
          <w:trHeight w:val="70"/>
        </w:trPr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Objective</w:t>
            </w:r>
          </w:p>
        </w:tc>
        <w:tc>
          <w:tcPr>
            <w:tcW w:w="7351" w:type="dxa"/>
            <w:gridSpan w:val="3"/>
          </w:tcPr>
          <w:p w:rsidR="005362DA" w:rsidRPr="003934EF" w:rsidRDefault="00763E3B" w:rsidP="00467902">
            <w:r w:rsidRPr="003934EF">
              <w:t>Link to the contract: Task 1.1 and 1.2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763E3B" w:rsidRPr="003934EF" w:rsidRDefault="00763E3B" w:rsidP="00FC3FCD">
            <w:r w:rsidRPr="003934EF">
              <w:t xml:space="preserve">Link to the MSFD implementation stage: </w:t>
            </w:r>
          </w:p>
          <w:p w:rsidR="00763E3B" w:rsidRPr="003934EF" w:rsidRDefault="00763E3B" w:rsidP="00763E3B">
            <w:pPr>
              <w:pStyle w:val="Lijstalinea"/>
              <w:numPr>
                <w:ilvl w:val="0"/>
                <w:numId w:val="26"/>
              </w:numPr>
            </w:pPr>
            <w:r w:rsidRPr="003934EF">
              <w:t xml:space="preserve">Article 12 technical assessment of the initial assessment and reported GES and targets. </w:t>
            </w:r>
          </w:p>
          <w:p w:rsidR="00FC3FCD" w:rsidRPr="003934EF" w:rsidRDefault="00763E3B" w:rsidP="00763E3B">
            <w:pPr>
              <w:pStyle w:val="Lijstalinea"/>
              <w:numPr>
                <w:ilvl w:val="0"/>
                <w:numId w:val="26"/>
              </w:numPr>
            </w:pPr>
            <w:r w:rsidRPr="003934EF">
              <w:t>Presentation of monitoring program for public consultation and for reporting to the EU Commission.</w:t>
            </w:r>
          </w:p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t>Results</w:t>
            </w:r>
          </w:p>
        </w:tc>
        <w:tc>
          <w:tcPr>
            <w:tcW w:w="7351" w:type="dxa"/>
            <w:gridSpan w:val="3"/>
          </w:tcPr>
          <w:p w:rsidR="00224C0E" w:rsidRDefault="00CE6FAA" w:rsidP="00224C0E">
            <w:r>
              <w:t>Agreement on terminology (</w:t>
            </w:r>
            <w:r w:rsidR="004539E5">
              <w:t xml:space="preserve">agreed </w:t>
            </w:r>
            <w:r>
              <w:t>common</w:t>
            </w:r>
            <w:r w:rsidR="004539E5">
              <w:t xml:space="preserve"> </w:t>
            </w:r>
            <w:r>
              <w:t xml:space="preserve">indicators, </w:t>
            </w:r>
            <w:r w:rsidR="004539E5">
              <w:t xml:space="preserve">harmonized common </w:t>
            </w:r>
            <w:r>
              <w:t>indicators).</w:t>
            </w:r>
          </w:p>
          <w:p w:rsidR="005362DA" w:rsidRDefault="004539E5" w:rsidP="00224C0E">
            <w:r>
              <w:t>Identification and a</w:t>
            </w:r>
            <w:r w:rsidR="00CE6FAA">
              <w:t xml:space="preserve">greement on </w:t>
            </w:r>
            <w:r>
              <w:t xml:space="preserve">(harmonized) </w:t>
            </w:r>
            <w:r w:rsidR="00CE6FAA">
              <w:t>common indicators</w:t>
            </w:r>
            <w:r>
              <w:t xml:space="preserve"> for D5, D10, and on D1 &amp; D3 (to be further discussed with MS experts)</w:t>
            </w:r>
            <w:r w:rsidR="00CE6FAA">
              <w:t xml:space="preserve">. </w:t>
            </w:r>
          </w:p>
          <w:p w:rsidR="005362DA" w:rsidRDefault="005362DA" w:rsidP="00224C0E"/>
        </w:tc>
      </w:tr>
      <w:tr w:rsidR="00FC3FCD" w:rsidTr="0003312A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>
              <w:rPr>
                <w:b/>
              </w:rPr>
              <w:t>Issues discussed</w:t>
            </w:r>
          </w:p>
        </w:tc>
        <w:tc>
          <w:tcPr>
            <w:tcW w:w="7351" w:type="dxa"/>
            <w:gridSpan w:val="3"/>
          </w:tcPr>
          <w:p w:rsidR="00953491" w:rsidRDefault="00763E3B" w:rsidP="005362DA">
            <w:pPr>
              <w:rPr>
                <w:b/>
              </w:rPr>
            </w:pPr>
            <w:r w:rsidRPr="00F43B9A">
              <w:rPr>
                <w:b/>
              </w:rPr>
              <w:t xml:space="preserve">1. </w:t>
            </w:r>
            <w:r w:rsidR="00953491">
              <w:rPr>
                <w:b/>
              </w:rPr>
              <w:t>Revised GES &amp; targets</w:t>
            </w:r>
          </w:p>
          <w:p w:rsidR="00953491" w:rsidRDefault="00953491" w:rsidP="00953491">
            <w:r>
              <w:t xml:space="preserve">It has been agreed (building on the discussions of the bilateral EC meeting) that the MFS should build on the revised GES &amp; targets, and thus not on the GES &amp; targets reported for the Art. 12 assessment. An overview of the revised GES &amp; targets will be delivered to the EC, together with the reporting on the monitoring </w:t>
            </w:r>
            <w:proofErr w:type="spellStart"/>
            <w:r>
              <w:t>programmes</w:t>
            </w:r>
            <w:proofErr w:type="spellEnd"/>
            <w:r>
              <w:t xml:space="preserve"> (Note: currently agreed that no electronic reporting (conf. art 12) assessment is needed on GES/ targets). Romania stated that they have already done a revision of their GES &amp; targets.</w:t>
            </w:r>
          </w:p>
          <w:p w:rsidR="00953491" w:rsidRDefault="00953491" w:rsidP="00953491"/>
          <w:p w:rsidR="008E4EF3" w:rsidRDefault="00953491" w:rsidP="005362D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F43B9A">
              <w:rPr>
                <w:b/>
              </w:rPr>
              <w:t>Common in</w:t>
            </w:r>
            <w:r w:rsidR="00F43B9A" w:rsidRPr="00F43B9A">
              <w:rPr>
                <w:b/>
              </w:rPr>
              <w:t>dicators</w:t>
            </w:r>
          </w:p>
          <w:p w:rsidR="008E4EF3" w:rsidRDefault="008E4EF3" w:rsidP="005362DA">
            <w:r w:rsidRPr="008E4EF3">
              <w:t xml:space="preserve">The importance of the use of </w:t>
            </w:r>
            <w:r>
              <w:t>the same terminology has been highlighted. Following terminology has been agreed :</w:t>
            </w:r>
          </w:p>
          <w:p w:rsidR="004539E5" w:rsidRPr="00070799" w:rsidRDefault="004539E5" w:rsidP="004539E5">
            <w:pPr>
              <w:pStyle w:val="Lijstalinea"/>
              <w:numPr>
                <w:ilvl w:val="0"/>
                <w:numId w:val="26"/>
              </w:numPr>
            </w:pPr>
            <w:r w:rsidRPr="00070799">
              <w:t>Agreed common indicators: agreement on indicator and parameter (</w:t>
            </w:r>
            <w:r w:rsidRPr="00AD226A">
              <w:rPr>
                <w:i/>
              </w:rPr>
              <w:t>on definition level</w:t>
            </w:r>
            <w:r w:rsidRPr="00070799">
              <w:t>)</w:t>
            </w:r>
          </w:p>
          <w:p w:rsidR="008E4EF3" w:rsidRPr="00070799" w:rsidRDefault="004539E5" w:rsidP="003719CF">
            <w:pPr>
              <w:pStyle w:val="Lijstalinea"/>
              <w:numPr>
                <w:ilvl w:val="0"/>
                <w:numId w:val="26"/>
              </w:numPr>
            </w:pPr>
            <w:r w:rsidRPr="00070799">
              <w:t>Harmonized common indicators: agreement on indicator, parameter and methodological approach (sampling/monitoring &amp; assessment strategy) (</w:t>
            </w:r>
            <w:r w:rsidRPr="00AD226A">
              <w:rPr>
                <w:i/>
              </w:rPr>
              <w:t>on definition level + methodological approach</w:t>
            </w:r>
            <w:r w:rsidRPr="00070799">
              <w:t>)</w:t>
            </w:r>
          </w:p>
          <w:p w:rsidR="00DC01EF" w:rsidRDefault="00DC01EF" w:rsidP="005362DA">
            <w:r w:rsidRPr="00070799">
              <w:t xml:space="preserve">Proposed </w:t>
            </w:r>
            <w:r w:rsidR="003657F0" w:rsidRPr="00070799">
              <w:t>common indicators and their formulation have been discussed for</w:t>
            </w:r>
            <w:r w:rsidR="003657F0">
              <w:t xml:space="preserve"> D1, D3, D5 and D10. The excel table </w:t>
            </w:r>
            <w:r>
              <w:t>on</w:t>
            </w:r>
            <w:r w:rsidR="003657F0">
              <w:t xml:space="preserve"> common indicators has been revised during the discussion (in annex). </w:t>
            </w:r>
            <w:r>
              <w:t xml:space="preserve">Some proposed </w:t>
            </w:r>
            <w:r w:rsidRPr="003657F0">
              <w:t xml:space="preserve">common </w:t>
            </w:r>
            <w:r>
              <w:t>indicators have already reached a c</w:t>
            </w:r>
            <w:r w:rsidR="003657F0" w:rsidRPr="003657F0">
              <w:t xml:space="preserve">ommon agreement by BG &amp; RO </w:t>
            </w:r>
            <w:r>
              <w:t xml:space="preserve">(marked in green), others need </w:t>
            </w:r>
            <w:r w:rsidRPr="00DC01EF">
              <w:t xml:space="preserve">to be further discussed with </w:t>
            </w:r>
            <w:r>
              <w:t xml:space="preserve">the </w:t>
            </w:r>
            <w:r w:rsidRPr="00DC01EF">
              <w:t>relevant experts</w:t>
            </w:r>
            <w:r>
              <w:t xml:space="preserve"> in BG and RO (marked in orange). </w:t>
            </w:r>
            <w:r w:rsidR="00BF53E1">
              <w:t>This exercise should be further coordinated by the local PTE coordinators in collaboration with the NFCP for the remaining descriptors.</w:t>
            </w:r>
          </w:p>
          <w:p w:rsidR="00BF53E1" w:rsidRDefault="00BF53E1" w:rsidP="005362DA"/>
          <w:p w:rsidR="007E53A0" w:rsidRDefault="007E53A0" w:rsidP="005362DA">
            <w:r>
              <w:t>It has been noted that besides common indicators, each MS is free to define in addition other indicators on a national basis (so only valid for BG or RO).</w:t>
            </w:r>
          </w:p>
          <w:p w:rsidR="007E53A0" w:rsidRDefault="007E53A0" w:rsidP="005362DA"/>
          <w:p w:rsidR="00F43B9A" w:rsidRDefault="003657F0" w:rsidP="005362DA">
            <w:r>
              <w:rPr>
                <w:b/>
              </w:rPr>
              <w:lastRenderedPageBreak/>
              <w:t xml:space="preserve">D1: </w:t>
            </w:r>
          </w:p>
          <w:p w:rsidR="00780CCB" w:rsidRDefault="00780CCB" w:rsidP="003719CF">
            <w:pPr>
              <w:pStyle w:val="Lijstalinea"/>
              <w:numPr>
                <w:ilvl w:val="0"/>
                <w:numId w:val="26"/>
              </w:numPr>
            </w:pPr>
            <w:r>
              <w:t xml:space="preserve">For D1 it is important to agree on common </w:t>
            </w:r>
            <w:r w:rsidRPr="00780CCB">
              <w:rPr>
                <w:u w:val="single"/>
              </w:rPr>
              <w:t>parameters</w:t>
            </w:r>
            <w:r>
              <w:t xml:space="preserve"> (e.g. a species of brown algae or a mammal species). Several indicators are then linked to this parameters (e.g. distribution area, population size…). </w:t>
            </w:r>
          </w:p>
          <w:p w:rsidR="003657F0" w:rsidRPr="00DC01EF" w:rsidRDefault="003657F0" w:rsidP="003719CF">
            <w:pPr>
              <w:pStyle w:val="Lijstalinea"/>
              <w:numPr>
                <w:ilvl w:val="0"/>
                <w:numId w:val="26"/>
              </w:numPr>
            </w:pPr>
            <w:r w:rsidRPr="00DC01EF">
              <w:t>Seabirds, mammals, non-commercial fish:</w:t>
            </w:r>
            <w:r w:rsidR="00DC01EF">
              <w:t xml:space="preserve"> it is recognized that there are potential common indicators;</w:t>
            </w:r>
            <w:r w:rsidRPr="00DC01EF">
              <w:t xml:space="preserve"> </w:t>
            </w:r>
            <w:r w:rsidR="00DC01EF" w:rsidRPr="00DC01EF">
              <w:t>need</w:t>
            </w:r>
            <w:r w:rsidR="00DC01EF">
              <w:t>s</w:t>
            </w:r>
            <w:r w:rsidR="00DC01EF" w:rsidRPr="00DC01EF">
              <w:t xml:space="preserve"> to be discussed with the experts </w:t>
            </w:r>
          </w:p>
          <w:p w:rsidR="007E53A0" w:rsidRDefault="007E53A0" w:rsidP="003C62EA">
            <w:pPr>
              <w:pStyle w:val="Lijstalinea"/>
              <w:numPr>
                <w:ilvl w:val="0"/>
                <w:numId w:val="26"/>
              </w:numPr>
            </w:pPr>
            <w:r>
              <w:t>Proposal of common parameters and indicators that can serve as input for the CBE on integrated monitoring (ICES):</w:t>
            </w:r>
          </w:p>
          <w:p w:rsidR="009344F3" w:rsidRDefault="007E53A0" w:rsidP="007E53A0">
            <w:pPr>
              <w:pStyle w:val="Lijstalinea"/>
              <w:numPr>
                <w:ilvl w:val="0"/>
                <w:numId w:val="26"/>
              </w:numPr>
            </w:pPr>
            <w:r>
              <w:t xml:space="preserve"> </w:t>
            </w:r>
            <w:r w:rsidR="003C62EA">
              <w:t xml:space="preserve">1.1.1 + 1.2.1: </w:t>
            </w:r>
          </w:p>
          <w:p w:rsidR="003C62EA" w:rsidRPr="009344F3" w:rsidRDefault="009344F3" w:rsidP="009344F3">
            <w:pPr>
              <w:pStyle w:val="Lijstalinea"/>
              <w:numPr>
                <w:ilvl w:val="1"/>
                <w:numId w:val="26"/>
              </w:numPr>
            </w:pPr>
            <w:r>
              <w:t>P</w:t>
            </w:r>
            <w:r w:rsidR="003C62EA">
              <w:t>arameter</w:t>
            </w:r>
            <w:r>
              <w:t xml:space="preserve">s </w:t>
            </w:r>
            <w:r w:rsidR="003C62EA">
              <w:t xml:space="preserve">= </w:t>
            </w:r>
            <w:proofErr w:type="spellStart"/>
            <w:r w:rsidR="003C62EA" w:rsidRPr="009344F3">
              <w:rPr>
                <w:i/>
              </w:rPr>
              <w:t>Cystoseira</w:t>
            </w:r>
            <w:proofErr w:type="spellEnd"/>
            <w:r w:rsidR="003C62EA" w:rsidRPr="009344F3">
              <w:rPr>
                <w:i/>
              </w:rPr>
              <w:t xml:space="preserve"> </w:t>
            </w:r>
            <w:proofErr w:type="spellStart"/>
            <w:r w:rsidR="003C62EA" w:rsidRPr="009344F3">
              <w:rPr>
                <w:i/>
              </w:rPr>
              <w:t>barbata</w:t>
            </w:r>
            <w:proofErr w:type="spellEnd"/>
            <w:r>
              <w:rPr>
                <w:i/>
              </w:rPr>
              <w:t xml:space="preserve">, </w:t>
            </w:r>
            <w:r w:rsidRPr="009344F3">
              <w:t>dolphins (</w:t>
            </w:r>
            <w:proofErr w:type="spellStart"/>
            <w:r w:rsidRPr="009344F3">
              <w:t>Delfinus</w:t>
            </w:r>
            <w:proofErr w:type="spellEnd"/>
            <w:r w:rsidRPr="009344F3">
              <w:t xml:space="preserve">, </w:t>
            </w:r>
            <w:proofErr w:type="spellStart"/>
            <w:r w:rsidRPr="009344F3">
              <w:t>Tursiops</w:t>
            </w:r>
            <w:proofErr w:type="spellEnd"/>
            <w:r w:rsidRPr="009344F3">
              <w:t xml:space="preserve"> and </w:t>
            </w:r>
            <w:proofErr w:type="spellStart"/>
            <w:r w:rsidRPr="009344F3">
              <w:t>Phocoena</w:t>
            </w:r>
            <w:proofErr w:type="spellEnd"/>
            <w:r w:rsidRPr="009344F3">
              <w:t>)</w:t>
            </w:r>
            <w:r>
              <w:t xml:space="preserve">, </w:t>
            </w:r>
            <w:proofErr w:type="spellStart"/>
            <w:r w:rsidRPr="009344F3">
              <w:rPr>
                <w:i/>
              </w:rPr>
              <w:t>Alosa</w:t>
            </w:r>
            <w:proofErr w:type="spellEnd"/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Immaculata</w:t>
            </w:r>
            <w:proofErr w:type="spellEnd"/>
            <w:r w:rsidRPr="009344F3">
              <w:rPr>
                <w:i/>
              </w:rPr>
              <w:t xml:space="preserve">, </w:t>
            </w:r>
            <w:proofErr w:type="spellStart"/>
            <w:r w:rsidRPr="009344F3">
              <w:rPr>
                <w:i/>
              </w:rPr>
              <w:t>Alosa</w:t>
            </w:r>
            <w:proofErr w:type="spellEnd"/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tanaica</w:t>
            </w:r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r>
              <w:t>. Sturgeon: to be discussed.</w:t>
            </w:r>
          </w:p>
          <w:p w:rsidR="009344F3" w:rsidRDefault="009344F3" w:rsidP="009344F3">
            <w:pPr>
              <w:pStyle w:val="Lijstalinea"/>
              <w:numPr>
                <w:ilvl w:val="1"/>
                <w:numId w:val="26"/>
              </w:numPr>
            </w:pPr>
            <w:r>
              <w:t xml:space="preserve">Indicators  = </w:t>
            </w:r>
            <w:r w:rsidRPr="009344F3">
              <w:t>Distribu</w:t>
            </w:r>
            <w:r>
              <w:t xml:space="preserve">tion area and population size of </w:t>
            </w:r>
            <w:proofErr w:type="spellStart"/>
            <w:r w:rsidRPr="009344F3">
              <w:rPr>
                <w:i/>
              </w:rPr>
              <w:t>Cystoseira</w:t>
            </w:r>
            <w:proofErr w:type="spellEnd"/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barbata</w:t>
            </w:r>
            <w:proofErr w:type="spellEnd"/>
            <w:r>
              <w:rPr>
                <w:i/>
              </w:rPr>
              <w:t xml:space="preserve">, </w:t>
            </w:r>
            <w:r w:rsidRPr="009344F3">
              <w:t>dolphins (</w:t>
            </w:r>
            <w:proofErr w:type="spellStart"/>
            <w:r w:rsidRPr="009344F3">
              <w:t>Delfinus</w:t>
            </w:r>
            <w:proofErr w:type="spellEnd"/>
            <w:r w:rsidRPr="009344F3">
              <w:t xml:space="preserve">, </w:t>
            </w:r>
            <w:proofErr w:type="spellStart"/>
            <w:r w:rsidRPr="009344F3">
              <w:t>Tursiops</w:t>
            </w:r>
            <w:proofErr w:type="spellEnd"/>
            <w:r w:rsidRPr="009344F3">
              <w:t xml:space="preserve"> and </w:t>
            </w:r>
            <w:proofErr w:type="spellStart"/>
            <w:r w:rsidRPr="009344F3">
              <w:t>Phocoena</w:t>
            </w:r>
            <w:proofErr w:type="spellEnd"/>
            <w:r w:rsidRPr="009344F3">
              <w:t>)</w:t>
            </w:r>
            <w:r>
              <w:t xml:space="preserve">, </w:t>
            </w:r>
            <w:proofErr w:type="spellStart"/>
            <w:r w:rsidRPr="009344F3">
              <w:rPr>
                <w:i/>
              </w:rPr>
              <w:t>Alosa</w:t>
            </w:r>
            <w:proofErr w:type="spellEnd"/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Immaculata</w:t>
            </w:r>
            <w:proofErr w:type="spellEnd"/>
            <w:r w:rsidRPr="009344F3">
              <w:rPr>
                <w:i/>
              </w:rPr>
              <w:t xml:space="preserve">, </w:t>
            </w:r>
            <w:proofErr w:type="spellStart"/>
            <w:r w:rsidRPr="009344F3">
              <w:rPr>
                <w:i/>
              </w:rPr>
              <w:t>Alosa</w:t>
            </w:r>
            <w:proofErr w:type="spellEnd"/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tanaica</w:t>
            </w:r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r>
              <w:t>.</w:t>
            </w:r>
          </w:p>
          <w:p w:rsidR="00DC01EF" w:rsidRDefault="00DC01EF" w:rsidP="003719CF">
            <w:pPr>
              <w:pStyle w:val="Lijstalinea"/>
              <w:numPr>
                <w:ilvl w:val="0"/>
                <w:numId w:val="26"/>
              </w:numPr>
            </w:pPr>
            <w:r>
              <w:t xml:space="preserve">1.1.2: it is recognized that there are potential common indicators; </w:t>
            </w:r>
            <w:r w:rsidRPr="00DC01EF">
              <w:t>need to be discussed with the experts</w:t>
            </w:r>
          </w:p>
          <w:p w:rsidR="00DC01EF" w:rsidRDefault="00DC01EF" w:rsidP="003719CF">
            <w:pPr>
              <w:pStyle w:val="Lijstalinea"/>
              <w:numPr>
                <w:ilvl w:val="0"/>
                <w:numId w:val="26"/>
              </w:numPr>
            </w:pPr>
            <w:r>
              <w:t xml:space="preserve">1.1.3: </w:t>
            </w:r>
            <w:r w:rsidR="00780CCB">
              <w:t>two types of habitats of this mussel are possible</w:t>
            </w:r>
            <w:r w:rsidR="007E53A0">
              <w:t xml:space="preserve"> (depending on distribution – coastal </w:t>
            </w:r>
            <w:proofErr w:type="spellStart"/>
            <w:r w:rsidR="007E53A0">
              <w:t>vs</w:t>
            </w:r>
            <w:proofErr w:type="spellEnd"/>
            <w:r w:rsidR="007E53A0">
              <w:t xml:space="preserve"> shelf?)</w:t>
            </w:r>
            <w:r w:rsidR="00780CCB">
              <w:t xml:space="preserve">. One of them can be common. </w:t>
            </w:r>
            <w:r w:rsidR="007E53A0">
              <w:t>F</w:t>
            </w:r>
            <w:r w:rsidR="00780CCB">
              <w:t xml:space="preserve">ormulation of the common indicator needs to be agreed between BG and RO. </w:t>
            </w:r>
          </w:p>
          <w:p w:rsidR="00780CCB" w:rsidRDefault="00780CCB" w:rsidP="003719CF">
            <w:pPr>
              <w:pStyle w:val="Lijstalinea"/>
              <w:numPr>
                <w:ilvl w:val="0"/>
                <w:numId w:val="26"/>
              </w:numPr>
            </w:pPr>
            <w:r>
              <w:t xml:space="preserve">1.1.3: </w:t>
            </w:r>
            <w:r w:rsidRPr="00780CCB">
              <w:rPr>
                <w:i/>
              </w:rPr>
              <w:t xml:space="preserve">‘The size and range of distribution of the banks covered by </w:t>
            </w:r>
            <w:proofErr w:type="spellStart"/>
            <w:r w:rsidRPr="00780CCB">
              <w:t>Mytilus</w:t>
            </w:r>
            <w:proofErr w:type="spellEnd"/>
            <w:r w:rsidRPr="00780CCB">
              <w:t xml:space="preserve"> </w:t>
            </w:r>
            <w:proofErr w:type="spellStart"/>
            <w:r w:rsidRPr="00780CCB">
              <w:t>gallorpovinvialis</w:t>
            </w:r>
            <w:proofErr w:type="spellEnd"/>
            <w:r w:rsidRPr="00780CCB">
              <w:rPr>
                <w:i/>
              </w:rPr>
              <w:t xml:space="preserve"> mussels’</w:t>
            </w:r>
            <w:r w:rsidRPr="00780CCB">
              <w:t xml:space="preserve"> </w:t>
            </w:r>
            <w:r>
              <w:t>: ‘</w:t>
            </w:r>
            <w:r w:rsidRPr="00780CCB">
              <w:rPr>
                <w:i/>
              </w:rPr>
              <w:t>size</w:t>
            </w:r>
            <w:r>
              <w:rPr>
                <w:i/>
              </w:rPr>
              <w:t>’</w:t>
            </w:r>
            <w:r>
              <w:t xml:space="preserve"> and ‘</w:t>
            </w:r>
            <w:r w:rsidRPr="00780CCB">
              <w:rPr>
                <w:i/>
              </w:rPr>
              <w:t>range</w:t>
            </w:r>
            <w:r>
              <w:rPr>
                <w:i/>
              </w:rPr>
              <w:t>’</w:t>
            </w:r>
            <w:r>
              <w:t xml:space="preserve"> mean the same? </w:t>
            </w:r>
            <w:r>
              <w:sym w:font="Wingdings" w:char="F0E0"/>
            </w:r>
            <w:r>
              <w:t xml:space="preserve"> to check if there is an error in the translation from Bulgarian to English.</w:t>
            </w:r>
          </w:p>
          <w:p w:rsidR="009344F3" w:rsidRDefault="00780CCB" w:rsidP="003719CF">
            <w:pPr>
              <w:pStyle w:val="Lijstalinea"/>
              <w:numPr>
                <w:ilvl w:val="0"/>
                <w:numId w:val="26"/>
              </w:numPr>
            </w:pPr>
            <w:r w:rsidRPr="00780CCB">
              <w:t xml:space="preserve">1.4.1. + 1.5.1 + 1.6.1 : </w:t>
            </w:r>
          </w:p>
          <w:p w:rsidR="009344F3" w:rsidRPr="009344F3" w:rsidRDefault="009344F3" w:rsidP="009344F3">
            <w:pPr>
              <w:pStyle w:val="Lijstalinea"/>
              <w:numPr>
                <w:ilvl w:val="1"/>
                <w:numId w:val="26"/>
              </w:numPr>
              <w:rPr>
                <w:i/>
              </w:rPr>
            </w:pPr>
            <w:r>
              <w:t xml:space="preserve">Parameters: </w:t>
            </w:r>
            <w:proofErr w:type="spellStart"/>
            <w:r w:rsidRPr="009344F3">
              <w:rPr>
                <w:i/>
              </w:rPr>
              <w:t>Donacilla</w:t>
            </w:r>
            <w:proofErr w:type="spellEnd"/>
            <w:r w:rsidRPr="009344F3">
              <w:rPr>
                <w:i/>
              </w:rPr>
              <w:t xml:space="preserve"> cornea, </w:t>
            </w:r>
            <w:proofErr w:type="spellStart"/>
            <w:r w:rsidRPr="009344F3">
              <w:rPr>
                <w:i/>
              </w:rPr>
              <w:t>Donax</w:t>
            </w:r>
            <w:proofErr w:type="spellEnd"/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trunculus</w:t>
            </w:r>
            <w:proofErr w:type="spellEnd"/>
            <w:r w:rsidRPr="009344F3">
              <w:rPr>
                <w:i/>
              </w:rPr>
              <w:t xml:space="preserve"> </w:t>
            </w:r>
            <w:r w:rsidRPr="009344F3">
              <w:t>and</w:t>
            </w:r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Pholas</w:t>
            </w:r>
            <w:proofErr w:type="spellEnd"/>
            <w:r w:rsidRPr="009344F3">
              <w:rPr>
                <w:i/>
              </w:rPr>
              <w:t xml:space="preserve"> </w:t>
            </w:r>
            <w:proofErr w:type="spellStart"/>
            <w:r w:rsidRPr="009344F3">
              <w:rPr>
                <w:i/>
              </w:rPr>
              <w:t>dactylus</w:t>
            </w:r>
            <w:proofErr w:type="spellEnd"/>
          </w:p>
          <w:p w:rsidR="009344F3" w:rsidRPr="009344F3" w:rsidRDefault="007E53A0" w:rsidP="009344F3">
            <w:pPr>
              <w:pStyle w:val="Lijstalinea"/>
              <w:numPr>
                <w:ilvl w:val="1"/>
                <w:numId w:val="26"/>
              </w:numPr>
              <w:rPr>
                <w:i/>
              </w:rPr>
            </w:pPr>
            <w:proofErr w:type="spellStart"/>
            <w:r>
              <w:rPr>
                <w:lang w:val="fr-FR"/>
              </w:rPr>
              <w:t>Indicators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 w:rsidR="009344F3" w:rsidRPr="009344F3">
              <w:rPr>
                <w:lang w:val="fr-FR"/>
              </w:rPr>
              <w:t>Distributional</w:t>
            </w:r>
            <w:proofErr w:type="spellEnd"/>
            <w:r w:rsidR="009344F3" w:rsidRPr="009344F3">
              <w:rPr>
                <w:lang w:val="fr-FR"/>
              </w:rPr>
              <w:t xml:space="preserve"> range, Habitat </w:t>
            </w:r>
            <w:proofErr w:type="spellStart"/>
            <w:r w:rsidR="009344F3" w:rsidRPr="009344F3">
              <w:rPr>
                <w:lang w:val="fr-FR"/>
              </w:rPr>
              <w:t>exten</w:t>
            </w:r>
            <w:r>
              <w:rPr>
                <w:lang w:val="fr-FR"/>
              </w:rPr>
              <w:t>t</w:t>
            </w:r>
            <w:proofErr w:type="spellEnd"/>
            <w:r w:rsidR="009344F3" w:rsidRPr="009344F3">
              <w:rPr>
                <w:lang w:val="fr-FR"/>
              </w:rPr>
              <w:t xml:space="preserve"> and Habitat condition</w:t>
            </w:r>
            <w:r w:rsidR="009344F3">
              <w:rPr>
                <w:lang w:val="fr-FR"/>
              </w:rPr>
              <w:t xml:space="preserve"> of </w:t>
            </w:r>
            <w:proofErr w:type="spellStart"/>
            <w:r w:rsidR="009344F3" w:rsidRPr="009344F3">
              <w:rPr>
                <w:i/>
              </w:rPr>
              <w:t>Donacilla</w:t>
            </w:r>
            <w:proofErr w:type="spellEnd"/>
            <w:r w:rsidR="009344F3" w:rsidRPr="009344F3">
              <w:rPr>
                <w:i/>
              </w:rPr>
              <w:t xml:space="preserve"> cornea, </w:t>
            </w:r>
            <w:proofErr w:type="spellStart"/>
            <w:r w:rsidR="009344F3" w:rsidRPr="009344F3">
              <w:rPr>
                <w:i/>
              </w:rPr>
              <w:t>Donax</w:t>
            </w:r>
            <w:proofErr w:type="spellEnd"/>
            <w:r w:rsidR="009344F3" w:rsidRPr="009344F3">
              <w:rPr>
                <w:i/>
              </w:rPr>
              <w:t xml:space="preserve"> </w:t>
            </w:r>
            <w:proofErr w:type="spellStart"/>
            <w:r w:rsidR="009344F3" w:rsidRPr="009344F3">
              <w:rPr>
                <w:i/>
              </w:rPr>
              <w:t>trunculus</w:t>
            </w:r>
            <w:proofErr w:type="spellEnd"/>
            <w:r w:rsidR="009344F3" w:rsidRPr="009344F3">
              <w:rPr>
                <w:i/>
              </w:rPr>
              <w:t xml:space="preserve"> </w:t>
            </w:r>
            <w:r w:rsidR="009344F3" w:rsidRPr="009344F3">
              <w:t>and</w:t>
            </w:r>
            <w:r w:rsidR="009344F3" w:rsidRPr="009344F3">
              <w:rPr>
                <w:i/>
              </w:rPr>
              <w:t xml:space="preserve"> </w:t>
            </w:r>
            <w:proofErr w:type="spellStart"/>
            <w:r w:rsidR="009344F3" w:rsidRPr="009344F3">
              <w:rPr>
                <w:i/>
              </w:rPr>
              <w:t>Pholas</w:t>
            </w:r>
            <w:proofErr w:type="spellEnd"/>
            <w:r w:rsidR="009344F3" w:rsidRPr="009344F3">
              <w:rPr>
                <w:i/>
              </w:rPr>
              <w:t xml:space="preserve"> </w:t>
            </w:r>
            <w:proofErr w:type="spellStart"/>
            <w:r w:rsidR="009344F3" w:rsidRPr="009344F3">
              <w:rPr>
                <w:i/>
              </w:rPr>
              <w:t>dactylus</w:t>
            </w:r>
            <w:proofErr w:type="spellEnd"/>
          </w:p>
          <w:p w:rsidR="00DC01EF" w:rsidRDefault="009344F3" w:rsidP="009344F3">
            <w:pPr>
              <w:pStyle w:val="Lijstalinea"/>
              <w:numPr>
                <w:ilvl w:val="1"/>
                <w:numId w:val="26"/>
              </w:numPr>
            </w:pPr>
            <w:r>
              <w:t>F</w:t>
            </w:r>
            <w:r w:rsidR="00780CCB" w:rsidRPr="00780CCB">
              <w:t xml:space="preserve">ormulation of the common </w:t>
            </w:r>
            <w:r w:rsidR="00780CCB">
              <w:t xml:space="preserve">indicator </w:t>
            </w:r>
            <w:r w:rsidR="008E4EF3">
              <w:t>needs to be agreed</w:t>
            </w:r>
          </w:p>
          <w:p w:rsidR="00BF0CBA" w:rsidRDefault="00BF0CBA" w:rsidP="008E4EF3">
            <w:pPr>
              <w:rPr>
                <w:b/>
              </w:rPr>
            </w:pPr>
          </w:p>
          <w:p w:rsidR="008E4EF3" w:rsidRPr="008E4EF3" w:rsidRDefault="008E4EF3" w:rsidP="008E4EF3">
            <w:pPr>
              <w:rPr>
                <w:b/>
              </w:rPr>
            </w:pPr>
            <w:r w:rsidRPr="008E4EF3">
              <w:rPr>
                <w:b/>
              </w:rPr>
              <w:t xml:space="preserve">D3: </w:t>
            </w:r>
          </w:p>
          <w:p w:rsidR="008E4EF3" w:rsidRPr="003719CF" w:rsidRDefault="008E4EF3" w:rsidP="003719CF">
            <w:pPr>
              <w:pStyle w:val="Lijstalinea"/>
              <w:numPr>
                <w:ilvl w:val="0"/>
                <w:numId w:val="26"/>
              </w:numPr>
            </w:pPr>
            <w:r>
              <w:t xml:space="preserve">Fish is being monitored by BG and RO together, so </w:t>
            </w:r>
            <w:r w:rsidR="007E53A0">
              <w:t xml:space="preserve">agreed </w:t>
            </w:r>
            <w:r>
              <w:t xml:space="preserve">common indicators </w:t>
            </w:r>
            <w:r w:rsidRPr="003719CF">
              <w:t>are also harmonized</w:t>
            </w:r>
            <w:r w:rsidR="007E53A0">
              <w:t xml:space="preserve"> (same methodological approach)</w:t>
            </w:r>
            <w:r w:rsidRPr="003719CF">
              <w:t>.</w:t>
            </w:r>
          </w:p>
          <w:p w:rsidR="008E4EF3" w:rsidRPr="003719CF" w:rsidRDefault="008E4EF3" w:rsidP="003719CF">
            <w:pPr>
              <w:pStyle w:val="Lijstalinea"/>
              <w:numPr>
                <w:ilvl w:val="0"/>
                <w:numId w:val="26"/>
              </w:numPr>
            </w:pPr>
            <w:r w:rsidRPr="003719CF">
              <w:t>3.1.1: Fishing mortality</w:t>
            </w:r>
            <w:r w:rsidR="003719CF" w:rsidRPr="003719CF">
              <w:t xml:space="preserve">: RO has to check if fishing mortality of red mullet and </w:t>
            </w:r>
            <w:proofErr w:type="spellStart"/>
            <w:r w:rsidR="003719CF" w:rsidRPr="003719CF">
              <w:t>rapa</w:t>
            </w:r>
            <w:proofErr w:type="spellEnd"/>
            <w:r w:rsidR="003719CF" w:rsidRPr="003719CF">
              <w:t xml:space="preserve"> whelk is also relevant</w:t>
            </w:r>
            <w:r w:rsidR="007E53A0">
              <w:t>. If so, to add to list of common parameters.</w:t>
            </w:r>
          </w:p>
          <w:p w:rsidR="003719CF" w:rsidRPr="003719CF" w:rsidRDefault="003719CF" w:rsidP="003719CF">
            <w:pPr>
              <w:pStyle w:val="Lijstalinea"/>
              <w:numPr>
                <w:ilvl w:val="0"/>
                <w:numId w:val="26"/>
              </w:numPr>
            </w:pPr>
            <w:r w:rsidRPr="003719CF">
              <w:t xml:space="preserve">3.1.2 Biomass: sprat and turbot potentially common; to be further discussed </w:t>
            </w:r>
          </w:p>
          <w:p w:rsidR="003719CF" w:rsidRPr="003719CF" w:rsidRDefault="003719CF" w:rsidP="003719CF">
            <w:pPr>
              <w:pStyle w:val="Lijstalinea"/>
              <w:numPr>
                <w:ilvl w:val="0"/>
                <w:numId w:val="26"/>
              </w:numPr>
            </w:pPr>
            <w:r w:rsidRPr="003719CF">
              <w:t xml:space="preserve">3.2.1 </w:t>
            </w:r>
            <w:r>
              <w:t xml:space="preserve">+ 3.2.2: </w:t>
            </w:r>
            <w:r w:rsidRPr="003719CF">
              <w:t>potential common indicator</w:t>
            </w:r>
            <w:r>
              <w:t>s</w:t>
            </w:r>
            <w:r w:rsidRPr="003719CF">
              <w:t xml:space="preserve"> for dogfish, red mullet , whiting, sprat, turbot, anchovy; to be further discussed</w:t>
            </w:r>
          </w:p>
          <w:p w:rsidR="003719CF" w:rsidRDefault="003719CF" w:rsidP="003719CF">
            <w:pPr>
              <w:pStyle w:val="Lijstalinea"/>
              <w:numPr>
                <w:ilvl w:val="0"/>
                <w:numId w:val="26"/>
              </w:numPr>
            </w:pPr>
            <w:r w:rsidRPr="003719CF">
              <w:t>3.3.1 + 3.3.2 + 3.3.3</w:t>
            </w:r>
            <w:r>
              <w:t xml:space="preserve">: this is not monitored within the regular surveys. </w:t>
            </w:r>
            <w:r w:rsidR="00235CC3">
              <w:t xml:space="preserve">Only occasionally this is monitored. Potential common indicators for sprat and turbot; to be further discussed. </w:t>
            </w:r>
          </w:p>
          <w:p w:rsidR="00235CC3" w:rsidRPr="003719CF" w:rsidRDefault="00235CC3" w:rsidP="00235CC3">
            <w:pPr>
              <w:pStyle w:val="Lijstalinea"/>
              <w:numPr>
                <w:ilvl w:val="0"/>
                <w:numId w:val="26"/>
              </w:numPr>
            </w:pPr>
            <w:r>
              <w:t xml:space="preserve">3.3.4: </w:t>
            </w:r>
            <w:r w:rsidRPr="00235CC3">
              <w:t>No intention of reporting</w:t>
            </w:r>
          </w:p>
          <w:p w:rsidR="003719CF" w:rsidRPr="003719CF" w:rsidRDefault="00235CC3" w:rsidP="003719CF">
            <w:pPr>
              <w:pStyle w:val="Lijstalinea"/>
              <w:numPr>
                <w:ilvl w:val="0"/>
                <w:numId w:val="26"/>
              </w:numPr>
            </w:pPr>
            <w:r>
              <w:t xml:space="preserve">These aspects also need to be discussed with ICES. </w:t>
            </w:r>
          </w:p>
          <w:p w:rsidR="00BF0CBA" w:rsidRDefault="00BF0CBA" w:rsidP="005362DA">
            <w:pPr>
              <w:rPr>
                <w:b/>
              </w:rPr>
            </w:pPr>
          </w:p>
          <w:p w:rsidR="00235CC3" w:rsidRDefault="00235CC3" w:rsidP="005362DA">
            <w:pPr>
              <w:rPr>
                <w:b/>
              </w:rPr>
            </w:pPr>
            <w:r>
              <w:rPr>
                <w:b/>
              </w:rPr>
              <w:t>D5:</w:t>
            </w:r>
          </w:p>
          <w:p w:rsidR="00235CC3" w:rsidRPr="00235CC3" w:rsidRDefault="00235CC3" w:rsidP="00235CC3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 w:rsidRPr="00235CC3">
              <w:rPr>
                <w:rFonts w:ascii="Calibri" w:eastAsia="Calibri" w:hAnsi="Calibri" w:cs="Times New Roman"/>
              </w:rPr>
              <w:t xml:space="preserve">5.1.1 Nutrient </w:t>
            </w:r>
            <w:r w:rsidRPr="00235CC3">
              <w:t>concentrations</w:t>
            </w:r>
            <w:r w:rsidRPr="00235CC3">
              <w:rPr>
                <w:rFonts w:ascii="Calibri" w:eastAsia="Calibri" w:hAnsi="Calibri" w:cs="Times New Roman"/>
              </w:rPr>
              <w:t xml:space="preserve">: </w:t>
            </w:r>
          </w:p>
          <w:p w:rsidR="009344F3" w:rsidRPr="009344F3" w:rsidRDefault="00235CC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235CC3">
              <w:rPr>
                <w:rFonts w:ascii="Calibri" w:eastAsia="Calibri" w:hAnsi="Calibri" w:cs="Times New Roman"/>
              </w:rPr>
              <w:t>Parameter</w:t>
            </w:r>
            <w:r w:rsidR="009344F3" w:rsidRPr="009344F3">
              <w:rPr>
                <w:rFonts w:ascii="Calibri" w:eastAsia="Calibri" w:hAnsi="Calibri" w:cs="Times New Roman"/>
              </w:rPr>
              <w:t>s</w:t>
            </w:r>
            <w:r w:rsidRPr="00235CC3">
              <w:rPr>
                <w:rFonts w:ascii="Calibri" w:eastAsia="Calibri" w:hAnsi="Calibri" w:cs="Times New Roman"/>
              </w:rPr>
              <w:t xml:space="preserve"> =(PO4, TP, </w:t>
            </w:r>
            <w:proofErr w:type="spellStart"/>
            <w:r w:rsidRPr="00235CC3">
              <w:rPr>
                <w:rFonts w:ascii="Calibri" w:eastAsia="Calibri" w:hAnsi="Calibri" w:cs="Times New Roman"/>
              </w:rPr>
              <w:t>NOx</w:t>
            </w:r>
            <w:proofErr w:type="spellEnd"/>
            <w:r w:rsidRPr="00235CC3">
              <w:rPr>
                <w:rFonts w:ascii="Calibri" w:eastAsia="Calibri" w:hAnsi="Calibri" w:cs="Times New Roman"/>
              </w:rPr>
              <w:t xml:space="preserve">, NH4, NT, SiO4) </w:t>
            </w:r>
          </w:p>
          <w:p w:rsidR="009344F3" w:rsidRPr="009344F3" w:rsidRDefault="009344F3" w:rsidP="009344F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nl-BE"/>
              </w:rPr>
            </w:pPr>
            <w:r>
              <w:rPr>
                <w:rFonts w:ascii="Calibri" w:eastAsia="Calibri" w:hAnsi="Calibri" w:cs="Times New Roman"/>
                <w:lang w:val="nl-BE"/>
              </w:rPr>
              <w:lastRenderedPageBreak/>
              <w:t xml:space="preserve">Indicator: </w:t>
            </w:r>
            <w:proofErr w:type="spellStart"/>
            <w:r w:rsidRPr="009344F3">
              <w:rPr>
                <w:rFonts w:ascii="Calibri" w:eastAsia="Calibri" w:hAnsi="Calibri" w:cs="Times New Roman"/>
                <w:lang w:val="nl-BE"/>
              </w:rPr>
              <w:t>seasonal</w:t>
            </w:r>
            <w:proofErr w:type="spellEnd"/>
            <w:r w:rsidRPr="009344F3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Pr="009344F3">
              <w:rPr>
                <w:rFonts w:ascii="Calibri" w:eastAsia="Calibri" w:hAnsi="Calibri" w:cs="Times New Roman"/>
                <w:lang w:val="nl-BE"/>
              </w:rPr>
              <w:t>nutrient</w:t>
            </w:r>
            <w:proofErr w:type="spellEnd"/>
            <w:r w:rsidRPr="009344F3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Pr="009344F3">
              <w:rPr>
                <w:rFonts w:ascii="Calibri" w:eastAsia="Calibri" w:hAnsi="Calibri" w:cs="Times New Roman"/>
                <w:lang w:val="nl-BE"/>
              </w:rPr>
              <w:t>concentrations</w:t>
            </w:r>
            <w:proofErr w:type="spellEnd"/>
            <w:r w:rsidRPr="009344F3">
              <w:rPr>
                <w:rFonts w:ascii="Calibri" w:eastAsia="Calibri" w:hAnsi="Calibri" w:cs="Times New Roman"/>
                <w:lang w:val="nl-BE"/>
              </w:rPr>
              <w:t xml:space="preserve"> (PO4, TP, </w:t>
            </w:r>
            <w:proofErr w:type="spellStart"/>
            <w:r w:rsidRPr="009344F3">
              <w:rPr>
                <w:rFonts w:ascii="Calibri" w:eastAsia="Calibri" w:hAnsi="Calibri" w:cs="Times New Roman"/>
                <w:lang w:val="nl-BE"/>
              </w:rPr>
              <w:t>NOx</w:t>
            </w:r>
            <w:proofErr w:type="spellEnd"/>
            <w:r w:rsidRPr="009344F3">
              <w:rPr>
                <w:rFonts w:ascii="Calibri" w:eastAsia="Calibri" w:hAnsi="Calibri" w:cs="Times New Roman"/>
                <w:lang w:val="nl-BE"/>
              </w:rPr>
              <w:t>, NH4, TN, SiO4)</w:t>
            </w:r>
          </w:p>
          <w:p w:rsidR="009344F3" w:rsidRDefault="00235CC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235CC3">
              <w:rPr>
                <w:rFonts w:ascii="Calibri" w:eastAsia="Calibri" w:hAnsi="Calibri" w:cs="Times New Roman"/>
              </w:rPr>
              <w:t xml:space="preserve">Seasonal: </w:t>
            </w:r>
            <w:r w:rsidR="009344F3" w:rsidRPr="009344F3">
              <w:rPr>
                <w:rFonts w:ascii="Calibri" w:eastAsia="Calibri" w:hAnsi="Calibri" w:cs="Times New Roman"/>
              </w:rPr>
              <w:t xml:space="preserve">at least spring and summer? </w:t>
            </w:r>
            <w:r w:rsidR="009344F3" w:rsidRPr="009344F3">
              <w:rPr>
                <w:rFonts w:ascii="Calibri" w:eastAsia="Calibri" w:hAnsi="Calibri" w:cs="Times New Roman"/>
                <w:lang w:val="nl-BE"/>
              </w:rPr>
              <w:sym w:font="Wingdings" w:char="F0E0"/>
            </w:r>
            <w:r w:rsidR="009344F3" w:rsidRPr="009344F3">
              <w:rPr>
                <w:rFonts w:ascii="Calibri" w:eastAsia="Calibri" w:hAnsi="Calibri" w:cs="Times New Roman"/>
              </w:rPr>
              <w:t xml:space="preserve"> season</w:t>
            </w:r>
            <w:r w:rsidR="009344F3">
              <w:rPr>
                <w:rFonts w:ascii="Calibri" w:eastAsia="Calibri" w:hAnsi="Calibri" w:cs="Times New Roman"/>
              </w:rPr>
              <w:t xml:space="preserve">s need </w:t>
            </w:r>
            <w:r w:rsidR="009344F3" w:rsidRPr="009344F3">
              <w:rPr>
                <w:rFonts w:ascii="Calibri" w:eastAsia="Calibri" w:hAnsi="Calibri" w:cs="Times New Roman"/>
              </w:rPr>
              <w:t xml:space="preserve">to be agreed </w:t>
            </w:r>
          </w:p>
          <w:p w:rsidR="009344F3" w:rsidRPr="009344F3" w:rsidRDefault="009344F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Also harmonized</w:t>
            </w:r>
          </w:p>
          <w:p w:rsidR="009344F3" w:rsidRDefault="00235CC3" w:rsidP="00235CC3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  <w:lang w:val="nl-BE"/>
              </w:rPr>
            </w:pPr>
            <w:r w:rsidRPr="00235CC3">
              <w:rPr>
                <w:rFonts w:ascii="Calibri" w:eastAsia="Calibri" w:hAnsi="Calibri" w:cs="Times New Roman"/>
                <w:lang w:val="nl-BE"/>
              </w:rPr>
              <w:t xml:space="preserve">5.1.2: </w:t>
            </w:r>
            <w:r w:rsidR="00BF0CBA">
              <w:rPr>
                <w:rFonts w:ascii="Calibri" w:eastAsia="Calibri" w:hAnsi="Calibri" w:cs="Times New Roman"/>
                <w:lang w:val="nl-BE"/>
              </w:rPr>
              <w:t>Ratio</w:t>
            </w:r>
            <w:r w:rsidR="007E53A0">
              <w:rPr>
                <w:rFonts w:ascii="Calibri" w:eastAsia="Calibri" w:hAnsi="Calibri" w:cs="Times New Roman"/>
                <w:lang w:val="nl-BE"/>
              </w:rPr>
              <w:t>’</w:t>
            </w:r>
            <w:r w:rsidR="00BF0CBA">
              <w:rPr>
                <w:rFonts w:ascii="Calibri" w:eastAsia="Calibri" w:hAnsi="Calibri" w:cs="Times New Roman"/>
                <w:lang w:val="nl-BE"/>
              </w:rPr>
              <w:t>s</w:t>
            </w:r>
          </w:p>
          <w:p w:rsidR="009344F3" w:rsidRDefault="009344F3" w:rsidP="009344F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nl-BE"/>
              </w:rPr>
            </w:pPr>
            <w:proofErr w:type="spellStart"/>
            <w:r>
              <w:rPr>
                <w:rFonts w:ascii="Calibri" w:eastAsia="Calibri" w:hAnsi="Calibri" w:cs="Times New Roman"/>
                <w:lang w:val="nl-BE"/>
              </w:rPr>
              <w:t>derived</w:t>
            </w:r>
            <w:proofErr w:type="spellEnd"/>
            <w:r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nl-BE"/>
              </w:rPr>
              <w:t>from</w:t>
            </w:r>
            <w:proofErr w:type="spellEnd"/>
            <w:r>
              <w:rPr>
                <w:rFonts w:ascii="Calibri" w:eastAsia="Calibri" w:hAnsi="Calibri" w:cs="Times New Roman"/>
                <w:lang w:val="nl-BE"/>
              </w:rPr>
              <w:t xml:space="preserve"> </w:t>
            </w:r>
            <w:r w:rsidR="00235CC3" w:rsidRPr="00235CC3">
              <w:rPr>
                <w:rFonts w:ascii="Calibri" w:eastAsia="Calibri" w:hAnsi="Calibri" w:cs="Times New Roman"/>
                <w:lang w:val="nl-BE"/>
              </w:rPr>
              <w:t>5.1.1.</w:t>
            </w:r>
          </w:p>
          <w:p w:rsidR="00235CC3" w:rsidRPr="004539E5" w:rsidRDefault="009344F3" w:rsidP="009344F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4539E5">
              <w:rPr>
                <w:rFonts w:ascii="Calibri" w:eastAsia="Calibri" w:hAnsi="Calibri" w:cs="Times New Roman"/>
              </w:rPr>
              <w:t xml:space="preserve">the </w:t>
            </w:r>
            <w:r w:rsidR="00235CC3" w:rsidRPr="004539E5">
              <w:rPr>
                <w:rFonts w:ascii="Calibri" w:eastAsia="Calibri" w:hAnsi="Calibri" w:cs="Times New Roman"/>
              </w:rPr>
              <w:t xml:space="preserve">ratio is </w:t>
            </w:r>
            <w:r w:rsidRPr="004539E5">
              <w:rPr>
                <w:rFonts w:ascii="Calibri" w:eastAsia="Calibri" w:hAnsi="Calibri" w:cs="Times New Roman"/>
              </w:rPr>
              <w:t>fundamen</w:t>
            </w:r>
            <w:r w:rsidR="007E53A0">
              <w:rPr>
                <w:rFonts w:ascii="Calibri" w:eastAsia="Calibri" w:hAnsi="Calibri" w:cs="Times New Roman"/>
              </w:rPr>
              <w:t xml:space="preserve">tal for the assessment of </w:t>
            </w:r>
            <w:r w:rsidR="007E53A0" w:rsidRPr="007E53A0">
              <w:rPr>
                <w:rFonts w:ascii="Calibri" w:eastAsia="Calibri" w:hAnsi="Calibri" w:cs="Times New Roman"/>
                <w:lang w:val="en-GB"/>
              </w:rPr>
              <w:t>eutroph</w:t>
            </w:r>
            <w:r w:rsidRPr="007E53A0">
              <w:rPr>
                <w:rFonts w:ascii="Calibri" w:eastAsia="Calibri" w:hAnsi="Calibri" w:cs="Times New Roman"/>
                <w:lang w:val="en-GB"/>
              </w:rPr>
              <w:t>ication</w:t>
            </w:r>
            <w:r w:rsidRPr="004539E5">
              <w:rPr>
                <w:rFonts w:ascii="Calibri" w:eastAsia="Calibri" w:hAnsi="Calibri" w:cs="Times New Roman"/>
              </w:rPr>
              <w:t xml:space="preserve"> </w:t>
            </w:r>
          </w:p>
          <w:p w:rsidR="00235CC3" w:rsidRPr="00235CC3" w:rsidRDefault="00235CC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fr-FR"/>
              </w:rPr>
            </w:pPr>
            <w:r w:rsidRPr="00235CC3">
              <w:rPr>
                <w:rFonts w:ascii="Calibri" w:eastAsia="Calibri" w:hAnsi="Calibri" w:cs="Times New Roman"/>
                <w:lang w:val="fr-FR"/>
              </w:rPr>
              <w:t xml:space="preserve">3 </w:t>
            </w:r>
            <w:r w:rsidRPr="004539E5">
              <w:rPr>
                <w:rFonts w:ascii="Calibri" w:eastAsia="Calibri" w:hAnsi="Calibri" w:cs="Times New Roman"/>
                <w:lang w:val="fr-FR"/>
              </w:rPr>
              <w:t>ratios</w:t>
            </w:r>
            <w:r w:rsidRPr="00235CC3">
              <w:rPr>
                <w:rFonts w:ascii="Calibri" w:eastAsia="Calibri" w:hAnsi="Calibri" w:cs="Times New Roman"/>
                <w:lang w:val="fr-FR"/>
              </w:rPr>
              <w:t>: N/P, Si/N, Si/P</w:t>
            </w:r>
          </w:p>
          <w:p w:rsidR="00235CC3" w:rsidRPr="00235CC3" w:rsidRDefault="00BF0CBA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nl-BE"/>
              </w:rPr>
            </w:pPr>
            <w:proofErr w:type="spellStart"/>
            <w:r>
              <w:rPr>
                <w:rFonts w:ascii="Calibri" w:eastAsia="Calibri" w:hAnsi="Calibri" w:cs="Times New Roman"/>
                <w:lang w:val="nl-BE"/>
              </w:rPr>
              <w:t>Also</w:t>
            </w:r>
            <w:proofErr w:type="spellEnd"/>
            <w:r w:rsidR="00235CC3" w:rsidRPr="00235CC3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="00235CC3" w:rsidRPr="00235CC3">
              <w:rPr>
                <w:rFonts w:ascii="Calibri" w:eastAsia="Calibri" w:hAnsi="Calibri" w:cs="Times New Roman"/>
                <w:lang w:val="nl-BE"/>
              </w:rPr>
              <w:t>harmonized</w:t>
            </w:r>
            <w:proofErr w:type="spellEnd"/>
          </w:p>
          <w:p w:rsidR="00235CC3" w:rsidRDefault="00235CC3" w:rsidP="00235CC3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  <w:lang w:val="nl-BE"/>
              </w:rPr>
            </w:pPr>
            <w:r w:rsidRPr="00235CC3">
              <w:rPr>
                <w:rFonts w:ascii="Calibri" w:eastAsia="Calibri" w:hAnsi="Calibri" w:cs="Times New Roman"/>
                <w:lang w:val="nl-BE"/>
              </w:rPr>
              <w:t xml:space="preserve">5.2.1: </w:t>
            </w:r>
            <w:proofErr w:type="spellStart"/>
            <w:r w:rsidRPr="00235CC3">
              <w:rPr>
                <w:rFonts w:ascii="Calibri" w:eastAsia="Calibri" w:hAnsi="Calibri" w:cs="Times New Roman"/>
                <w:lang w:val="nl-BE"/>
              </w:rPr>
              <w:t>Chlorofyll</w:t>
            </w:r>
            <w:proofErr w:type="spellEnd"/>
            <w:r w:rsidRPr="00235CC3">
              <w:rPr>
                <w:rFonts w:ascii="Calibri" w:eastAsia="Calibri" w:hAnsi="Calibri" w:cs="Times New Roman"/>
                <w:lang w:val="nl-BE"/>
              </w:rPr>
              <w:t xml:space="preserve"> a: </w:t>
            </w:r>
          </w:p>
          <w:p w:rsidR="00A91AC0" w:rsidRPr="00A91AC0" w:rsidRDefault="00A91AC0" w:rsidP="00A91AC0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A91AC0">
              <w:rPr>
                <w:rFonts w:ascii="Calibri" w:eastAsia="Calibri" w:hAnsi="Calibri" w:cs="Times New Roman"/>
                <w:lang w:val="en-GB"/>
              </w:rPr>
              <w:t xml:space="preserve">Parameter: </w:t>
            </w:r>
            <w:proofErr w:type="spellStart"/>
            <w:r w:rsidRPr="00A91AC0">
              <w:rPr>
                <w:rFonts w:ascii="Calibri" w:eastAsia="Calibri" w:hAnsi="Calibri" w:cs="Times New Roman"/>
                <w:lang w:val="en-GB"/>
              </w:rPr>
              <w:t>chlorofyll</w:t>
            </w:r>
            <w:proofErr w:type="spellEnd"/>
            <w:r w:rsidRPr="00A91AC0">
              <w:rPr>
                <w:rFonts w:ascii="Calibri" w:eastAsia="Calibri" w:hAnsi="Calibri" w:cs="Times New Roman"/>
                <w:lang w:val="en-GB"/>
              </w:rPr>
              <w:t xml:space="preserve"> a</w:t>
            </w:r>
          </w:p>
          <w:p w:rsidR="00A91AC0" w:rsidRPr="00235CC3" w:rsidRDefault="00A91AC0" w:rsidP="00A91AC0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A91AC0">
              <w:rPr>
                <w:rFonts w:ascii="Calibri" w:eastAsia="Calibri" w:hAnsi="Calibri" w:cs="Times New Roman"/>
                <w:lang w:val="en-GB"/>
              </w:rPr>
              <w:t>Indi</w:t>
            </w:r>
            <w:proofErr w:type="spellStart"/>
            <w:r w:rsidRPr="00A91AC0">
              <w:rPr>
                <w:rFonts w:ascii="Calibri" w:eastAsia="Calibri" w:hAnsi="Calibri" w:cs="Times New Roman"/>
              </w:rPr>
              <w:t>cator</w:t>
            </w:r>
            <w:proofErr w:type="spellEnd"/>
            <w:r w:rsidRPr="00A91AC0">
              <w:rPr>
                <w:rFonts w:ascii="Calibri" w:eastAsia="Calibri" w:hAnsi="Calibri" w:cs="Times New Roman"/>
              </w:rPr>
              <w:t xml:space="preserve">: </w:t>
            </w:r>
            <w:r w:rsidR="00CA07C6" w:rsidRPr="00235CC3">
              <w:rPr>
                <w:rFonts w:ascii="Calibri" w:eastAsia="Calibri" w:hAnsi="Calibri" w:cs="Times New Roman"/>
              </w:rPr>
              <w:t xml:space="preserve">75th </w:t>
            </w:r>
            <w:r w:rsidR="00CA07C6" w:rsidRPr="00A91AC0">
              <w:rPr>
                <w:rFonts w:ascii="Calibri" w:eastAsia="Calibri" w:hAnsi="Calibri" w:cs="Times New Roman"/>
              </w:rPr>
              <w:t>or</w:t>
            </w:r>
            <w:r w:rsidR="00CA07C6" w:rsidRPr="00235CC3">
              <w:rPr>
                <w:rFonts w:ascii="Calibri" w:eastAsia="Calibri" w:hAnsi="Calibri" w:cs="Times New Roman"/>
              </w:rPr>
              <w:t xml:space="preserve"> </w:t>
            </w:r>
            <w:r w:rsidR="00CA07C6">
              <w:rPr>
                <w:rFonts w:ascii="Calibri" w:eastAsia="Calibri" w:hAnsi="Calibri" w:cs="Times New Roman"/>
              </w:rPr>
              <w:t>90</w:t>
            </w:r>
            <w:r w:rsidR="00CA07C6" w:rsidRPr="00A91AC0">
              <w:rPr>
                <w:rFonts w:ascii="Calibri" w:eastAsia="Calibri" w:hAnsi="Calibri" w:cs="Times New Roman"/>
              </w:rPr>
              <w:t xml:space="preserve">th percentile </w:t>
            </w:r>
            <w:r w:rsidR="00CA07C6">
              <w:rPr>
                <w:rFonts w:ascii="Calibri" w:eastAsia="Calibri" w:hAnsi="Calibri" w:cs="Times New Roman"/>
              </w:rPr>
              <w:t xml:space="preserve">of </w:t>
            </w:r>
            <w:r w:rsidRPr="00A91AC0">
              <w:rPr>
                <w:rFonts w:ascii="Calibri" w:eastAsia="Calibri" w:hAnsi="Calibri" w:cs="Times New Roman"/>
              </w:rPr>
              <w:t xml:space="preserve">summer </w:t>
            </w:r>
            <w:proofErr w:type="spellStart"/>
            <w:r w:rsidRPr="00A91AC0">
              <w:rPr>
                <w:rFonts w:ascii="Calibri" w:eastAsia="Calibri" w:hAnsi="Calibri" w:cs="Times New Roman"/>
              </w:rPr>
              <w:t>chlorofyll</w:t>
            </w:r>
            <w:proofErr w:type="spellEnd"/>
            <w:r w:rsidRPr="00A91AC0">
              <w:rPr>
                <w:rFonts w:ascii="Calibri" w:eastAsia="Calibri" w:hAnsi="Calibri" w:cs="Times New Roman"/>
              </w:rPr>
              <w:t xml:space="preserve"> a concentrations </w:t>
            </w:r>
          </w:p>
          <w:p w:rsidR="00235CC3" w:rsidRPr="00235CC3" w:rsidRDefault="00A91AC0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A91AC0">
              <w:rPr>
                <w:rFonts w:ascii="Calibri" w:eastAsia="Calibri" w:hAnsi="Calibri" w:cs="Times New Roman"/>
              </w:rPr>
              <w:t xml:space="preserve">Use of </w:t>
            </w:r>
            <w:r w:rsidR="00235CC3" w:rsidRPr="00235CC3">
              <w:rPr>
                <w:rFonts w:ascii="Calibri" w:eastAsia="Calibri" w:hAnsi="Calibri" w:cs="Times New Roman"/>
              </w:rPr>
              <w:t xml:space="preserve">75th </w:t>
            </w:r>
            <w:r w:rsidRPr="00A91AC0">
              <w:rPr>
                <w:rFonts w:ascii="Calibri" w:eastAsia="Calibri" w:hAnsi="Calibri" w:cs="Times New Roman"/>
              </w:rPr>
              <w:t>or</w:t>
            </w:r>
            <w:r w:rsidR="00235CC3" w:rsidRPr="00235CC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90</w:t>
            </w:r>
            <w:r w:rsidRPr="00A91AC0">
              <w:rPr>
                <w:rFonts w:ascii="Calibri" w:eastAsia="Calibri" w:hAnsi="Calibri" w:cs="Times New Roman"/>
              </w:rPr>
              <w:t xml:space="preserve">th percentile? </w:t>
            </w:r>
            <w:r>
              <w:rPr>
                <w:rFonts w:ascii="Calibri" w:eastAsia="Calibri" w:hAnsi="Calibri" w:cs="Times New Roman"/>
              </w:rPr>
              <w:t xml:space="preserve">It is expected that there will be only a slight difference between these two percentiles. </w:t>
            </w:r>
            <w:r w:rsidRPr="00A91AC0">
              <w:rPr>
                <w:rFonts w:ascii="Calibri" w:eastAsia="Calibri" w:hAnsi="Calibri" w:cs="Times New Roman"/>
              </w:rPr>
              <w:sym w:font="Wingdings" w:char="F0E0"/>
            </w:r>
            <w:r>
              <w:rPr>
                <w:rFonts w:ascii="Calibri" w:eastAsia="Calibri" w:hAnsi="Calibri" w:cs="Times New Roman"/>
              </w:rPr>
              <w:t xml:space="preserve"> needs to be agreed</w:t>
            </w:r>
          </w:p>
          <w:p w:rsidR="00A91AC0" w:rsidRPr="00A91AC0" w:rsidRDefault="00235CC3" w:rsidP="00A91AC0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nl-BE"/>
              </w:rPr>
            </w:pPr>
            <w:r w:rsidRPr="00235CC3">
              <w:rPr>
                <w:rFonts w:ascii="Calibri" w:eastAsia="Calibri" w:hAnsi="Calibri" w:cs="Times New Roman"/>
              </w:rPr>
              <w:t xml:space="preserve">Methodology: surface layer or deep see </w:t>
            </w:r>
            <w:proofErr w:type="spellStart"/>
            <w:r w:rsidRPr="00235CC3">
              <w:rPr>
                <w:rFonts w:ascii="Calibri" w:eastAsia="Calibri" w:hAnsi="Calibri" w:cs="Times New Roman"/>
              </w:rPr>
              <w:t>chlorofyll</w:t>
            </w:r>
            <w:proofErr w:type="spellEnd"/>
            <w:r w:rsidRPr="00235CC3">
              <w:rPr>
                <w:rFonts w:ascii="Calibri" w:eastAsia="Calibri" w:hAnsi="Calibri" w:cs="Times New Roman"/>
              </w:rPr>
              <w:t xml:space="preserve"> level? </w:t>
            </w:r>
            <w:r w:rsidR="00A91AC0" w:rsidRPr="00A91AC0">
              <w:rPr>
                <w:rFonts w:ascii="Calibri" w:eastAsia="Calibri" w:hAnsi="Calibri" w:cs="Times New Roman"/>
              </w:rPr>
              <w:sym w:font="Wingdings" w:char="F0E0"/>
            </w:r>
            <w:r w:rsidR="00A91AC0">
              <w:rPr>
                <w:rFonts w:ascii="Calibri" w:eastAsia="Calibri" w:hAnsi="Calibri" w:cs="Times New Roman"/>
              </w:rPr>
              <w:t xml:space="preserve"> needs to be agreed </w:t>
            </w:r>
          </w:p>
          <w:p w:rsidR="00235CC3" w:rsidRPr="00235CC3" w:rsidRDefault="00A91AC0" w:rsidP="00235CC3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</w:rPr>
            </w:pPr>
            <w:r w:rsidRPr="00A91AC0">
              <w:rPr>
                <w:rFonts w:ascii="Calibri" w:eastAsia="Calibri" w:hAnsi="Calibri" w:cs="Times New Roman"/>
              </w:rPr>
              <w:t xml:space="preserve">5.2.2: </w:t>
            </w:r>
            <w:r>
              <w:rPr>
                <w:rFonts w:ascii="Calibri" w:eastAsia="Calibri" w:hAnsi="Calibri" w:cs="Times New Roman"/>
              </w:rPr>
              <w:t>W</w:t>
            </w:r>
            <w:r w:rsidRPr="00A91AC0">
              <w:rPr>
                <w:rFonts w:ascii="Calibri" w:eastAsia="Calibri" w:hAnsi="Calibri" w:cs="Times New Roman"/>
              </w:rPr>
              <w:t>ater transparency: common indicator, also harmonized.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35CC3" w:rsidRPr="00235CC3" w:rsidRDefault="00A91AC0" w:rsidP="00235CC3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5.2.3: A</w:t>
            </w:r>
            <w:r w:rsidR="00235CC3" w:rsidRPr="00235CC3">
              <w:rPr>
                <w:rFonts w:ascii="Calibri" w:eastAsia="Calibri" w:hAnsi="Calibri" w:cs="Times New Roman"/>
              </w:rPr>
              <w:t xml:space="preserve">bundance of opportunistic </w:t>
            </w:r>
            <w:proofErr w:type="spellStart"/>
            <w:r w:rsidR="00235CC3" w:rsidRPr="00235CC3">
              <w:rPr>
                <w:rFonts w:ascii="Calibri" w:eastAsia="Calibri" w:hAnsi="Calibri" w:cs="Times New Roman"/>
              </w:rPr>
              <w:t>macroalgae</w:t>
            </w:r>
            <w:proofErr w:type="spellEnd"/>
            <w:r w:rsidR="00235CC3" w:rsidRPr="00235CC3">
              <w:rPr>
                <w:rFonts w:ascii="Calibri" w:eastAsia="Calibri" w:hAnsi="Calibri" w:cs="Times New Roman"/>
              </w:rPr>
              <w:t>:</w:t>
            </w:r>
          </w:p>
          <w:p w:rsidR="00235CC3" w:rsidRPr="00235CC3" w:rsidRDefault="00235CC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nl-BE"/>
              </w:rPr>
            </w:pPr>
            <w:r w:rsidRPr="00235CC3">
              <w:rPr>
                <w:rFonts w:ascii="Calibri" w:eastAsia="Calibri" w:hAnsi="Calibri" w:cs="Times New Roman"/>
              </w:rPr>
              <w:t>to be furt</w:t>
            </w:r>
            <w:r w:rsidR="00A91AC0">
              <w:rPr>
                <w:rFonts w:ascii="Calibri" w:eastAsia="Calibri" w:hAnsi="Calibri" w:cs="Times New Roman"/>
              </w:rPr>
              <w:t>h</w:t>
            </w:r>
            <w:r w:rsidRPr="00235CC3">
              <w:rPr>
                <w:rFonts w:ascii="Calibri" w:eastAsia="Calibri" w:hAnsi="Calibri" w:cs="Times New Roman"/>
              </w:rPr>
              <w:t xml:space="preserve">er discusses </w:t>
            </w:r>
          </w:p>
          <w:p w:rsidR="00235CC3" w:rsidRPr="004539E5" w:rsidRDefault="00235CC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4539E5">
              <w:rPr>
                <w:rFonts w:ascii="Calibri" w:eastAsia="Calibri" w:hAnsi="Calibri" w:cs="Times New Roman"/>
              </w:rPr>
              <w:t xml:space="preserve">RO </w:t>
            </w:r>
            <w:r w:rsidR="00A91AC0" w:rsidRPr="004539E5">
              <w:rPr>
                <w:rFonts w:ascii="Calibri" w:eastAsia="Calibri" w:hAnsi="Calibri" w:cs="Times New Roman"/>
              </w:rPr>
              <w:t xml:space="preserve">shall look if the EI index can also be used. </w:t>
            </w:r>
          </w:p>
          <w:p w:rsidR="00235CC3" w:rsidRPr="00235CC3" w:rsidRDefault="00235CC3" w:rsidP="00A91AC0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  <w:lang w:val="nl-BE"/>
              </w:rPr>
            </w:pPr>
            <w:r w:rsidRPr="00235CC3">
              <w:rPr>
                <w:rFonts w:ascii="Calibri" w:eastAsia="Calibri" w:hAnsi="Calibri" w:cs="Times New Roman"/>
                <w:lang w:val="nl-BE"/>
              </w:rPr>
              <w:t>5.2.4:</w:t>
            </w:r>
            <w:r w:rsidR="00A91AC0">
              <w:t xml:space="preserve"> D</w:t>
            </w:r>
            <w:proofErr w:type="spellStart"/>
            <w:r w:rsidR="00A91AC0" w:rsidRPr="00A91AC0">
              <w:rPr>
                <w:rFonts w:ascii="Calibri" w:eastAsia="Calibri" w:hAnsi="Calibri" w:cs="Times New Roman"/>
                <w:lang w:val="nl-BE"/>
              </w:rPr>
              <w:t>iatom</w:t>
            </w:r>
            <w:proofErr w:type="spellEnd"/>
            <w:r w:rsidR="00A91AC0" w:rsidRPr="00A91AC0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="00A91AC0" w:rsidRPr="00A91AC0">
              <w:rPr>
                <w:rFonts w:ascii="Calibri" w:eastAsia="Calibri" w:hAnsi="Calibri" w:cs="Times New Roman"/>
                <w:lang w:val="nl-BE"/>
              </w:rPr>
              <w:t>dinoflaggelate</w:t>
            </w:r>
            <w:proofErr w:type="spellEnd"/>
            <w:r w:rsidR="00A91AC0" w:rsidRPr="00A91AC0">
              <w:rPr>
                <w:rFonts w:ascii="Calibri" w:eastAsia="Calibri" w:hAnsi="Calibri" w:cs="Times New Roman"/>
                <w:lang w:val="nl-BE"/>
              </w:rPr>
              <w:t xml:space="preserve"> ratio</w:t>
            </w:r>
            <w:r w:rsidR="00A91AC0">
              <w:rPr>
                <w:rFonts w:ascii="Calibri" w:eastAsia="Calibri" w:hAnsi="Calibri" w:cs="Times New Roman"/>
                <w:lang w:val="nl-BE"/>
              </w:rPr>
              <w:t>:</w:t>
            </w:r>
          </w:p>
          <w:p w:rsidR="00235CC3" w:rsidRPr="00235CC3" w:rsidRDefault="00235CC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235CC3">
              <w:rPr>
                <w:rFonts w:ascii="Calibri" w:eastAsia="Calibri" w:hAnsi="Calibri" w:cs="Times New Roman"/>
              </w:rPr>
              <w:t>Need for common fo</w:t>
            </w:r>
            <w:r w:rsidR="00A91AC0" w:rsidRPr="00A91AC0">
              <w:rPr>
                <w:rFonts w:ascii="Calibri" w:eastAsia="Calibri" w:hAnsi="Calibri" w:cs="Times New Roman"/>
              </w:rPr>
              <w:t>rmulation (same words)</w:t>
            </w:r>
            <w:r w:rsidRPr="00235CC3">
              <w:rPr>
                <w:rFonts w:ascii="Calibri" w:eastAsia="Calibri" w:hAnsi="Calibri" w:cs="Times New Roman"/>
              </w:rPr>
              <w:t xml:space="preserve"> </w:t>
            </w:r>
          </w:p>
          <w:p w:rsidR="00235CC3" w:rsidRPr="00235CC3" w:rsidRDefault="00A91AC0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A91AC0">
              <w:rPr>
                <w:rFonts w:ascii="Calibri" w:eastAsia="Calibri" w:hAnsi="Calibri" w:cs="Times New Roman"/>
              </w:rPr>
              <w:t xml:space="preserve">Season: spring? </w:t>
            </w:r>
            <w:r w:rsidRPr="00A91AC0">
              <w:rPr>
                <w:rFonts w:ascii="Calibri" w:eastAsia="Calibri" w:hAnsi="Calibri" w:cs="Times New Roman"/>
                <w:lang w:val="nl-BE"/>
              </w:rPr>
              <w:sym w:font="Wingdings" w:char="F0E0"/>
            </w:r>
            <w:r w:rsidRPr="00A91AC0">
              <w:rPr>
                <w:rFonts w:ascii="Calibri" w:eastAsia="Calibri" w:hAnsi="Calibri" w:cs="Times New Roman"/>
              </w:rPr>
              <w:t xml:space="preserve"> needs to be agreed </w:t>
            </w:r>
          </w:p>
          <w:p w:rsidR="00235CC3" w:rsidRPr="00235CC3" w:rsidRDefault="00235CC3" w:rsidP="00235CC3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  <w:lang w:val="nl-BE"/>
              </w:rPr>
            </w:pPr>
            <w:r w:rsidRPr="00235CC3">
              <w:rPr>
                <w:rFonts w:ascii="Calibri" w:eastAsia="Calibri" w:hAnsi="Calibri" w:cs="Times New Roman"/>
                <w:lang w:val="nl-BE"/>
              </w:rPr>
              <w:t>5.3.1</w:t>
            </w:r>
            <w:r w:rsidR="00A91AC0">
              <w:rPr>
                <w:rFonts w:ascii="Calibri" w:eastAsia="Calibri" w:hAnsi="Calibri" w:cs="Times New Roman"/>
                <w:lang w:val="nl-BE"/>
              </w:rPr>
              <w:t xml:space="preserve">: </w:t>
            </w:r>
            <w:proofErr w:type="spellStart"/>
            <w:r w:rsidR="00A91AC0">
              <w:rPr>
                <w:rFonts w:ascii="Calibri" w:eastAsia="Calibri" w:hAnsi="Calibri" w:cs="Times New Roman"/>
                <w:lang w:val="nl-BE"/>
              </w:rPr>
              <w:t>Perennial</w:t>
            </w:r>
            <w:proofErr w:type="spellEnd"/>
            <w:r w:rsidR="00A91AC0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="00A91AC0">
              <w:rPr>
                <w:rFonts w:ascii="Calibri" w:eastAsia="Calibri" w:hAnsi="Calibri" w:cs="Times New Roman"/>
                <w:lang w:val="nl-BE"/>
              </w:rPr>
              <w:t>seaweeds</w:t>
            </w:r>
            <w:proofErr w:type="spellEnd"/>
            <w:r w:rsidR="00A91AC0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="00A91AC0">
              <w:rPr>
                <w:rFonts w:ascii="Calibri" w:eastAsia="Calibri" w:hAnsi="Calibri" w:cs="Times New Roman"/>
                <w:lang w:val="nl-BE"/>
              </w:rPr>
              <w:t>and</w:t>
            </w:r>
            <w:proofErr w:type="spellEnd"/>
            <w:r w:rsidR="00A91AC0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="00A91AC0">
              <w:rPr>
                <w:rFonts w:ascii="Calibri" w:eastAsia="Calibri" w:hAnsi="Calibri" w:cs="Times New Roman"/>
                <w:lang w:val="nl-BE"/>
              </w:rPr>
              <w:t>seagrasses</w:t>
            </w:r>
            <w:proofErr w:type="spellEnd"/>
            <w:r w:rsidR="00A91AC0">
              <w:rPr>
                <w:rFonts w:ascii="Calibri" w:eastAsia="Calibri" w:hAnsi="Calibri" w:cs="Times New Roman"/>
                <w:lang w:val="nl-BE"/>
              </w:rPr>
              <w:t>:</w:t>
            </w:r>
          </w:p>
          <w:p w:rsidR="00235CC3" w:rsidRPr="004539E5" w:rsidRDefault="00235CC3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4539E5">
              <w:rPr>
                <w:rFonts w:ascii="Calibri" w:eastAsia="Calibri" w:hAnsi="Calibri" w:cs="Times New Roman"/>
              </w:rPr>
              <w:t xml:space="preserve">EI index: RO </w:t>
            </w:r>
            <w:r w:rsidR="00A91AC0" w:rsidRPr="004539E5">
              <w:rPr>
                <w:rFonts w:ascii="Calibri" w:eastAsia="Calibri" w:hAnsi="Calibri" w:cs="Times New Roman"/>
              </w:rPr>
              <w:t xml:space="preserve">needs to check if this index is also used </w:t>
            </w:r>
          </w:p>
          <w:p w:rsidR="00A91AC0" w:rsidRPr="00235CC3" w:rsidRDefault="00A91AC0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A91AC0">
              <w:rPr>
                <w:rFonts w:ascii="Calibri" w:eastAsia="Calibri" w:hAnsi="Calibri" w:cs="Times New Roman"/>
              </w:rPr>
              <w:t xml:space="preserve">The species </w:t>
            </w:r>
            <w:proofErr w:type="spellStart"/>
            <w:r w:rsidRPr="00A91AC0">
              <w:rPr>
                <w:rFonts w:ascii="Calibri" w:eastAsia="Calibri" w:hAnsi="Calibri" w:cs="Times New Roman"/>
              </w:rPr>
              <w:t>metnioned</w:t>
            </w:r>
            <w:proofErr w:type="spellEnd"/>
            <w:r w:rsidRPr="00A91AC0">
              <w:rPr>
                <w:rFonts w:ascii="Calibri" w:eastAsia="Calibri" w:hAnsi="Calibri" w:cs="Times New Roman"/>
              </w:rPr>
              <w:t xml:space="preserve"> by BG are </w:t>
            </w:r>
            <w:proofErr w:type="spellStart"/>
            <w:r w:rsidRPr="00A91AC0">
              <w:rPr>
                <w:rFonts w:ascii="Calibri" w:eastAsia="Calibri" w:hAnsi="Calibri" w:cs="Times New Roman"/>
              </w:rPr>
              <w:t>aslo</w:t>
            </w:r>
            <w:proofErr w:type="spellEnd"/>
            <w:r w:rsidRPr="00A91AC0">
              <w:rPr>
                <w:rFonts w:ascii="Calibri" w:eastAsia="Calibri" w:hAnsi="Calibri" w:cs="Times New Roman"/>
              </w:rPr>
              <w:t xml:space="preserve"> relevant for RO: needs </w:t>
            </w:r>
            <w:proofErr w:type="spellStart"/>
            <w:r w:rsidRPr="00A91AC0">
              <w:rPr>
                <w:rFonts w:ascii="Calibri" w:eastAsia="Calibri" w:hAnsi="Calibri" w:cs="Times New Roman"/>
              </w:rPr>
              <w:t>tob</w:t>
            </w:r>
            <w:proofErr w:type="spellEnd"/>
            <w:r w:rsidRPr="00A91AC0">
              <w:rPr>
                <w:rFonts w:ascii="Calibri" w:eastAsia="Calibri" w:hAnsi="Calibri" w:cs="Times New Roman"/>
              </w:rPr>
              <w:t xml:space="preserve"> e checked</w:t>
            </w:r>
          </w:p>
          <w:p w:rsidR="00235CC3" w:rsidRPr="00235CC3" w:rsidRDefault="00235CC3" w:rsidP="00A91AC0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  <w:lang w:val="nl-BE"/>
              </w:rPr>
            </w:pPr>
            <w:r w:rsidRPr="00235CC3">
              <w:rPr>
                <w:rFonts w:ascii="Calibri" w:eastAsia="Calibri" w:hAnsi="Calibri" w:cs="Times New Roman"/>
                <w:lang w:val="nl-BE"/>
              </w:rPr>
              <w:t>5.3.</w:t>
            </w:r>
            <w:r w:rsidR="00A91AC0">
              <w:rPr>
                <w:rFonts w:ascii="Calibri" w:eastAsia="Calibri" w:hAnsi="Calibri" w:cs="Times New Roman"/>
                <w:lang w:val="nl-BE"/>
              </w:rPr>
              <w:t xml:space="preserve">2: </w:t>
            </w:r>
            <w:proofErr w:type="spellStart"/>
            <w:r w:rsidR="00A91AC0">
              <w:rPr>
                <w:rFonts w:ascii="Calibri" w:eastAsia="Calibri" w:hAnsi="Calibri" w:cs="Times New Roman"/>
                <w:lang w:val="nl-BE"/>
              </w:rPr>
              <w:t>B</w:t>
            </w:r>
            <w:r w:rsidR="00A91AC0" w:rsidRPr="00A91AC0">
              <w:rPr>
                <w:rFonts w:ascii="Calibri" w:eastAsia="Calibri" w:hAnsi="Calibri" w:cs="Times New Roman"/>
                <w:lang w:val="nl-BE"/>
              </w:rPr>
              <w:t>ottom</w:t>
            </w:r>
            <w:proofErr w:type="spellEnd"/>
            <w:r w:rsidR="00A91AC0" w:rsidRPr="00A91AC0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="00A91AC0" w:rsidRPr="00A91AC0">
              <w:rPr>
                <w:rFonts w:ascii="Calibri" w:eastAsia="Calibri" w:hAnsi="Calibri" w:cs="Times New Roman"/>
                <w:lang w:val="nl-BE"/>
              </w:rPr>
              <w:t>oxygen</w:t>
            </w:r>
            <w:proofErr w:type="spellEnd"/>
            <w:r w:rsidR="00A91AC0" w:rsidRPr="00A91AC0">
              <w:rPr>
                <w:rFonts w:ascii="Calibri" w:eastAsia="Calibri" w:hAnsi="Calibri" w:cs="Times New Roman"/>
                <w:lang w:val="nl-BE"/>
              </w:rPr>
              <w:t xml:space="preserve"> </w:t>
            </w:r>
            <w:proofErr w:type="spellStart"/>
            <w:r w:rsidR="00A91AC0" w:rsidRPr="00A91AC0">
              <w:rPr>
                <w:rFonts w:ascii="Calibri" w:eastAsia="Calibri" w:hAnsi="Calibri" w:cs="Times New Roman"/>
                <w:lang w:val="nl-BE"/>
              </w:rPr>
              <w:t>saturation</w:t>
            </w:r>
            <w:proofErr w:type="spellEnd"/>
          </w:p>
          <w:p w:rsidR="00235CC3" w:rsidRPr="00235CC3" w:rsidRDefault="00CA07C6" w:rsidP="00235CC3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Most important season is s</w:t>
            </w:r>
            <w:r w:rsidR="00235CC3" w:rsidRPr="00235CC3">
              <w:rPr>
                <w:rFonts w:ascii="Calibri" w:eastAsia="Calibri" w:hAnsi="Calibri" w:cs="Times New Roman"/>
              </w:rPr>
              <w:t>ummer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35CC3" w:rsidRDefault="00235CC3" w:rsidP="005362DA">
            <w:pPr>
              <w:rPr>
                <w:b/>
              </w:rPr>
            </w:pPr>
          </w:p>
          <w:p w:rsidR="00CA07C6" w:rsidRPr="00CA07C6" w:rsidRDefault="00CA07C6" w:rsidP="00CA07C6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CA07C6">
              <w:rPr>
                <w:rFonts w:ascii="Calibri" w:eastAsia="Calibri" w:hAnsi="Calibri" w:cs="Times New Roman"/>
                <w:b/>
              </w:rPr>
              <w:t>D10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  <w:p w:rsidR="00CA07C6" w:rsidRPr="00CA07C6" w:rsidRDefault="00575DE0" w:rsidP="00CA07C6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10.1.1: </w:t>
            </w:r>
            <w:r w:rsidR="00CA07C6" w:rsidRPr="00CA07C6">
              <w:rPr>
                <w:rFonts w:ascii="Calibri" w:eastAsia="Calibri" w:hAnsi="Calibri" w:cs="Times New Roman"/>
              </w:rPr>
              <w:t xml:space="preserve">Beach litter: number of beach litter items per </w:t>
            </w:r>
            <w:r w:rsidR="00CA07C6" w:rsidRPr="00CA07C6">
              <w:rPr>
                <w:rFonts w:ascii="Calibri" w:eastAsia="Calibri" w:hAnsi="Calibri" w:cs="Times New Roman"/>
                <w:b/>
              </w:rPr>
              <w:t>meter</w:t>
            </w:r>
            <w:r w:rsidR="00CA07C6" w:rsidRPr="00CA07C6">
              <w:rPr>
                <w:rFonts w:ascii="Calibri" w:eastAsia="Calibri" w:hAnsi="Calibri" w:cs="Times New Roman"/>
              </w:rPr>
              <w:t xml:space="preserve"> beach </w:t>
            </w:r>
            <w:r w:rsidR="00CA07C6" w:rsidRPr="00CA07C6">
              <w:rPr>
                <w:rFonts w:ascii="Calibri" w:eastAsia="Calibri" w:hAnsi="Calibri" w:cs="Times New Roman"/>
              </w:rPr>
              <w:sym w:font="Wingdings" w:char="F0E0"/>
            </w:r>
            <w:r w:rsidR="00CA07C6" w:rsidRPr="00CA07C6">
              <w:rPr>
                <w:rFonts w:ascii="Calibri" w:eastAsia="Calibri" w:hAnsi="Calibri" w:cs="Times New Roman"/>
              </w:rPr>
              <w:t xml:space="preserve"> the transect needs to be chosen. </w:t>
            </w:r>
            <w:r w:rsidR="002A3010">
              <w:rPr>
                <w:rFonts w:ascii="Calibri" w:eastAsia="Calibri" w:hAnsi="Calibri" w:cs="Times New Roman"/>
              </w:rPr>
              <w:t>Agreement to use t</w:t>
            </w:r>
            <w:r w:rsidR="00CA07C6" w:rsidRPr="00CA07C6">
              <w:rPr>
                <w:rFonts w:ascii="Calibri" w:eastAsia="Calibri" w:hAnsi="Calibri" w:cs="Times New Roman"/>
              </w:rPr>
              <w:t xml:space="preserve">he </w:t>
            </w:r>
            <w:r w:rsidR="002A3010">
              <w:rPr>
                <w:rFonts w:ascii="Calibri" w:eastAsia="Calibri" w:hAnsi="Calibri" w:cs="Times New Roman"/>
              </w:rPr>
              <w:t xml:space="preserve">EU </w:t>
            </w:r>
            <w:r w:rsidR="00CA07C6" w:rsidRPr="00CA07C6">
              <w:rPr>
                <w:rFonts w:ascii="Calibri" w:eastAsia="Calibri" w:hAnsi="Calibri" w:cs="Times New Roman"/>
              </w:rPr>
              <w:t xml:space="preserve">guidance document </w:t>
            </w:r>
            <w:r w:rsidR="002A3010">
              <w:rPr>
                <w:rFonts w:ascii="Calibri" w:eastAsia="Calibri" w:hAnsi="Calibri" w:cs="Times New Roman"/>
              </w:rPr>
              <w:t>on marine litter for methodological approach</w:t>
            </w:r>
            <w:r w:rsidR="00CA07C6" w:rsidRPr="00CA07C6">
              <w:rPr>
                <w:rFonts w:ascii="Calibri" w:eastAsia="Calibri" w:hAnsi="Calibri" w:cs="Times New Roman"/>
              </w:rPr>
              <w:t xml:space="preserve"> (</w:t>
            </w:r>
            <w:r w:rsidR="002A3010">
              <w:rPr>
                <w:rFonts w:ascii="Calibri" w:eastAsia="Calibri" w:hAnsi="Calibri" w:cs="Times New Roman"/>
              </w:rPr>
              <w:t xml:space="preserve">if so, </w:t>
            </w:r>
            <w:r w:rsidR="00CA07C6" w:rsidRPr="00CA07C6">
              <w:rPr>
                <w:rFonts w:ascii="Calibri" w:eastAsia="Calibri" w:hAnsi="Calibri" w:cs="Times New Roman"/>
              </w:rPr>
              <w:t>the indicator will also be h</w:t>
            </w:r>
            <w:r>
              <w:rPr>
                <w:rFonts w:ascii="Calibri" w:eastAsia="Calibri" w:hAnsi="Calibri" w:cs="Times New Roman"/>
              </w:rPr>
              <w:t>armonized)</w:t>
            </w:r>
            <w:r w:rsidR="00CA07C6" w:rsidRPr="00CA07C6">
              <w:rPr>
                <w:rFonts w:ascii="Calibri" w:eastAsia="Calibri" w:hAnsi="Calibri" w:cs="Times New Roman"/>
              </w:rPr>
              <w:t>.</w:t>
            </w:r>
          </w:p>
          <w:p w:rsidR="00575DE0" w:rsidRDefault="00575DE0" w:rsidP="00575DE0">
            <w:pPr>
              <w:pStyle w:val="Lijstalinea"/>
              <w:numPr>
                <w:ilvl w:val="0"/>
                <w:numId w:val="26"/>
              </w:numPr>
              <w:rPr>
                <w:rFonts w:ascii="Calibri" w:eastAsia="Calibri" w:hAnsi="Calibri" w:cs="Times New Roman"/>
              </w:rPr>
            </w:pPr>
            <w:r w:rsidRPr="00575DE0">
              <w:rPr>
                <w:rFonts w:ascii="Calibri" w:eastAsia="Calibri" w:hAnsi="Calibri" w:cs="Times New Roman"/>
              </w:rPr>
              <w:t xml:space="preserve">10.1.2: </w:t>
            </w:r>
          </w:p>
          <w:p w:rsidR="00575DE0" w:rsidRPr="00575DE0" w:rsidRDefault="00CA07C6" w:rsidP="00575DE0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CA07C6">
              <w:rPr>
                <w:rFonts w:ascii="Calibri" w:eastAsia="Calibri" w:hAnsi="Calibri" w:cs="Times New Roman"/>
              </w:rPr>
              <w:t xml:space="preserve">Litter in the water </w:t>
            </w:r>
            <w:r w:rsidR="00575DE0" w:rsidRPr="00CA07C6">
              <w:rPr>
                <w:rFonts w:ascii="Calibri" w:eastAsia="Calibri" w:hAnsi="Calibri" w:cs="Times New Roman"/>
              </w:rPr>
              <w:t>colum</w:t>
            </w:r>
            <w:r w:rsidR="00575DE0" w:rsidRPr="00575DE0">
              <w:rPr>
                <w:rFonts w:ascii="Calibri" w:eastAsia="Calibri" w:hAnsi="Calibri" w:cs="Times New Roman"/>
              </w:rPr>
              <w:t>n</w:t>
            </w:r>
            <w:r w:rsidRPr="00CA07C6">
              <w:rPr>
                <w:rFonts w:ascii="Calibri" w:eastAsia="Calibri" w:hAnsi="Calibri" w:cs="Times New Roman"/>
              </w:rPr>
              <w:t xml:space="preserve">: </w:t>
            </w:r>
            <w:r w:rsidR="00575DE0" w:rsidRPr="00575DE0">
              <w:rPr>
                <w:rFonts w:ascii="Calibri" w:eastAsia="Calibri" w:hAnsi="Calibri" w:cs="Times New Roman"/>
              </w:rPr>
              <w:t xml:space="preserve">not yet </w:t>
            </w:r>
            <w:r w:rsidR="003438E2">
              <w:rPr>
                <w:rFonts w:ascii="Calibri" w:eastAsia="Calibri" w:hAnsi="Calibri" w:cs="Times New Roman"/>
              </w:rPr>
              <w:t>being</w:t>
            </w:r>
            <w:r w:rsidR="00575DE0" w:rsidRPr="00575DE0">
              <w:rPr>
                <w:rFonts w:ascii="Calibri" w:eastAsia="Calibri" w:hAnsi="Calibri" w:cs="Times New Roman"/>
              </w:rPr>
              <w:t xml:space="preserve"> addressed </w:t>
            </w:r>
            <w:r w:rsidR="002A3010">
              <w:rPr>
                <w:rFonts w:ascii="Calibri" w:eastAsia="Calibri" w:hAnsi="Calibri" w:cs="Times New Roman"/>
              </w:rPr>
              <w:t>for 1</w:t>
            </w:r>
            <w:r w:rsidR="002A3010" w:rsidRPr="002A3010">
              <w:rPr>
                <w:rFonts w:ascii="Calibri" w:eastAsia="Calibri" w:hAnsi="Calibri" w:cs="Times New Roman"/>
                <w:vertAlign w:val="superscript"/>
              </w:rPr>
              <w:t>st</w:t>
            </w:r>
            <w:r w:rsidR="002A3010">
              <w:rPr>
                <w:rFonts w:ascii="Calibri" w:eastAsia="Calibri" w:hAnsi="Calibri" w:cs="Times New Roman"/>
              </w:rPr>
              <w:t xml:space="preserve"> cycle</w:t>
            </w:r>
          </w:p>
          <w:p w:rsidR="00CA07C6" w:rsidRPr="00575DE0" w:rsidRDefault="00CA07C6" w:rsidP="00575DE0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  <w:lang w:val="nl-BE"/>
              </w:rPr>
            </w:pPr>
            <w:r w:rsidRPr="00575DE0">
              <w:rPr>
                <w:rFonts w:ascii="Calibri" w:eastAsia="Calibri" w:hAnsi="Calibri" w:cs="Times New Roman"/>
              </w:rPr>
              <w:t>Seabed monitoring: F</w:t>
            </w:r>
            <w:r w:rsidR="00575DE0" w:rsidRPr="00575DE0">
              <w:rPr>
                <w:rFonts w:ascii="Calibri" w:eastAsia="Calibri" w:hAnsi="Calibri" w:cs="Times New Roman"/>
              </w:rPr>
              <w:t>ishing for litter?</w:t>
            </w:r>
            <w:r w:rsidRPr="00575DE0">
              <w:rPr>
                <w:rFonts w:ascii="Calibri" w:eastAsia="Calibri" w:hAnsi="Calibri" w:cs="Times New Roman"/>
              </w:rPr>
              <w:t xml:space="preserve"> </w:t>
            </w:r>
            <w:r w:rsidR="00575DE0" w:rsidRPr="00575DE0">
              <w:rPr>
                <w:rFonts w:ascii="Calibri" w:eastAsia="Calibri" w:hAnsi="Calibri" w:cs="Times New Roman"/>
              </w:rPr>
              <w:t xml:space="preserve">To be checked. </w:t>
            </w:r>
          </w:p>
          <w:p w:rsidR="00575DE0" w:rsidRPr="004539E5" w:rsidRDefault="00CA07C6" w:rsidP="00575DE0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CA07C6">
              <w:rPr>
                <w:rFonts w:ascii="Calibri" w:eastAsia="Calibri" w:hAnsi="Calibri" w:cs="Times New Roman"/>
              </w:rPr>
              <w:t>MARELITT</w:t>
            </w:r>
            <w:r w:rsidR="002A3010">
              <w:rPr>
                <w:rFonts w:ascii="Calibri" w:eastAsia="Calibri" w:hAnsi="Calibri" w:cs="Times New Roman"/>
              </w:rPr>
              <w:t xml:space="preserve"> project</w:t>
            </w:r>
            <w:r w:rsidRPr="00CA07C6">
              <w:rPr>
                <w:rFonts w:ascii="Calibri" w:eastAsia="Calibri" w:hAnsi="Calibri" w:cs="Times New Roman"/>
              </w:rPr>
              <w:t xml:space="preserve">: BG </w:t>
            </w:r>
            <w:r w:rsidR="00575DE0" w:rsidRPr="00575DE0">
              <w:rPr>
                <w:rFonts w:ascii="Calibri" w:eastAsia="Calibri" w:hAnsi="Calibri" w:cs="Times New Roman"/>
              </w:rPr>
              <w:t xml:space="preserve">and </w:t>
            </w:r>
            <w:r w:rsidRPr="00CA07C6">
              <w:rPr>
                <w:rFonts w:ascii="Calibri" w:eastAsia="Calibri" w:hAnsi="Calibri" w:cs="Times New Roman"/>
              </w:rPr>
              <w:t xml:space="preserve">RO </w:t>
            </w:r>
            <w:r w:rsidR="00575DE0" w:rsidRPr="00575DE0">
              <w:rPr>
                <w:rFonts w:ascii="Calibri" w:eastAsia="Calibri" w:hAnsi="Calibri" w:cs="Times New Roman"/>
              </w:rPr>
              <w:t xml:space="preserve">are interested to </w:t>
            </w:r>
            <w:r w:rsidR="002A3010">
              <w:rPr>
                <w:rFonts w:ascii="Calibri" w:eastAsia="Calibri" w:hAnsi="Calibri" w:cs="Times New Roman"/>
              </w:rPr>
              <w:t>act</w:t>
            </w:r>
            <w:r w:rsidR="00575DE0" w:rsidRPr="00575DE0">
              <w:rPr>
                <w:rFonts w:ascii="Calibri" w:eastAsia="Calibri" w:hAnsi="Calibri" w:cs="Times New Roman"/>
              </w:rPr>
              <w:t xml:space="preserve"> a</w:t>
            </w:r>
            <w:r w:rsidR="002A3010">
              <w:rPr>
                <w:rFonts w:ascii="Calibri" w:eastAsia="Calibri" w:hAnsi="Calibri" w:cs="Times New Roman"/>
              </w:rPr>
              <w:t>s</w:t>
            </w:r>
            <w:r w:rsidR="00575DE0" w:rsidRPr="00575DE0">
              <w:rPr>
                <w:rFonts w:ascii="Calibri" w:eastAsia="Calibri" w:hAnsi="Calibri" w:cs="Times New Roman"/>
              </w:rPr>
              <w:t xml:space="preserve"> host. </w:t>
            </w:r>
          </w:p>
          <w:p w:rsidR="003438E2" w:rsidRPr="003438E2" w:rsidRDefault="00575DE0" w:rsidP="00CA07C6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</w:rPr>
            </w:pPr>
            <w:r w:rsidRPr="003438E2">
              <w:rPr>
                <w:rFonts w:ascii="Calibri" w:eastAsia="Calibri" w:hAnsi="Calibri" w:cs="Times New Roman"/>
              </w:rPr>
              <w:t xml:space="preserve">10.1.3: </w:t>
            </w:r>
            <w:r w:rsidR="003438E2" w:rsidRPr="003438E2">
              <w:rPr>
                <w:rFonts w:ascii="Calibri" w:eastAsia="Calibri" w:hAnsi="Calibri" w:cs="Times New Roman"/>
              </w:rPr>
              <w:t xml:space="preserve">Not yet </w:t>
            </w:r>
            <w:r w:rsidR="003438E2">
              <w:rPr>
                <w:rFonts w:ascii="Calibri" w:eastAsia="Calibri" w:hAnsi="Calibri" w:cs="Times New Roman"/>
              </w:rPr>
              <w:t>being</w:t>
            </w:r>
            <w:r w:rsidR="003438E2" w:rsidRPr="00575DE0">
              <w:rPr>
                <w:rFonts w:ascii="Calibri" w:eastAsia="Calibri" w:hAnsi="Calibri" w:cs="Times New Roman"/>
              </w:rPr>
              <w:t xml:space="preserve"> addressed</w:t>
            </w:r>
          </w:p>
          <w:p w:rsidR="00CA07C6" w:rsidRPr="00CA07C6" w:rsidRDefault="00CA07C6" w:rsidP="00CA07C6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  <w:lang w:val="nl-BE"/>
              </w:rPr>
            </w:pPr>
            <w:r w:rsidRPr="00CA07C6">
              <w:rPr>
                <w:rFonts w:ascii="Calibri" w:eastAsia="Calibri" w:hAnsi="Calibri" w:cs="Times New Roman"/>
                <w:lang w:val="nl-BE"/>
              </w:rPr>
              <w:t>Impact on marine life:</w:t>
            </w:r>
          </w:p>
          <w:p w:rsidR="003438E2" w:rsidRPr="004539E5" w:rsidRDefault="003438E2" w:rsidP="00CA07C6">
            <w:pPr>
              <w:numPr>
                <w:ilvl w:val="1"/>
                <w:numId w:val="27"/>
              </w:numPr>
              <w:contextualSpacing/>
              <w:rPr>
                <w:rFonts w:ascii="Calibri" w:eastAsia="Calibri" w:hAnsi="Calibri" w:cs="Times New Roman"/>
              </w:rPr>
            </w:pPr>
            <w:r w:rsidRPr="003438E2">
              <w:rPr>
                <w:rFonts w:ascii="Calibri" w:eastAsia="Calibri" w:hAnsi="Calibri" w:cs="Times New Roman"/>
              </w:rPr>
              <w:t xml:space="preserve">Impact on which species? </w:t>
            </w:r>
            <w:r w:rsidRPr="003438E2">
              <w:rPr>
                <w:rFonts w:ascii="Calibri" w:eastAsia="Calibri" w:hAnsi="Calibri" w:cs="Times New Roman"/>
                <w:lang w:val="nl-BE"/>
              </w:rPr>
              <w:sym w:font="Wingdings" w:char="F0E0"/>
            </w:r>
            <w:r w:rsidRPr="003438E2">
              <w:rPr>
                <w:rFonts w:ascii="Calibri" w:eastAsia="Calibri" w:hAnsi="Calibri" w:cs="Times New Roman"/>
              </w:rPr>
              <w:t xml:space="preserve"> RO: Fish. </w:t>
            </w:r>
            <w:r w:rsidRPr="004539E5">
              <w:rPr>
                <w:rFonts w:ascii="Calibri" w:eastAsia="Calibri" w:hAnsi="Calibri" w:cs="Times New Roman"/>
              </w:rPr>
              <w:t xml:space="preserve">BG: Fish, seabirds? </w:t>
            </w:r>
            <w:r w:rsidRPr="003438E2">
              <w:rPr>
                <w:rFonts w:ascii="Calibri" w:eastAsia="Calibri" w:hAnsi="Calibri" w:cs="Times New Roman"/>
                <w:lang w:val="nl-BE"/>
              </w:rPr>
              <w:sym w:font="Wingdings" w:char="F0E0"/>
            </w:r>
            <w:r w:rsidRPr="004539E5">
              <w:rPr>
                <w:rFonts w:ascii="Calibri" w:eastAsia="Calibri" w:hAnsi="Calibri" w:cs="Times New Roman"/>
              </w:rPr>
              <w:t xml:space="preserve"> needs to</w:t>
            </w:r>
            <w:r w:rsidR="002A3010">
              <w:rPr>
                <w:rFonts w:ascii="Calibri" w:eastAsia="Calibri" w:hAnsi="Calibri" w:cs="Times New Roman"/>
              </w:rPr>
              <w:t xml:space="preserve"> </w:t>
            </w:r>
            <w:r w:rsidRPr="004539E5">
              <w:rPr>
                <w:rFonts w:ascii="Calibri" w:eastAsia="Calibri" w:hAnsi="Calibri" w:cs="Times New Roman"/>
              </w:rPr>
              <w:t>b</w:t>
            </w:r>
            <w:r w:rsidR="002A3010">
              <w:rPr>
                <w:rFonts w:ascii="Calibri" w:eastAsia="Calibri" w:hAnsi="Calibri" w:cs="Times New Roman"/>
              </w:rPr>
              <w:t>e agreed (proposal now is to use: fish – which species?)</w:t>
            </w:r>
            <w:r w:rsidRPr="004539E5">
              <w:rPr>
                <w:rFonts w:ascii="Calibri" w:eastAsia="Calibri" w:hAnsi="Calibri" w:cs="Times New Roman"/>
              </w:rPr>
              <w:t xml:space="preserve">  </w:t>
            </w:r>
          </w:p>
          <w:p w:rsidR="00235CC3" w:rsidRPr="002A3010" w:rsidRDefault="003438E2" w:rsidP="005362DA">
            <w:pPr>
              <w:numPr>
                <w:ilvl w:val="1"/>
                <w:numId w:val="27"/>
              </w:numPr>
              <w:contextualSpacing/>
              <w:rPr>
                <w:b/>
              </w:rPr>
            </w:pPr>
            <w:r w:rsidRPr="003438E2">
              <w:rPr>
                <w:rFonts w:ascii="Calibri" w:eastAsia="Calibri" w:hAnsi="Calibri" w:cs="Times New Roman"/>
              </w:rPr>
              <w:t xml:space="preserve">To be discussed with experts when consulting for D1. </w:t>
            </w:r>
          </w:p>
          <w:p w:rsidR="002A3010" w:rsidRPr="00BF53E1" w:rsidRDefault="002A3010" w:rsidP="005362DA">
            <w:pPr>
              <w:numPr>
                <w:ilvl w:val="1"/>
                <w:numId w:val="27"/>
              </w:numPr>
              <w:contextualSpacing/>
              <w:rPr>
                <w:b/>
              </w:rPr>
            </w:pPr>
            <w:r>
              <w:rPr>
                <w:rFonts w:ascii="Calibri" w:eastAsia="Calibri" w:hAnsi="Calibri" w:cs="Times New Roman"/>
              </w:rPr>
              <w:t>Agreement to use t</w:t>
            </w:r>
            <w:r w:rsidRPr="00CA07C6">
              <w:rPr>
                <w:rFonts w:ascii="Calibri" w:eastAsia="Calibri" w:hAnsi="Calibri" w:cs="Times New Roman"/>
              </w:rPr>
              <w:t xml:space="preserve">he </w:t>
            </w:r>
            <w:r>
              <w:rPr>
                <w:rFonts w:ascii="Calibri" w:eastAsia="Calibri" w:hAnsi="Calibri" w:cs="Times New Roman"/>
              </w:rPr>
              <w:t xml:space="preserve">EU </w:t>
            </w:r>
            <w:r w:rsidRPr="00CA07C6">
              <w:rPr>
                <w:rFonts w:ascii="Calibri" w:eastAsia="Calibri" w:hAnsi="Calibri" w:cs="Times New Roman"/>
              </w:rPr>
              <w:t xml:space="preserve">guidance document </w:t>
            </w:r>
            <w:r>
              <w:rPr>
                <w:rFonts w:ascii="Calibri" w:eastAsia="Calibri" w:hAnsi="Calibri" w:cs="Times New Roman"/>
              </w:rPr>
              <w:t>on marine litter for methodological approach</w:t>
            </w:r>
            <w:r w:rsidRPr="00CA07C6">
              <w:rPr>
                <w:rFonts w:ascii="Calibri" w:eastAsia="Calibri" w:hAnsi="Calibri" w:cs="Times New Roman"/>
              </w:rPr>
              <w:t>.</w:t>
            </w:r>
          </w:p>
          <w:p w:rsidR="00BF53E1" w:rsidRPr="003438E2" w:rsidRDefault="00BF53E1" w:rsidP="005362DA">
            <w:pPr>
              <w:numPr>
                <w:ilvl w:val="1"/>
                <w:numId w:val="27"/>
              </w:numPr>
              <w:contextualSpacing/>
              <w:rPr>
                <w:b/>
              </w:rPr>
            </w:pPr>
          </w:p>
          <w:p w:rsidR="00CA07C6" w:rsidRPr="003438E2" w:rsidRDefault="00CA07C6" w:rsidP="005362DA">
            <w:pPr>
              <w:rPr>
                <w:b/>
              </w:rPr>
            </w:pPr>
          </w:p>
          <w:p w:rsidR="00FC3FCD" w:rsidRPr="00F43B9A" w:rsidRDefault="00953491" w:rsidP="005362DA">
            <w:pPr>
              <w:rPr>
                <w:b/>
              </w:rPr>
            </w:pPr>
            <w:r>
              <w:rPr>
                <w:b/>
              </w:rPr>
              <w:t>3</w:t>
            </w:r>
            <w:r w:rsidR="00F43B9A" w:rsidRPr="004539E5">
              <w:rPr>
                <w:b/>
              </w:rPr>
              <w:t xml:space="preserve">. </w:t>
            </w:r>
            <w:r w:rsidR="00763E3B" w:rsidRPr="004539E5">
              <w:rPr>
                <w:b/>
              </w:rPr>
              <w:t>Monitoring fac</w:t>
            </w:r>
            <w:r w:rsidR="00763E3B" w:rsidRPr="00F43B9A">
              <w:rPr>
                <w:b/>
              </w:rPr>
              <w:t>t sheets</w:t>
            </w:r>
            <w:r w:rsidR="00F43B9A" w:rsidRPr="00F43B9A">
              <w:rPr>
                <w:b/>
              </w:rPr>
              <w:t xml:space="preserve"> (MF</w:t>
            </w:r>
            <w:r w:rsidR="00EC3872">
              <w:rPr>
                <w:b/>
              </w:rPr>
              <w:t>S</w:t>
            </w:r>
            <w:r w:rsidR="00F43B9A" w:rsidRPr="00F43B9A">
              <w:rPr>
                <w:b/>
              </w:rPr>
              <w:t>)</w:t>
            </w:r>
          </w:p>
          <w:p w:rsidR="00EC3872" w:rsidRDefault="00F43B9A" w:rsidP="003657F0">
            <w:r w:rsidRPr="00F43B9A">
              <w:lastRenderedPageBreak/>
              <w:t xml:space="preserve">The monitoring fact sheets of </w:t>
            </w:r>
            <w:r w:rsidR="00131F50" w:rsidRPr="00F43B9A">
              <w:t xml:space="preserve">D5 </w:t>
            </w:r>
            <w:r w:rsidRPr="00F43B9A">
              <w:t>and</w:t>
            </w:r>
            <w:r w:rsidR="00131F50" w:rsidRPr="00F43B9A">
              <w:t xml:space="preserve"> D10 </w:t>
            </w:r>
            <w:r w:rsidRPr="00F43B9A">
              <w:t xml:space="preserve">are almost finished. </w:t>
            </w:r>
            <w:r w:rsidR="003657F0">
              <w:t>At the moment it is</w:t>
            </w:r>
            <w:r w:rsidR="00EC3872">
              <w:t xml:space="preserve"> not clearly mentioned in the M</w:t>
            </w:r>
            <w:r w:rsidR="003657F0">
              <w:t>F</w:t>
            </w:r>
            <w:r w:rsidR="00EC3872">
              <w:t>S</w:t>
            </w:r>
            <w:r w:rsidR="003657F0">
              <w:t xml:space="preserve"> of D5 and D10 which specific indicators and parameters that will be addressed by the monitoring. </w:t>
            </w:r>
            <w:r w:rsidR="0017065D">
              <w:t xml:space="preserve">We agreed on underlining the indicator within the targets and to add the parameters between brackets. </w:t>
            </w:r>
            <w:r w:rsidR="003657F0">
              <w:t>This needs to be completed, following the example</w:t>
            </w:r>
            <w:r w:rsidR="00BF53E1">
              <w:t>s below</w:t>
            </w:r>
            <w:r w:rsidR="003657F0">
              <w:t>.</w:t>
            </w:r>
          </w:p>
          <w:p w:rsidR="00BF53E1" w:rsidRDefault="003657F0" w:rsidP="00BF53E1">
            <w:r>
              <w:t xml:space="preserve"> </w:t>
            </w:r>
            <w:r w:rsidR="00BF53E1">
              <w:t>Example 1:</w:t>
            </w:r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>Target: 5.1.1. The 75th percentile of seasonal concentrations of nutrients are within the threshold values indicative of GES, according to the relevant national legislation, by 2020</w:t>
            </w:r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 xml:space="preserve">Associated Indicator: seasonal concentrations of nutrients (PO4, TP, </w:t>
            </w:r>
            <w:proofErr w:type="spellStart"/>
            <w:r>
              <w:t>NOx</w:t>
            </w:r>
            <w:proofErr w:type="spellEnd"/>
            <w:r>
              <w:t>, NH4, TN, SiO4)</w:t>
            </w:r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 xml:space="preserve">Parameter: PO4, TP, </w:t>
            </w:r>
            <w:proofErr w:type="spellStart"/>
            <w:r>
              <w:t>NOx</w:t>
            </w:r>
            <w:proofErr w:type="spellEnd"/>
            <w:r>
              <w:t>, NH4, TN, SiO4</w:t>
            </w:r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>How to report within MFS under 2.4 Targets</w:t>
            </w:r>
          </w:p>
          <w:p w:rsidR="00BF53E1" w:rsidRDefault="00BF53E1" w:rsidP="0017065D">
            <w:pPr>
              <w:pStyle w:val="Lijstalinea"/>
              <w:ind w:left="1785"/>
            </w:pPr>
            <w:r>
              <w:t xml:space="preserve">5.1.1. The 75th percentile of </w:t>
            </w:r>
            <w:r w:rsidRPr="0017065D">
              <w:rPr>
                <w:u w:val="single"/>
              </w:rPr>
              <w:t>seasonal concentrations of nutrients</w:t>
            </w:r>
            <w:r>
              <w:t xml:space="preserve"> are within the threshold values indicative of GES, according to the relevant national legislation, by 2020 (parameters: PO4, TP, </w:t>
            </w:r>
            <w:proofErr w:type="spellStart"/>
            <w:r>
              <w:t>NOx</w:t>
            </w:r>
            <w:proofErr w:type="spellEnd"/>
            <w:r>
              <w:t>, NH4, TN, SiO4)</w:t>
            </w:r>
          </w:p>
          <w:p w:rsidR="00BF53E1" w:rsidRDefault="00BF53E1" w:rsidP="0017065D">
            <w:r>
              <w:t>Example 2</w:t>
            </w:r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 xml:space="preserve">Target: 1.1.1 Maintaining a stable distribution area for </w:t>
            </w:r>
            <w:proofErr w:type="spellStart"/>
            <w:r>
              <w:t>Cystoseira</w:t>
            </w:r>
            <w:proofErr w:type="spellEnd"/>
            <w:r>
              <w:t xml:space="preserve"> </w:t>
            </w:r>
            <w:proofErr w:type="spellStart"/>
            <w:r>
              <w:t>barbata</w:t>
            </w:r>
            <w:proofErr w:type="spellEnd"/>
            <w:r>
              <w:t xml:space="preserve"> community.</w:t>
            </w:r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 xml:space="preserve">Associated Indicator  = Distribution area of </w:t>
            </w:r>
            <w:proofErr w:type="spellStart"/>
            <w:r>
              <w:t>Cystoseira</w:t>
            </w:r>
            <w:proofErr w:type="spellEnd"/>
            <w:r>
              <w:t xml:space="preserve"> </w:t>
            </w:r>
            <w:proofErr w:type="spellStart"/>
            <w:r>
              <w:t>barbata</w:t>
            </w:r>
            <w:proofErr w:type="spellEnd"/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 xml:space="preserve">Parameter = </w:t>
            </w:r>
            <w:proofErr w:type="spellStart"/>
            <w:r>
              <w:t>Cystoseira</w:t>
            </w:r>
            <w:proofErr w:type="spellEnd"/>
            <w:r>
              <w:t xml:space="preserve"> </w:t>
            </w:r>
            <w:proofErr w:type="spellStart"/>
            <w:r>
              <w:t>barbata</w:t>
            </w:r>
            <w:proofErr w:type="spellEnd"/>
          </w:p>
          <w:p w:rsidR="00BF53E1" w:rsidRDefault="00BF53E1" w:rsidP="00BF53E1">
            <w:pPr>
              <w:pStyle w:val="Lijstalinea"/>
              <w:numPr>
                <w:ilvl w:val="0"/>
                <w:numId w:val="28"/>
              </w:numPr>
            </w:pPr>
            <w:r>
              <w:t>How to report within MFS under 2.4 Targets</w:t>
            </w:r>
          </w:p>
          <w:p w:rsidR="00BF53E1" w:rsidRDefault="00BF53E1" w:rsidP="00BF53E1">
            <w:pPr>
              <w:pStyle w:val="Lijstalinea"/>
              <w:numPr>
                <w:ilvl w:val="1"/>
                <w:numId w:val="28"/>
              </w:numPr>
            </w:pPr>
            <w:r>
              <w:t xml:space="preserve">1.1.1. Maintaining a stable </w:t>
            </w:r>
            <w:r w:rsidRPr="0017065D">
              <w:rPr>
                <w:u w:val="single"/>
              </w:rPr>
              <w:t xml:space="preserve">distribution area for </w:t>
            </w:r>
            <w:proofErr w:type="spellStart"/>
            <w:r w:rsidRPr="0017065D">
              <w:rPr>
                <w:u w:val="single"/>
              </w:rPr>
              <w:t>Cystoseira</w:t>
            </w:r>
            <w:proofErr w:type="spellEnd"/>
            <w:r w:rsidRPr="0017065D">
              <w:rPr>
                <w:u w:val="single"/>
              </w:rPr>
              <w:t xml:space="preserve"> </w:t>
            </w:r>
            <w:proofErr w:type="spellStart"/>
            <w:r w:rsidRPr="0017065D">
              <w:rPr>
                <w:u w:val="single"/>
              </w:rPr>
              <w:t>barbata</w:t>
            </w:r>
            <w:proofErr w:type="spellEnd"/>
            <w:r w:rsidRPr="0017065D">
              <w:rPr>
                <w:u w:val="single"/>
              </w:rPr>
              <w:t xml:space="preserve"> community</w:t>
            </w:r>
            <w:r>
              <w:t xml:space="preserve">. (parameters: </w:t>
            </w:r>
            <w:proofErr w:type="spellStart"/>
            <w:r>
              <w:t>Cystoseira</w:t>
            </w:r>
            <w:proofErr w:type="spellEnd"/>
            <w:r>
              <w:t xml:space="preserve"> </w:t>
            </w:r>
            <w:proofErr w:type="spellStart"/>
            <w:r>
              <w:t>barbata</w:t>
            </w:r>
            <w:proofErr w:type="spellEnd"/>
            <w:r>
              <w:t>)</w:t>
            </w:r>
          </w:p>
          <w:p w:rsidR="003657F0" w:rsidRDefault="003657F0" w:rsidP="003657F0"/>
          <w:p w:rsidR="00F43B9A" w:rsidRDefault="00F43B9A" w:rsidP="00131F50">
            <w:r>
              <w:t>The drafting of the MSF of the other descriptors needs to be continued urgently.</w:t>
            </w:r>
          </w:p>
          <w:p w:rsidR="007954BC" w:rsidRDefault="007954BC" w:rsidP="00131F50"/>
          <w:p w:rsidR="00F43B9A" w:rsidRDefault="00F43B9A" w:rsidP="00131F50">
            <w:r>
              <w:t>It is recognized that it is important to have enough i</w:t>
            </w:r>
            <w:r w:rsidR="00953491">
              <w:t>nput</w:t>
            </w:r>
            <w:r>
              <w:t xml:space="preserve"> from all relevant experts in drafting the MSF. It is advised to consult experts in smaller groups, in </w:t>
            </w:r>
            <w:r w:rsidR="0017065D">
              <w:t xml:space="preserve">unilateral </w:t>
            </w:r>
            <w:r>
              <w:t>meeting</w:t>
            </w:r>
            <w:r w:rsidR="0017065D">
              <w:t xml:space="preserve"> (in BG or in RO)</w:t>
            </w:r>
            <w:r>
              <w:t xml:space="preserve"> that are only dedicated to their specific e</w:t>
            </w:r>
            <w:r w:rsidR="0017065D">
              <w:t>xpertise to prepare the draft MFS, which can then be further discussed in bilateral meetings between BG &amp; RO.</w:t>
            </w:r>
          </w:p>
          <w:p w:rsidR="007954BC" w:rsidRPr="00F43B9A" w:rsidRDefault="007954BC" w:rsidP="00131F50"/>
          <w:p w:rsidR="007B5EE7" w:rsidRDefault="00F43B9A" w:rsidP="00131F50">
            <w:r>
              <w:t xml:space="preserve">It is </w:t>
            </w:r>
            <w:r w:rsidR="003657F0">
              <w:t xml:space="preserve">recognized that it is </w:t>
            </w:r>
            <w:r>
              <w:t>important to have at least a draft version of the MSF</w:t>
            </w:r>
            <w:r w:rsidRPr="00F43B9A">
              <w:t xml:space="preserve"> </w:t>
            </w:r>
            <w:r>
              <w:t xml:space="preserve">on </w:t>
            </w:r>
            <w:r w:rsidRPr="00F43B9A">
              <w:t>D1, D4, D6, D3</w:t>
            </w:r>
            <w:r>
              <w:t xml:space="preserve"> before the </w:t>
            </w:r>
            <w:r w:rsidRPr="00F43B9A">
              <w:t xml:space="preserve">meetings with ICES in April </w:t>
            </w:r>
            <w:r>
              <w:t>take place, and to send these draft sheets  to ICES in advance.</w:t>
            </w:r>
          </w:p>
          <w:p w:rsidR="00763E3B" w:rsidRDefault="007B5EE7" w:rsidP="00131F50">
            <w:r>
              <w:t xml:space="preserve">Due to time constraints focus should first go to completing priority fields when preparing draft MFS, that have the highest added value to be discussed with the relevant experts. </w:t>
            </w:r>
            <w:r w:rsidR="00953491">
              <w:t xml:space="preserve">There is also some room to streamline the completion of the MFS between BG &amp; RO (e.g. by structuring some answers/ predefined structures, agreed formulation of targets). </w:t>
            </w:r>
            <w:r>
              <w:t>COWI will be asked to coordinate this process further.</w:t>
            </w:r>
            <w:r w:rsidR="00F43B9A">
              <w:t xml:space="preserve"> </w:t>
            </w:r>
          </w:p>
          <w:p w:rsidR="007954BC" w:rsidRDefault="007954BC" w:rsidP="00131F50"/>
          <w:p w:rsidR="007954BC" w:rsidRDefault="007954BC" w:rsidP="00131F50">
            <w:r>
              <w:t>It is recognized that the timetable of completing the monitoring fact sheets is very ambi</w:t>
            </w:r>
            <w:bookmarkStart w:id="0" w:name="_GoBack"/>
            <w:bookmarkEnd w:id="0"/>
            <w:r>
              <w:t xml:space="preserve">tious, but is necessary to be able to meet the deadline for reporting the monitoring </w:t>
            </w:r>
            <w:proofErr w:type="spellStart"/>
            <w:r>
              <w:t>programmes</w:t>
            </w:r>
            <w:proofErr w:type="spellEnd"/>
            <w:r>
              <w:t xml:space="preserve"> (15/10/2014). It has been agreed to follow a conservative approach and stick to the reporting and consultation timetable agreed by the NFCP and PTE (attached). Flexibility will be built in later, to the extent possible (</w:t>
            </w:r>
            <w:proofErr w:type="spellStart"/>
            <w:r>
              <w:t>eg</w:t>
            </w:r>
            <w:proofErr w:type="spellEnd"/>
            <w:r>
              <w:t xml:space="preserve">. Starting with translation of the </w:t>
            </w:r>
            <w:proofErr w:type="spellStart"/>
            <w:r>
              <w:t>programme</w:t>
            </w:r>
            <w:proofErr w:type="spellEnd"/>
            <w:r>
              <w:t xml:space="preserve"> MFS completed </w:t>
            </w:r>
            <w:r>
              <w:lastRenderedPageBreak/>
              <w:t xml:space="preserve">by </w:t>
            </w:r>
            <w:r w:rsidR="00430DBB">
              <w:t>15/05/2014, but giving room for delivering a limited number (max. 3) of MFS two weeks later).</w:t>
            </w:r>
          </w:p>
          <w:p w:rsidR="005362DA" w:rsidRDefault="005362DA" w:rsidP="005362DA"/>
        </w:tc>
      </w:tr>
      <w:tr w:rsidR="00FC3FCD" w:rsidTr="004E3003">
        <w:tc>
          <w:tcPr>
            <w:tcW w:w="1937" w:type="dxa"/>
          </w:tcPr>
          <w:p w:rsidR="00FC3FCD" w:rsidRPr="00F95EB0" w:rsidRDefault="00FC3FCD" w:rsidP="00467902">
            <w:pPr>
              <w:rPr>
                <w:b/>
              </w:rPr>
            </w:pPr>
            <w:r w:rsidRPr="00F95EB0">
              <w:rPr>
                <w:b/>
              </w:rPr>
              <w:lastRenderedPageBreak/>
              <w:t>Actions</w:t>
            </w:r>
          </w:p>
        </w:tc>
        <w:tc>
          <w:tcPr>
            <w:tcW w:w="2060" w:type="dxa"/>
            <w:shd w:val="clear" w:color="auto" w:fill="4F81BD" w:themeFill="accent1"/>
          </w:tcPr>
          <w:p w:rsidR="00FC3FCD" w:rsidRPr="004E3003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4E3003">
              <w:rPr>
                <w:color w:val="FFFFFF" w:themeColor="background1"/>
              </w:rPr>
              <w:t>WHO</w:t>
            </w:r>
          </w:p>
        </w:tc>
        <w:tc>
          <w:tcPr>
            <w:tcW w:w="2869" w:type="dxa"/>
            <w:shd w:val="clear" w:color="auto" w:fill="4F81BD" w:themeFill="accent1"/>
          </w:tcPr>
          <w:p w:rsidR="00FC3FCD" w:rsidRPr="004E3003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4E3003">
              <w:rPr>
                <w:color w:val="FFFFFF" w:themeColor="background1"/>
              </w:rPr>
              <w:t>WHAT</w:t>
            </w:r>
          </w:p>
        </w:tc>
        <w:tc>
          <w:tcPr>
            <w:tcW w:w="2422" w:type="dxa"/>
            <w:shd w:val="clear" w:color="auto" w:fill="4F81BD" w:themeFill="accent1"/>
          </w:tcPr>
          <w:p w:rsidR="00FC3FCD" w:rsidRPr="004E3003" w:rsidRDefault="00FC3FCD" w:rsidP="00467902">
            <w:pPr>
              <w:tabs>
                <w:tab w:val="left" w:pos="1365"/>
              </w:tabs>
              <w:rPr>
                <w:color w:val="FFFFFF" w:themeColor="background1"/>
              </w:rPr>
            </w:pPr>
            <w:r w:rsidRPr="004E3003">
              <w:rPr>
                <w:color w:val="FFFFFF" w:themeColor="background1"/>
              </w:rPr>
              <w:t>BY WHEN</w:t>
            </w:r>
          </w:p>
        </w:tc>
      </w:tr>
      <w:tr w:rsidR="00B6376B" w:rsidTr="004E3003">
        <w:tc>
          <w:tcPr>
            <w:tcW w:w="1937" w:type="dxa"/>
          </w:tcPr>
          <w:p w:rsidR="00B6376B" w:rsidRPr="00F95EB0" w:rsidRDefault="00B6376B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B6376B" w:rsidRDefault="00B0487F" w:rsidP="00467902">
            <w:pPr>
              <w:tabs>
                <w:tab w:val="left" w:pos="1365"/>
              </w:tabs>
            </w:pPr>
            <w:r>
              <w:t xml:space="preserve">ARCADIS </w:t>
            </w:r>
          </w:p>
        </w:tc>
        <w:tc>
          <w:tcPr>
            <w:tcW w:w="2869" w:type="dxa"/>
          </w:tcPr>
          <w:p w:rsidR="00B6376B" w:rsidRDefault="00B0487F" w:rsidP="00B0487F">
            <w:pPr>
              <w:tabs>
                <w:tab w:val="left" w:pos="1365"/>
              </w:tabs>
            </w:pPr>
            <w:r>
              <w:t xml:space="preserve">Review timetable </w:t>
            </w:r>
            <w:r w:rsidRPr="00B0487F">
              <w:t>consultation &amp; reporting process MFS</w:t>
            </w:r>
          </w:p>
        </w:tc>
        <w:tc>
          <w:tcPr>
            <w:tcW w:w="2422" w:type="dxa"/>
          </w:tcPr>
          <w:p w:rsidR="00B6376B" w:rsidRDefault="00B0487F" w:rsidP="00753BF9">
            <w:pPr>
              <w:tabs>
                <w:tab w:val="left" w:pos="1365"/>
              </w:tabs>
            </w:pPr>
            <w:r>
              <w:t>31/03/2014</w:t>
            </w:r>
          </w:p>
        </w:tc>
      </w:tr>
      <w:tr w:rsidR="006832D9" w:rsidTr="004E3003">
        <w:tc>
          <w:tcPr>
            <w:tcW w:w="1937" w:type="dxa"/>
          </w:tcPr>
          <w:p w:rsidR="006832D9" w:rsidRPr="00F95EB0" w:rsidRDefault="006832D9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6832D9" w:rsidRDefault="007B5EE7" w:rsidP="00467902">
            <w:pPr>
              <w:tabs>
                <w:tab w:val="left" w:pos="1365"/>
              </w:tabs>
            </w:pPr>
            <w:r>
              <w:t>ARCADIS/COWI</w:t>
            </w:r>
          </w:p>
        </w:tc>
        <w:tc>
          <w:tcPr>
            <w:tcW w:w="2869" w:type="dxa"/>
          </w:tcPr>
          <w:p w:rsidR="006832D9" w:rsidRDefault="006832D9" w:rsidP="007B5EE7">
            <w:pPr>
              <w:tabs>
                <w:tab w:val="left" w:pos="1365"/>
              </w:tabs>
            </w:pPr>
            <w:r>
              <w:t>Example of adjustment of MF</w:t>
            </w:r>
            <w:r w:rsidR="007B5EE7">
              <w:t>S + indicating priority fields</w:t>
            </w:r>
            <w:r>
              <w:t xml:space="preserve">  </w:t>
            </w:r>
          </w:p>
        </w:tc>
        <w:tc>
          <w:tcPr>
            <w:tcW w:w="2422" w:type="dxa"/>
          </w:tcPr>
          <w:p w:rsidR="006832D9" w:rsidRDefault="007B5EE7" w:rsidP="00753BF9">
            <w:pPr>
              <w:tabs>
                <w:tab w:val="left" w:pos="1365"/>
              </w:tabs>
            </w:pPr>
            <w:r>
              <w:t>07/04/4014</w:t>
            </w:r>
          </w:p>
        </w:tc>
      </w:tr>
      <w:tr w:rsidR="000D00FC" w:rsidTr="004E3003">
        <w:tc>
          <w:tcPr>
            <w:tcW w:w="1937" w:type="dxa"/>
          </w:tcPr>
          <w:p w:rsidR="000D00FC" w:rsidRPr="00F95EB0" w:rsidRDefault="000D00F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0D00FC" w:rsidRDefault="000D00FC" w:rsidP="00467902">
            <w:pPr>
              <w:tabs>
                <w:tab w:val="left" w:pos="1365"/>
              </w:tabs>
            </w:pPr>
            <w:r>
              <w:t>COWI</w:t>
            </w:r>
          </w:p>
        </w:tc>
        <w:tc>
          <w:tcPr>
            <w:tcW w:w="2869" w:type="dxa"/>
          </w:tcPr>
          <w:p w:rsidR="007954BC" w:rsidRDefault="000D00FC" w:rsidP="007954BC">
            <w:pPr>
              <w:tabs>
                <w:tab w:val="left" w:pos="1365"/>
              </w:tabs>
            </w:pPr>
            <w:r>
              <w:t xml:space="preserve">Revised </w:t>
            </w:r>
            <w:proofErr w:type="spellStart"/>
            <w:r>
              <w:t>subprogramme</w:t>
            </w:r>
            <w:proofErr w:type="spellEnd"/>
            <w:r>
              <w:t xml:space="preserve"> MFS</w:t>
            </w:r>
            <w:r w:rsidR="007954BC">
              <w:t xml:space="preserve"> / activities MFS</w:t>
            </w:r>
          </w:p>
        </w:tc>
        <w:tc>
          <w:tcPr>
            <w:tcW w:w="2422" w:type="dxa"/>
          </w:tcPr>
          <w:p w:rsidR="000D00FC" w:rsidRDefault="000D00FC" w:rsidP="00753BF9">
            <w:pPr>
              <w:tabs>
                <w:tab w:val="left" w:pos="1365"/>
              </w:tabs>
            </w:pPr>
            <w:r>
              <w:t>07/04/2014</w:t>
            </w:r>
          </w:p>
        </w:tc>
      </w:tr>
      <w:tr w:rsidR="00B6376B" w:rsidTr="004E3003">
        <w:tc>
          <w:tcPr>
            <w:tcW w:w="1937" w:type="dxa"/>
          </w:tcPr>
          <w:p w:rsidR="00B6376B" w:rsidRPr="00F95EB0" w:rsidRDefault="00B6376B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B6376B" w:rsidRPr="000D07BB" w:rsidRDefault="007B5EE7" w:rsidP="00467902">
            <w:pPr>
              <w:tabs>
                <w:tab w:val="left" w:pos="1365"/>
              </w:tabs>
            </w:pPr>
            <w:r w:rsidRPr="000D07BB">
              <w:t>NFCP</w:t>
            </w:r>
          </w:p>
        </w:tc>
        <w:tc>
          <w:tcPr>
            <w:tcW w:w="2869" w:type="dxa"/>
          </w:tcPr>
          <w:p w:rsidR="00B6376B" w:rsidRDefault="00B0487F" w:rsidP="007B5EE7">
            <w:pPr>
              <w:tabs>
                <w:tab w:val="left" w:pos="1365"/>
              </w:tabs>
            </w:pPr>
            <w:r>
              <w:t xml:space="preserve">Sending </w:t>
            </w:r>
            <w:r w:rsidR="007B5EE7">
              <w:t xml:space="preserve"> available</w:t>
            </w:r>
            <w:r>
              <w:t xml:space="preserve"> reviewed report on GES and targets to ARCADIS</w:t>
            </w:r>
            <w:r w:rsidR="000D07BB">
              <w:t xml:space="preserve"> (if available)</w:t>
            </w:r>
          </w:p>
        </w:tc>
        <w:tc>
          <w:tcPr>
            <w:tcW w:w="2422" w:type="dxa"/>
          </w:tcPr>
          <w:p w:rsidR="00B6376B" w:rsidRDefault="007B5EE7" w:rsidP="000D07BB">
            <w:pPr>
              <w:tabs>
                <w:tab w:val="left" w:pos="1365"/>
              </w:tabs>
            </w:pPr>
            <w:r>
              <w:t>0</w:t>
            </w:r>
            <w:r w:rsidR="000D07BB">
              <w:t>7</w:t>
            </w:r>
            <w:r>
              <w:t>/04/2014</w:t>
            </w:r>
          </w:p>
        </w:tc>
      </w:tr>
      <w:tr w:rsidR="00CE6FAA" w:rsidTr="004E3003">
        <w:tc>
          <w:tcPr>
            <w:tcW w:w="1937" w:type="dxa"/>
          </w:tcPr>
          <w:p w:rsidR="00CE6FAA" w:rsidRPr="00F95EB0" w:rsidRDefault="00CE6FAA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CE6FAA" w:rsidRPr="000D07BB" w:rsidRDefault="007954BC" w:rsidP="00DD0B57">
            <w:pPr>
              <w:tabs>
                <w:tab w:val="left" w:pos="1365"/>
              </w:tabs>
            </w:pPr>
            <w:r>
              <w:t xml:space="preserve">Dan, </w:t>
            </w:r>
            <w:proofErr w:type="spellStart"/>
            <w:r>
              <w:t>Vio</w:t>
            </w:r>
            <w:proofErr w:type="spellEnd"/>
          </w:p>
        </w:tc>
        <w:tc>
          <w:tcPr>
            <w:tcW w:w="2869" w:type="dxa"/>
          </w:tcPr>
          <w:p w:rsidR="00CE6FAA" w:rsidRPr="004E3003" w:rsidRDefault="007B5EE7" w:rsidP="007B5EE7">
            <w:pPr>
              <w:tabs>
                <w:tab w:val="left" w:pos="1365"/>
              </w:tabs>
            </w:pPr>
            <w:r>
              <w:t>Reformulation of</w:t>
            </w:r>
            <w:r w:rsidR="00CE6FAA">
              <w:t xml:space="preserve"> common indicators in the monitoring fact sheets </w:t>
            </w:r>
            <w:r>
              <w:t>D5 &amp; D10 + revision of GES/targets</w:t>
            </w:r>
          </w:p>
        </w:tc>
        <w:tc>
          <w:tcPr>
            <w:tcW w:w="2422" w:type="dxa"/>
          </w:tcPr>
          <w:p w:rsidR="00CE6FAA" w:rsidRDefault="007B5EE7" w:rsidP="000D07BB">
            <w:pPr>
              <w:tabs>
                <w:tab w:val="left" w:pos="1365"/>
              </w:tabs>
            </w:pPr>
            <w:r>
              <w:t>0</w:t>
            </w:r>
            <w:r w:rsidR="000D07BB">
              <w:t>7</w:t>
            </w:r>
            <w:r>
              <w:t>/04/4014</w:t>
            </w:r>
          </w:p>
        </w:tc>
      </w:tr>
      <w:tr w:rsidR="006832D9" w:rsidTr="004E3003">
        <w:tc>
          <w:tcPr>
            <w:tcW w:w="1937" w:type="dxa"/>
          </w:tcPr>
          <w:p w:rsidR="006832D9" w:rsidRPr="00F95EB0" w:rsidRDefault="006832D9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6832D9" w:rsidRPr="000D07BB" w:rsidRDefault="007954BC" w:rsidP="004B6803">
            <w:pPr>
              <w:tabs>
                <w:tab w:val="left" w:pos="1365"/>
              </w:tabs>
            </w:pPr>
            <w:r w:rsidRPr="007954BC">
              <w:t>Dan, Violin, local experts, NFCP</w:t>
            </w:r>
          </w:p>
        </w:tc>
        <w:tc>
          <w:tcPr>
            <w:tcW w:w="2869" w:type="dxa"/>
          </w:tcPr>
          <w:p w:rsidR="006832D9" w:rsidRDefault="006832D9" w:rsidP="004B6803">
            <w:pPr>
              <w:tabs>
                <w:tab w:val="left" w:pos="1365"/>
              </w:tabs>
            </w:pPr>
            <w:r>
              <w:t>Further discussion on potential common indicators to make them common</w:t>
            </w:r>
            <w:r w:rsidR="007B5EE7">
              <w:t xml:space="preserve"> for D1/4/6 and D3 as a preparation to CBE integrated monitoring ICES</w:t>
            </w:r>
          </w:p>
        </w:tc>
        <w:tc>
          <w:tcPr>
            <w:tcW w:w="2422" w:type="dxa"/>
          </w:tcPr>
          <w:p w:rsidR="006832D9" w:rsidRDefault="000D07BB" w:rsidP="00467902">
            <w:pPr>
              <w:tabs>
                <w:tab w:val="left" w:pos="1365"/>
              </w:tabs>
            </w:pPr>
            <w:r>
              <w:t>07</w:t>
            </w:r>
            <w:r w:rsidR="007B5EE7">
              <w:t>/04/4014</w:t>
            </w:r>
          </w:p>
        </w:tc>
      </w:tr>
      <w:tr w:rsid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B5668">
            <w:pPr>
              <w:tabs>
                <w:tab w:val="left" w:pos="1365"/>
              </w:tabs>
            </w:pPr>
            <w:r w:rsidRPr="007954BC">
              <w:t>Dan, Violin, local experts, NFCP</w:t>
            </w:r>
          </w:p>
        </w:tc>
        <w:tc>
          <w:tcPr>
            <w:tcW w:w="2869" w:type="dxa"/>
          </w:tcPr>
          <w:p w:rsidR="007954BC" w:rsidRDefault="007954BC" w:rsidP="007B5668">
            <w:pPr>
              <w:tabs>
                <w:tab w:val="left" w:pos="1365"/>
              </w:tabs>
            </w:pPr>
            <w:r>
              <w:t xml:space="preserve">Drafting the </w:t>
            </w:r>
            <w:proofErr w:type="spellStart"/>
            <w:r>
              <w:t>programme</w:t>
            </w:r>
            <w:proofErr w:type="spellEnd"/>
            <w:r>
              <w:t xml:space="preserve"> MFS for D1, (D4, D6) and D3 (focus on priority fields). To be sent to ICES in advance of the meeting</w:t>
            </w:r>
          </w:p>
        </w:tc>
        <w:tc>
          <w:tcPr>
            <w:tcW w:w="2422" w:type="dxa"/>
          </w:tcPr>
          <w:p w:rsidR="007954BC" w:rsidRDefault="007954BC" w:rsidP="007B5668">
            <w:pPr>
              <w:tabs>
                <w:tab w:val="left" w:pos="1365"/>
              </w:tabs>
            </w:pPr>
            <w:r>
              <w:t>09/04/2014</w:t>
            </w:r>
          </w:p>
        </w:tc>
      </w:tr>
      <w:tr w:rsid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954BC">
            <w:pPr>
              <w:tabs>
                <w:tab w:val="left" w:pos="1365"/>
              </w:tabs>
            </w:pPr>
            <w:r w:rsidRPr="007954BC">
              <w:t>Dan, Violin</w:t>
            </w:r>
            <w:r>
              <w:t>, NFCP</w:t>
            </w:r>
          </w:p>
        </w:tc>
        <w:tc>
          <w:tcPr>
            <w:tcW w:w="2869" w:type="dxa"/>
          </w:tcPr>
          <w:p w:rsidR="007954BC" w:rsidRPr="00B6376B" w:rsidRDefault="007954BC" w:rsidP="000D00FC">
            <w:r>
              <w:rPr>
                <w:rFonts w:ascii="Calibri" w:hAnsi="Calibri" w:cs="Calibri"/>
                <w:color w:val="000000"/>
              </w:rPr>
              <w:t xml:space="preserve">Completion of the final </w:t>
            </w:r>
            <w:proofErr w:type="spellStart"/>
            <w:r>
              <w:rPr>
                <w:rFonts w:ascii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MFS for D5 and D10 (final revision) incl. agreed formulation on target (underlining indicator + parameters within brackets)</w:t>
            </w:r>
          </w:p>
        </w:tc>
        <w:tc>
          <w:tcPr>
            <w:tcW w:w="2422" w:type="dxa"/>
          </w:tcPr>
          <w:p w:rsidR="007954BC" w:rsidRDefault="007954BC" w:rsidP="000D00FC">
            <w:pPr>
              <w:tabs>
                <w:tab w:val="left" w:pos="1365"/>
              </w:tabs>
            </w:pPr>
            <w:r>
              <w:t>15/04/2014</w:t>
            </w:r>
          </w:p>
        </w:tc>
      </w:tr>
      <w:tr w:rsid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B5668">
            <w:pPr>
              <w:tabs>
                <w:tab w:val="left" w:pos="1365"/>
              </w:tabs>
            </w:pPr>
            <w:r w:rsidRPr="007954BC">
              <w:t>Dan, Violin, local experts, NFCP</w:t>
            </w:r>
          </w:p>
        </w:tc>
        <w:tc>
          <w:tcPr>
            <w:tcW w:w="2869" w:type="dxa"/>
          </w:tcPr>
          <w:p w:rsidR="007954BC" w:rsidRPr="000709AE" w:rsidRDefault="007954BC" w:rsidP="000D07BB">
            <w:pPr>
              <w:tabs>
                <w:tab w:val="left" w:pos="1365"/>
              </w:tabs>
            </w:pPr>
            <w:r>
              <w:t xml:space="preserve">First draft </w:t>
            </w:r>
            <w:proofErr w:type="spellStart"/>
            <w:r>
              <w:t>programme</w:t>
            </w:r>
            <w:proofErr w:type="spellEnd"/>
            <w:r>
              <w:t xml:space="preserve"> MFS remaining descriptors (priority fields)</w:t>
            </w:r>
          </w:p>
        </w:tc>
        <w:tc>
          <w:tcPr>
            <w:tcW w:w="2422" w:type="dxa"/>
          </w:tcPr>
          <w:p w:rsidR="007954BC" w:rsidRDefault="007954BC" w:rsidP="000D07BB">
            <w:pPr>
              <w:tabs>
                <w:tab w:val="left" w:pos="1365"/>
              </w:tabs>
            </w:pPr>
            <w:r>
              <w:t>25/04/2014</w:t>
            </w:r>
          </w:p>
          <w:p w:rsidR="007954BC" w:rsidRDefault="007954BC" w:rsidP="00753BF9">
            <w:pPr>
              <w:tabs>
                <w:tab w:val="left" w:pos="1365"/>
              </w:tabs>
            </w:pPr>
          </w:p>
        </w:tc>
      </w:tr>
      <w:tr w:rsid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B5668">
            <w:pPr>
              <w:tabs>
                <w:tab w:val="left" w:pos="1365"/>
              </w:tabs>
            </w:pPr>
            <w:r w:rsidRPr="007954BC">
              <w:t>Dan, Violin, local experts, NFCP</w:t>
            </w:r>
          </w:p>
        </w:tc>
        <w:tc>
          <w:tcPr>
            <w:tcW w:w="2869" w:type="dxa"/>
          </w:tcPr>
          <w:p w:rsidR="007954BC" w:rsidRPr="004E3003" w:rsidRDefault="007954BC" w:rsidP="000D07BB">
            <w:pPr>
              <w:tabs>
                <w:tab w:val="left" w:pos="1365"/>
              </w:tabs>
            </w:pPr>
            <w:r>
              <w:t xml:space="preserve">Second draft </w:t>
            </w:r>
            <w:proofErr w:type="spellStart"/>
            <w:r>
              <w:t>programme</w:t>
            </w:r>
            <w:proofErr w:type="spellEnd"/>
            <w:r>
              <w:t xml:space="preserve"> MFS remaining descriptors </w:t>
            </w:r>
          </w:p>
        </w:tc>
        <w:tc>
          <w:tcPr>
            <w:tcW w:w="2422" w:type="dxa"/>
          </w:tcPr>
          <w:p w:rsidR="007954BC" w:rsidRDefault="007954BC" w:rsidP="000D07BB">
            <w:pPr>
              <w:tabs>
                <w:tab w:val="left" w:pos="1365"/>
              </w:tabs>
            </w:pPr>
            <w:r>
              <w:t>09/05/2014</w:t>
            </w:r>
          </w:p>
          <w:p w:rsidR="007954BC" w:rsidRDefault="007954BC" w:rsidP="00467902">
            <w:pPr>
              <w:tabs>
                <w:tab w:val="left" w:pos="1365"/>
              </w:tabs>
            </w:pPr>
          </w:p>
        </w:tc>
      </w:tr>
      <w:tr w:rsid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B5668">
            <w:pPr>
              <w:tabs>
                <w:tab w:val="left" w:pos="1365"/>
              </w:tabs>
            </w:pPr>
            <w:r w:rsidRPr="007954BC">
              <w:t>Dan, Violin, local experts, NFCP</w:t>
            </w:r>
          </w:p>
        </w:tc>
        <w:tc>
          <w:tcPr>
            <w:tcW w:w="2869" w:type="dxa"/>
          </w:tcPr>
          <w:p w:rsidR="007954BC" w:rsidRPr="004E3003" w:rsidRDefault="007954BC" w:rsidP="000D07BB">
            <w:pPr>
              <w:tabs>
                <w:tab w:val="left" w:pos="1365"/>
              </w:tabs>
            </w:pPr>
            <w:r>
              <w:t xml:space="preserve">Final </w:t>
            </w:r>
            <w:proofErr w:type="spellStart"/>
            <w:r>
              <w:t>programme</w:t>
            </w:r>
            <w:proofErr w:type="spellEnd"/>
            <w:r>
              <w:t xml:space="preserve"> MFS </w:t>
            </w:r>
          </w:p>
        </w:tc>
        <w:tc>
          <w:tcPr>
            <w:tcW w:w="2422" w:type="dxa"/>
          </w:tcPr>
          <w:p w:rsidR="007954BC" w:rsidRDefault="007954BC" w:rsidP="00467902">
            <w:pPr>
              <w:tabs>
                <w:tab w:val="left" w:pos="1365"/>
              </w:tabs>
            </w:pPr>
            <w:r>
              <w:t>15/05/2014</w:t>
            </w:r>
          </w:p>
        </w:tc>
      </w:tr>
      <w:tr w:rsidR="007954BC" w:rsidRP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B5668">
            <w:pPr>
              <w:tabs>
                <w:tab w:val="left" w:pos="1365"/>
              </w:tabs>
            </w:pPr>
            <w:r w:rsidRPr="007954BC">
              <w:t>Dan, Violin, local experts, NFCP</w:t>
            </w:r>
          </w:p>
        </w:tc>
        <w:tc>
          <w:tcPr>
            <w:tcW w:w="2869" w:type="dxa"/>
          </w:tcPr>
          <w:p w:rsidR="007954BC" w:rsidRPr="007954BC" w:rsidRDefault="007954BC" w:rsidP="007954BC">
            <w:pPr>
              <w:tabs>
                <w:tab w:val="left" w:pos="1365"/>
              </w:tabs>
            </w:pPr>
            <w:r w:rsidRPr="007954BC">
              <w:t>Drafting Pilot project  MFS (</w:t>
            </w:r>
            <w:proofErr w:type="spellStart"/>
            <w:r w:rsidRPr="007954BC">
              <w:t>subprogramme</w:t>
            </w:r>
            <w:proofErr w:type="spellEnd"/>
            <w:r w:rsidRPr="007954BC">
              <w:t xml:space="preserve"> level) (D5+D10)</w:t>
            </w:r>
          </w:p>
        </w:tc>
        <w:tc>
          <w:tcPr>
            <w:tcW w:w="2422" w:type="dxa"/>
          </w:tcPr>
          <w:p w:rsidR="007954BC" w:rsidRPr="007954BC" w:rsidRDefault="007954BC" w:rsidP="007954BC">
            <w:pPr>
              <w:tabs>
                <w:tab w:val="left" w:pos="1365"/>
              </w:tabs>
            </w:pPr>
            <w:r w:rsidRPr="007954BC">
              <w:t>15/04/2014 - 15/06/2014</w:t>
            </w:r>
          </w:p>
        </w:tc>
      </w:tr>
      <w:tr w:rsidR="007954BC" w:rsidRP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EA66AF">
            <w:pPr>
              <w:tabs>
                <w:tab w:val="left" w:pos="1365"/>
              </w:tabs>
            </w:pPr>
            <w:r>
              <w:t>BG &amp; RO</w:t>
            </w:r>
          </w:p>
        </w:tc>
        <w:tc>
          <w:tcPr>
            <w:tcW w:w="2869" w:type="dxa"/>
          </w:tcPr>
          <w:p w:rsidR="007954BC" w:rsidRPr="007954BC" w:rsidRDefault="007954BC" w:rsidP="007954BC">
            <w:pPr>
              <w:tabs>
                <w:tab w:val="left" w:pos="1365"/>
              </w:tabs>
            </w:pPr>
            <w:r w:rsidRPr="007954BC">
              <w:t xml:space="preserve">Final Approval </w:t>
            </w:r>
            <w:proofErr w:type="spellStart"/>
            <w:r w:rsidRPr="007954BC">
              <w:t>subprogramme</w:t>
            </w:r>
            <w:proofErr w:type="spellEnd"/>
            <w:r w:rsidRPr="007954BC">
              <w:t xml:space="preserve"> level MFS by appropriate authorities (based on revisions pilot </w:t>
            </w:r>
            <w:proofErr w:type="spellStart"/>
            <w:r w:rsidRPr="007954BC">
              <w:t>subprogramme</w:t>
            </w:r>
            <w:proofErr w:type="spellEnd"/>
            <w:r w:rsidRPr="007954BC">
              <w:t xml:space="preserve"> MFS)</w:t>
            </w:r>
          </w:p>
        </w:tc>
        <w:tc>
          <w:tcPr>
            <w:tcW w:w="2422" w:type="dxa"/>
          </w:tcPr>
          <w:p w:rsidR="007954BC" w:rsidRPr="007954BC" w:rsidRDefault="007954BC" w:rsidP="007954BC">
            <w:pPr>
              <w:tabs>
                <w:tab w:val="left" w:pos="1365"/>
              </w:tabs>
            </w:pPr>
            <w:r w:rsidRPr="007954BC">
              <w:t>15/06/2014</w:t>
            </w:r>
          </w:p>
        </w:tc>
      </w:tr>
      <w:tr w:rsidR="007954BC" w:rsidRP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954BC">
            <w:pPr>
              <w:tabs>
                <w:tab w:val="left" w:pos="1365"/>
              </w:tabs>
            </w:pPr>
            <w:r>
              <w:t>To be organized by BG &amp; RO</w:t>
            </w:r>
          </w:p>
        </w:tc>
        <w:tc>
          <w:tcPr>
            <w:tcW w:w="2869" w:type="dxa"/>
          </w:tcPr>
          <w:p w:rsidR="007954BC" w:rsidRPr="007954BC" w:rsidRDefault="007954BC" w:rsidP="000D07BB">
            <w:pPr>
              <w:tabs>
                <w:tab w:val="left" w:pos="1365"/>
              </w:tabs>
            </w:pPr>
            <w:r w:rsidRPr="007954BC">
              <w:t xml:space="preserve">Translation </w:t>
            </w:r>
            <w:proofErr w:type="spellStart"/>
            <w:r w:rsidRPr="007954BC">
              <w:t>programme</w:t>
            </w:r>
            <w:proofErr w:type="spellEnd"/>
            <w:r w:rsidRPr="007954BC">
              <w:t xml:space="preserve"> level MFS</w:t>
            </w:r>
          </w:p>
        </w:tc>
        <w:tc>
          <w:tcPr>
            <w:tcW w:w="2422" w:type="dxa"/>
          </w:tcPr>
          <w:p w:rsidR="007954BC" w:rsidRPr="007954BC" w:rsidRDefault="007954BC" w:rsidP="007954BC">
            <w:pPr>
              <w:tabs>
                <w:tab w:val="left" w:pos="1365"/>
              </w:tabs>
            </w:pPr>
            <w:r w:rsidRPr="007954BC">
              <w:t>15/06/2014</w:t>
            </w:r>
          </w:p>
        </w:tc>
      </w:tr>
      <w:tr w:rsidR="007954BC" w:rsidTr="004E3003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2060" w:type="dxa"/>
          </w:tcPr>
          <w:p w:rsidR="007954BC" w:rsidRPr="000D07BB" w:rsidRDefault="007954BC" w:rsidP="007B5668">
            <w:pPr>
              <w:tabs>
                <w:tab w:val="left" w:pos="1365"/>
              </w:tabs>
            </w:pPr>
            <w:r w:rsidRPr="007954BC">
              <w:t>Dan, Violin, local experts, NFCP</w:t>
            </w:r>
          </w:p>
        </w:tc>
        <w:tc>
          <w:tcPr>
            <w:tcW w:w="2869" w:type="dxa"/>
          </w:tcPr>
          <w:p w:rsidR="007954BC" w:rsidRPr="007954BC" w:rsidRDefault="007954BC" w:rsidP="007954BC">
            <w:pPr>
              <w:tabs>
                <w:tab w:val="left" w:pos="1365"/>
              </w:tabs>
            </w:pPr>
            <w:r>
              <w:t>Completion</w:t>
            </w:r>
            <w:r w:rsidRPr="007954BC">
              <w:t xml:space="preserve">  M</w:t>
            </w:r>
            <w:r>
              <w:t>FS (</w:t>
            </w:r>
            <w:proofErr w:type="spellStart"/>
            <w:r>
              <w:t>subprogramme</w:t>
            </w:r>
            <w:proofErr w:type="spellEnd"/>
            <w:r>
              <w:t xml:space="preserve"> level) remaining indicators</w:t>
            </w:r>
          </w:p>
        </w:tc>
        <w:tc>
          <w:tcPr>
            <w:tcW w:w="2422" w:type="dxa"/>
          </w:tcPr>
          <w:p w:rsidR="007954BC" w:rsidRPr="007954BC" w:rsidRDefault="007954BC" w:rsidP="007954BC">
            <w:pPr>
              <w:tabs>
                <w:tab w:val="left" w:pos="1365"/>
              </w:tabs>
            </w:pPr>
            <w:r w:rsidRPr="007954BC">
              <w:t>15/04/2014 - 15/09/2014</w:t>
            </w:r>
          </w:p>
        </w:tc>
      </w:tr>
      <w:tr w:rsidR="007954BC" w:rsidTr="0003312A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  <w:r w:rsidRPr="00F95EB0">
              <w:rPr>
                <w:b/>
              </w:rPr>
              <w:t>Follow-up events/activities related to CBE</w:t>
            </w:r>
          </w:p>
        </w:tc>
        <w:tc>
          <w:tcPr>
            <w:tcW w:w="7351" w:type="dxa"/>
            <w:gridSpan w:val="3"/>
          </w:tcPr>
          <w:p w:rsidR="007954BC" w:rsidRDefault="007954BC" w:rsidP="006832D9">
            <w:pPr>
              <w:pStyle w:val="Lijstalinea"/>
              <w:numPr>
                <w:ilvl w:val="0"/>
                <w:numId w:val="24"/>
              </w:numPr>
            </w:pPr>
            <w:r>
              <w:t>CBE integrated monitoring – ICES (April 2014)</w:t>
            </w:r>
          </w:p>
          <w:p w:rsidR="007954BC" w:rsidRDefault="007954BC" w:rsidP="006832D9">
            <w:pPr>
              <w:pStyle w:val="Lijstalinea"/>
              <w:numPr>
                <w:ilvl w:val="0"/>
                <w:numId w:val="24"/>
              </w:numPr>
            </w:pPr>
            <w:r>
              <w:t xml:space="preserve">CBE action plans &amp; </w:t>
            </w:r>
            <w:proofErr w:type="spellStart"/>
            <w:r>
              <w:t>subprogramme</w:t>
            </w:r>
            <w:proofErr w:type="spellEnd"/>
            <w:r>
              <w:t xml:space="preserve"> MFS (June 2014)</w:t>
            </w:r>
          </w:p>
          <w:p w:rsidR="007954BC" w:rsidRDefault="007954BC" w:rsidP="006832D9">
            <w:pPr>
              <w:pStyle w:val="Lijstalinea"/>
              <w:numPr>
                <w:ilvl w:val="0"/>
                <w:numId w:val="24"/>
              </w:numPr>
            </w:pPr>
            <w:r w:rsidRPr="006832D9">
              <w:t>CBE data coordination &amp; management (2nd half 2014)</w:t>
            </w:r>
          </w:p>
        </w:tc>
      </w:tr>
      <w:tr w:rsidR="007954BC" w:rsidTr="0003312A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  <w:r w:rsidRPr="00F95EB0">
              <w:rPr>
                <w:b/>
              </w:rPr>
              <w:t>Annex</w:t>
            </w:r>
          </w:p>
        </w:tc>
        <w:tc>
          <w:tcPr>
            <w:tcW w:w="7351" w:type="dxa"/>
            <w:gridSpan w:val="3"/>
          </w:tcPr>
          <w:p w:rsidR="007954BC" w:rsidRPr="003B6DEF" w:rsidRDefault="007954BC" w:rsidP="00763E3B">
            <w:pPr>
              <w:rPr>
                <w:color w:val="4F81BD" w:themeColor="accent1"/>
              </w:rPr>
            </w:pPr>
            <w:r w:rsidRPr="00430DBB">
              <w:rPr>
                <w:color w:val="4F81BD" w:themeColor="accent1"/>
              </w:rPr>
              <w:t xml:space="preserve">PREP: </w:t>
            </w:r>
            <w:r w:rsidR="00430DBB" w:rsidRPr="00430DBB">
              <w:rPr>
                <w:color w:val="4F81BD" w:themeColor="accent1"/>
              </w:rPr>
              <w:t>Background doc on common indicators</w:t>
            </w:r>
            <w:r w:rsidR="00430DBB">
              <w:rPr>
                <w:color w:val="4F81BD" w:themeColor="accent1"/>
              </w:rPr>
              <w:t xml:space="preserve"> (</w:t>
            </w:r>
            <w:proofErr w:type="spellStart"/>
            <w:r w:rsidR="00430DBB">
              <w:rPr>
                <w:color w:val="4F81BD" w:themeColor="accent1"/>
              </w:rPr>
              <w:t>d.d</w:t>
            </w:r>
            <w:proofErr w:type="spellEnd"/>
            <w:r w:rsidR="00430DBB">
              <w:rPr>
                <w:color w:val="4F81BD" w:themeColor="accent1"/>
              </w:rPr>
              <w:t>. 21/03/2014)</w:t>
            </w:r>
          </w:p>
        </w:tc>
      </w:tr>
      <w:tr w:rsidR="007954BC" w:rsidTr="0003312A">
        <w:tc>
          <w:tcPr>
            <w:tcW w:w="1937" w:type="dxa"/>
          </w:tcPr>
          <w:p w:rsidR="007954BC" w:rsidRPr="00F95EB0" w:rsidRDefault="007954BC" w:rsidP="00467902">
            <w:pPr>
              <w:rPr>
                <w:b/>
              </w:rPr>
            </w:pPr>
          </w:p>
        </w:tc>
        <w:tc>
          <w:tcPr>
            <w:tcW w:w="7351" w:type="dxa"/>
            <w:gridSpan w:val="3"/>
          </w:tcPr>
          <w:p w:rsidR="007954BC" w:rsidRDefault="007954BC" w:rsidP="00763E3B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PRES</w:t>
            </w:r>
            <w:r w:rsidRPr="003B6DEF">
              <w:rPr>
                <w:color w:val="4F81BD" w:themeColor="accent1"/>
              </w:rPr>
              <w:t xml:space="preserve">: </w:t>
            </w:r>
            <w:r w:rsidR="0076168D">
              <w:rPr>
                <w:color w:val="4F81BD" w:themeColor="accent1"/>
              </w:rPr>
              <w:t xml:space="preserve">Presentation given at bilateral EC/CBE: </w:t>
            </w:r>
            <w:r w:rsidRPr="00763E3B">
              <w:rPr>
                <w:color w:val="4F81BD" w:themeColor="accent1"/>
              </w:rPr>
              <w:t>Common indicators</w:t>
            </w:r>
          </w:p>
        </w:tc>
      </w:tr>
      <w:tr w:rsidR="007954BC" w:rsidTr="0003312A">
        <w:tc>
          <w:tcPr>
            <w:tcW w:w="1937" w:type="dxa"/>
          </w:tcPr>
          <w:p w:rsidR="007954BC" w:rsidRDefault="007954BC" w:rsidP="00467902"/>
        </w:tc>
        <w:tc>
          <w:tcPr>
            <w:tcW w:w="7351" w:type="dxa"/>
            <w:gridSpan w:val="3"/>
          </w:tcPr>
          <w:p w:rsidR="007954BC" w:rsidRPr="003B6DEF" w:rsidRDefault="007954BC" w:rsidP="00CA71E2">
            <w:pPr>
              <w:rPr>
                <w:color w:val="4F81BD" w:themeColor="accent1"/>
              </w:rPr>
            </w:pPr>
            <w:r w:rsidRPr="003B6DEF">
              <w:rPr>
                <w:color w:val="4F81BD" w:themeColor="accent1"/>
              </w:rPr>
              <w:t xml:space="preserve">RES: </w:t>
            </w:r>
            <w:r w:rsidR="00430DBB">
              <w:rPr>
                <w:color w:val="4F81BD" w:themeColor="accent1"/>
              </w:rPr>
              <w:t xml:space="preserve">Revised </w:t>
            </w:r>
            <w:r w:rsidRPr="00CA71E2">
              <w:rPr>
                <w:color w:val="4F81BD" w:themeColor="accent1"/>
              </w:rPr>
              <w:t>Excel table common indicators</w:t>
            </w:r>
            <w:r w:rsidRPr="00430DBB">
              <w:rPr>
                <w:color w:val="4F81BD" w:themeColor="accent1"/>
              </w:rPr>
              <w:t xml:space="preserve"> </w:t>
            </w:r>
            <w:r w:rsidR="00430DBB" w:rsidRPr="00430DBB">
              <w:rPr>
                <w:color w:val="4F81BD" w:themeColor="accent1"/>
              </w:rPr>
              <w:t>(</w:t>
            </w:r>
            <w:proofErr w:type="spellStart"/>
            <w:r w:rsidR="00430DBB" w:rsidRPr="00430DBB">
              <w:rPr>
                <w:color w:val="4F81BD" w:themeColor="accent1"/>
              </w:rPr>
              <w:t>d.d</w:t>
            </w:r>
            <w:proofErr w:type="spellEnd"/>
            <w:r w:rsidR="00430DBB" w:rsidRPr="00430DBB">
              <w:rPr>
                <w:color w:val="4F81BD" w:themeColor="accent1"/>
              </w:rPr>
              <w:t>. 02/04/2014)</w:t>
            </w:r>
          </w:p>
        </w:tc>
      </w:tr>
      <w:tr w:rsidR="007954BC" w:rsidTr="0003312A">
        <w:tc>
          <w:tcPr>
            <w:tcW w:w="1937" w:type="dxa"/>
          </w:tcPr>
          <w:p w:rsidR="007954BC" w:rsidRDefault="007954BC" w:rsidP="00467902"/>
        </w:tc>
        <w:tc>
          <w:tcPr>
            <w:tcW w:w="7351" w:type="dxa"/>
            <w:gridSpan w:val="3"/>
          </w:tcPr>
          <w:p w:rsidR="007954BC" w:rsidRDefault="007954BC" w:rsidP="00CA71E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RES: R</w:t>
            </w:r>
            <w:r w:rsidRPr="00CA71E2">
              <w:rPr>
                <w:color w:val="4F81BD" w:themeColor="accent1"/>
              </w:rPr>
              <w:t>evised consultation &amp; reporting process MFS</w:t>
            </w:r>
            <w:r>
              <w:rPr>
                <w:color w:val="4F81BD" w:themeColor="accent1"/>
              </w:rPr>
              <w:t xml:space="preserve"> (timetable)</w:t>
            </w:r>
          </w:p>
        </w:tc>
      </w:tr>
      <w:tr w:rsidR="0076168D" w:rsidTr="0003312A">
        <w:tc>
          <w:tcPr>
            <w:tcW w:w="1937" w:type="dxa"/>
          </w:tcPr>
          <w:p w:rsidR="0076168D" w:rsidRDefault="0076168D" w:rsidP="00467902"/>
        </w:tc>
        <w:tc>
          <w:tcPr>
            <w:tcW w:w="7351" w:type="dxa"/>
            <w:gridSpan w:val="3"/>
          </w:tcPr>
          <w:p w:rsidR="0076168D" w:rsidRDefault="0076168D" w:rsidP="0076168D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RES: Revised </w:t>
            </w:r>
            <w:proofErr w:type="spellStart"/>
            <w:r>
              <w:rPr>
                <w:color w:val="4F81BD" w:themeColor="accent1"/>
              </w:rPr>
              <w:t>BS_action</w:t>
            </w:r>
            <w:proofErr w:type="spellEnd"/>
            <w:r>
              <w:rPr>
                <w:color w:val="4F81BD" w:themeColor="accent1"/>
              </w:rPr>
              <w:t xml:space="preserve"> points_02042014</w:t>
            </w:r>
          </w:p>
        </w:tc>
      </w:tr>
    </w:tbl>
    <w:p w:rsidR="00A97C72" w:rsidRPr="00A1556E" w:rsidRDefault="00A97C72" w:rsidP="00A97C72"/>
    <w:sectPr w:rsidR="00A97C72" w:rsidRPr="00A1556E" w:rsidSect="00A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B4A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EF4A3F"/>
    <w:multiLevelType w:val="hybridMultilevel"/>
    <w:tmpl w:val="E54879DE"/>
    <w:lvl w:ilvl="0" w:tplc="4F0AA35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797F"/>
    <w:multiLevelType w:val="multilevel"/>
    <w:tmpl w:val="E56626CE"/>
    <w:lvl w:ilvl="0">
      <w:start w:val="1"/>
      <w:numFmt w:val="decimal"/>
      <w:pStyle w:val="OpsommingNummer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</w:abstractNum>
  <w:abstractNum w:abstractNumId="3">
    <w:nsid w:val="10E83D90"/>
    <w:multiLevelType w:val="multilevel"/>
    <w:tmpl w:val="336E851E"/>
    <w:lvl w:ilvl="0">
      <w:start w:val="1"/>
      <w:numFmt w:val="decimal"/>
      <w:pStyle w:val="OpsommingNummer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."/>
      <w:lvlJc w:val="left"/>
      <w:pPr>
        <w:tabs>
          <w:tab w:val="num" w:pos="2268"/>
        </w:tabs>
        <w:ind w:left="2268" w:hanging="113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46A6D54"/>
    <w:multiLevelType w:val="hybridMultilevel"/>
    <w:tmpl w:val="4B845A4C"/>
    <w:lvl w:ilvl="0" w:tplc="3D4C0E9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F7013"/>
    <w:multiLevelType w:val="multilevel"/>
    <w:tmpl w:val="3634E332"/>
    <w:lvl w:ilvl="0">
      <w:start w:val="1"/>
      <w:numFmt w:val="decimal"/>
      <w:pStyle w:val="Lijstnummering"/>
      <w:lvlText w:val="%1."/>
      <w:lvlJc w:val="left"/>
      <w:pPr>
        <w:tabs>
          <w:tab w:val="num" w:pos="1701"/>
        </w:tabs>
        <w:ind w:left="1985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.%1."/>
      <w:lvlJc w:val="left"/>
      <w:pPr>
        <w:tabs>
          <w:tab w:val="num" w:pos="2098"/>
        </w:tabs>
        <w:ind w:left="2495" w:hanging="397"/>
      </w:pPr>
      <w:rPr>
        <w:rFonts w:hint="default"/>
      </w:rPr>
    </w:lvl>
    <w:lvl w:ilvl="2">
      <w:start w:val="1"/>
      <w:numFmt w:val="decimal"/>
      <w:lvlText w:val="%3.%1.%2."/>
      <w:lvlJc w:val="left"/>
      <w:pPr>
        <w:ind w:left="2778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27C0197F"/>
    <w:multiLevelType w:val="multilevel"/>
    <w:tmpl w:val="E07CAEBC"/>
    <w:lvl w:ilvl="0">
      <w:start w:val="1"/>
      <w:numFmt w:val="bullet"/>
      <w:pStyle w:val="OpsommingSymbool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</w:abstractNum>
  <w:abstractNum w:abstractNumId="7">
    <w:nsid w:val="332B2DBE"/>
    <w:multiLevelType w:val="hybridMultilevel"/>
    <w:tmpl w:val="B34CEEB6"/>
    <w:lvl w:ilvl="0" w:tplc="FD1CDE16">
      <w:start w:val="2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C2D73"/>
    <w:multiLevelType w:val="hybridMultilevel"/>
    <w:tmpl w:val="8766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AC8D2">
      <w:numFmt w:val="bullet"/>
      <w:lvlText w:val="•"/>
      <w:lvlJc w:val="left"/>
      <w:pPr>
        <w:ind w:left="1785" w:hanging="705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4772A"/>
    <w:multiLevelType w:val="multilevel"/>
    <w:tmpl w:val="89D8B1B0"/>
    <w:lvl w:ilvl="0">
      <w:start w:val="1"/>
      <w:numFmt w:val="decimal"/>
      <w:pStyle w:val="Artikel"/>
      <w:lvlText w:val="Art.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lvlText w:val="Art.%1.%2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lvlText w:val="Art.%1.%2.%3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bullet"/>
      <w:lvlText w:val="§"/>
      <w:lvlJc w:val="left"/>
      <w:pPr>
        <w:tabs>
          <w:tab w:val="num" w:pos="1701"/>
        </w:tabs>
        <w:ind w:left="1701" w:firstLine="0"/>
      </w:pPr>
      <w:rPr>
        <w:rFonts w:ascii="Arial" w:hAnsi="Arial" w:cs="Times New Roman" w:hint="default"/>
        <w:b/>
        <w:i w:val="0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18"/>
        </w:tabs>
        <w:ind w:left="1701" w:firstLine="0"/>
      </w:pPr>
      <w:rPr>
        <w:rFonts w:hint="default"/>
      </w:rPr>
    </w:lvl>
  </w:abstractNum>
  <w:abstractNum w:abstractNumId="10">
    <w:nsid w:val="48F8223E"/>
    <w:multiLevelType w:val="hybridMultilevel"/>
    <w:tmpl w:val="D32827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373D87"/>
    <w:multiLevelType w:val="multilevel"/>
    <w:tmpl w:val="6C7432BE"/>
    <w:lvl w:ilvl="0">
      <w:start w:val="1"/>
      <w:numFmt w:val="lowerLetter"/>
      <w:pStyle w:val="OpsommingLetter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>
    <w:nsid w:val="5DC643E7"/>
    <w:multiLevelType w:val="multilevel"/>
    <w:tmpl w:val="CD1EA594"/>
    <w:lvl w:ilvl="0">
      <w:start w:val="1"/>
      <w:numFmt w:val="bullet"/>
      <w:pStyle w:val="Opsommingsymboo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61925D31"/>
    <w:multiLevelType w:val="hybridMultilevel"/>
    <w:tmpl w:val="FBE28F32"/>
    <w:lvl w:ilvl="0" w:tplc="D46EF6EE">
      <w:start w:val="1"/>
      <w:numFmt w:val="decimal"/>
      <w:pStyle w:val="Ondertitel"/>
      <w:lvlText w:val="DEEL 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D426CF"/>
    <w:multiLevelType w:val="multilevel"/>
    <w:tmpl w:val="157C7FC6"/>
    <w:lvl w:ilvl="0">
      <w:start w:val="1"/>
      <w:numFmt w:val="decimal"/>
      <w:pStyle w:val="Kop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5">
    <w:nsid w:val="63CA7BC3"/>
    <w:multiLevelType w:val="multilevel"/>
    <w:tmpl w:val="DE5E64DC"/>
    <w:lvl w:ilvl="0">
      <w:start w:val="1"/>
      <w:numFmt w:val="decimal"/>
      <w:pStyle w:val="Samenvatting-Niveau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Samenvatting-Niveau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Samenvatting-Niveau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Samenvatting-Niveau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pStyle w:val="Samenvatting-Niveau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Samenvatting-Niveau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50769CD"/>
    <w:multiLevelType w:val="hybridMultilevel"/>
    <w:tmpl w:val="658C13FA"/>
    <w:lvl w:ilvl="0" w:tplc="399EB056">
      <w:start w:val="1"/>
      <w:numFmt w:val="decimal"/>
      <w:pStyle w:val="Subbijlage"/>
      <w:lvlText w:val="Bijlage %1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B5ECB"/>
    <w:multiLevelType w:val="multilevel"/>
    <w:tmpl w:val="6E181BEA"/>
    <w:lvl w:ilvl="0">
      <w:start w:val="1"/>
      <w:numFmt w:val="lowerLetter"/>
      <w:pStyle w:val="OpsommingLetter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%3.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%6.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%9."/>
      <w:lvlJc w:val="righ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6"/>
  </w:num>
  <w:num w:numId="20">
    <w:abstractNumId w:val="13"/>
  </w:num>
  <w:num w:numId="21">
    <w:abstractNumId w:val="12"/>
  </w:num>
  <w:num w:numId="22">
    <w:abstractNumId w:val="17"/>
  </w:num>
  <w:num w:numId="23">
    <w:abstractNumId w:val="3"/>
  </w:num>
  <w:num w:numId="24">
    <w:abstractNumId w:val="1"/>
  </w:num>
  <w:num w:numId="25">
    <w:abstractNumId w:val="4"/>
  </w:num>
  <w:num w:numId="26">
    <w:abstractNumId w:val="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146C0"/>
    <w:rsid w:val="00031D0D"/>
    <w:rsid w:val="0003312A"/>
    <w:rsid w:val="00054C49"/>
    <w:rsid w:val="00055943"/>
    <w:rsid w:val="00057853"/>
    <w:rsid w:val="00070799"/>
    <w:rsid w:val="00091DE3"/>
    <w:rsid w:val="000D00FC"/>
    <w:rsid w:val="000D07BB"/>
    <w:rsid w:val="000F5040"/>
    <w:rsid w:val="00107314"/>
    <w:rsid w:val="00123DEE"/>
    <w:rsid w:val="00131F50"/>
    <w:rsid w:val="00132CFC"/>
    <w:rsid w:val="00145374"/>
    <w:rsid w:val="0017065D"/>
    <w:rsid w:val="001F659A"/>
    <w:rsid w:val="00224C0E"/>
    <w:rsid w:val="0023061B"/>
    <w:rsid w:val="00232317"/>
    <w:rsid w:val="00235CC3"/>
    <w:rsid w:val="002820B0"/>
    <w:rsid w:val="00282FAB"/>
    <w:rsid w:val="002A3010"/>
    <w:rsid w:val="002C6352"/>
    <w:rsid w:val="002D0F69"/>
    <w:rsid w:val="002E67F5"/>
    <w:rsid w:val="002F0338"/>
    <w:rsid w:val="0032332B"/>
    <w:rsid w:val="003438E2"/>
    <w:rsid w:val="003657F0"/>
    <w:rsid w:val="00367024"/>
    <w:rsid w:val="003719CF"/>
    <w:rsid w:val="00371CC9"/>
    <w:rsid w:val="003934EF"/>
    <w:rsid w:val="003B1C24"/>
    <w:rsid w:val="003B6DEF"/>
    <w:rsid w:val="003B7434"/>
    <w:rsid w:val="003C62EA"/>
    <w:rsid w:val="003C7E4E"/>
    <w:rsid w:val="003D3810"/>
    <w:rsid w:val="003E62D6"/>
    <w:rsid w:val="003F08D6"/>
    <w:rsid w:val="004019F0"/>
    <w:rsid w:val="00402909"/>
    <w:rsid w:val="00422A5F"/>
    <w:rsid w:val="00430DBB"/>
    <w:rsid w:val="00440C8E"/>
    <w:rsid w:val="00440FCE"/>
    <w:rsid w:val="004539E5"/>
    <w:rsid w:val="00464CE4"/>
    <w:rsid w:val="00466EF2"/>
    <w:rsid w:val="004913C6"/>
    <w:rsid w:val="004A0FC4"/>
    <w:rsid w:val="004B0CC4"/>
    <w:rsid w:val="004E3003"/>
    <w:rsid w:val="004E38B1"/>
    <w:rsid w:val="004F0D8E"/>
    <w:rsid w:val="00506899"/>
    <w:rsid w:val="00525D79"/>
    <w:rsid w:val="005354F9"/>
    <w:rsid w:val="005362DA"/>
    <w:rsid w:val="00575DE0"/>
    <w:rsid w:val="005821F0"/>
    <w:rsid w:val="005926CC"/>
    <w:rsid w:val="00593501"/>
    <w:rsid w:val="005A2841"/>
    <w:rsid w:val="005A5EFE"/>
    <w:rsid w:val="005B29E4"/>
    <w:rsid w:val="005C6447"/>
    <w:rsid w:val="005E00D6"/>
    <w:rsid w:val="00601481"/>
    <w:rsid w:val="006036E7"/>
    <w:rsid w:val="0060430D"/>
    <w:rsid w:val="00640ADA"/>
    <w:rsid w:val="00646A28"/>
    <w:rsid w:val="006832D9"/>
    <w:rsid w:val="00691FFC"/>
    <w:rsid w:val="00696E94"/>
    <w:rsid w:val="006A1A2A"/>
    <w:rsid w:val="006C6A77"/>
    <w:rsid w:val="006E7421"/>
    <w:rsid w:val="006F1951"/>
    <w:rsid w:val="0071133F"/>
    <w:rsid w:val="00712774"/>
    <w:rsid w:val="00730870"/>
    <w:rsid w:val="0073671C"/>
    <w:rsid w:val="0074052B"/>
    <w:rsid w:val="00742FF8"/>
    <w:rsid w:val="00753039"/>
    <w:rsid w:val="0076168D"/>
    <w:rsid w:val="00763E3B"/>
    <w:rsid w:val="00780CCB"/>
    <w:rsid w:val="007954BC"/>
    <w:rsid w:val="007B5EE7"/>
    <w:rsid w:val="007C6DA2"/>
    <w:rsid w:val="007E3324"/>
    <w:rsid w:val="007E53A0"/>
    <w:rsid w:val="007F7FA0"/>
    <w:rsid w:val="00804FCA"/>
    <w:rsid w:val="00805384"/>
    <w:rsid w:val="0081275B"/>
    <w:rsid w:val="0081589A"/>
    <w:rsid w:val="008252A7"/>
    <w:rsid w:val="00827553"/>
    <w:rsid w:val="00827C24"/>
    <w:rsid w:val="0085305C"/>
    <w:rsid w:val="00884ABF"/>
    <w:rsid w:val="00895CDF"/>
    <w:rsid w:val="008A5618"/>
    <w:rsid w:val="008A6538"/>
    <w:rsid w:val="008B78B8"/>
    <w:rsid w:val="008E4EF3"/>
    <w:rsid w:val="008F787D"/>
    <w:rsid w:val="00900B0C"/>
    <w:rsid w:val="009344F3"/>
    <w:rsid w:val="00940BE1"/>
    <w:rsid w:val="00945925"/>
    <w:rsid w:val="00953491"/>
    <w:rsid w:val="009A149C"/>
    <w:rsid w:val="009A5391"/>
    <w:rsid w:val="009C0242"/>
    <w:rsid w:val="009D5146"/>
    <w:rsid w:val="009D754B"/>
    <w:rsid w:val="009E1FF7"/>
    <w:rsid w:val="009F1F92"/>
    <w:rsid w:val="009F4EA9"/>
    <w:rsid w:val="00A01673"/>
    <w:rsid w:val="00A020B3"/>
    <w:rsid w:val="00A1556E"/>
    <w:rsid w:val="00A41AD1"/>
    <w:rsid w:val="00A91AC0"/>
    <w:rsid w:val="00A94805"/>
    <w:rsid w:val="00A97C72"/>
    <w:rsid w:val="00AA0728"/>
    <w:rsid w:val="00AC3FDD"/>
    <w:rsid w:val="00AD226A"/>
    <w:rsid w:val="00B0343E"/>
    <w:rsid w:val="00B0487F"/>
    <w:rsid w:val="00B32A8A"/>
    <w:rsid w:val="00B618F0"/>
    <w:rsid w:val="00B6376B"/>
    <w:rsid w:val="00B76C0A"/>
    <w:rsid w:val="00BC6E71"/>
    <w:rsid w:val="00BD49B9"/>
    <w:rsid w:val="00BE5F6F"/>
    <w:rsid w:val="00BF0CBA"/>
    <w:rsid w:val="00BF53E1"/>
    <w:rsid w:val="00C12E90"/>
    <w:rsid w:val="00C165C3"/>
    <w:rsid w:val="00C316BD"/>
    <w:rsid w:val="00C33FAC"/>
    <w:rsid w:val="00C40E5C"/>
    <w:rsid w:val="00C532E8"/>
    <w:rsid w:val="00C67B06"/>
    <w:rsid w:val="00C771E7"/>
    <w:rsid w:val="00CA07C6"/>
    <w:rsid w:val="00CA2B0E"/>
    <w:rsid w:val="00CA71E2"/>
    <w:rsid w:val="00CC2277"/>
    <w:rsid w:val="00CC29ED"/>
    <w:rsid w:val="00CC3B0B"/>
    <w:rsid w:val="00CD38D4"/>
    <w:rsid w:val="00CE68B5"/>
    <w:rsid w:val="00CE6FAA"/>
    <w:rsid w:val="00D27C12"/>
    <w:rsid w:val="00D462A6"/>
    <w:rsid w:val="00D65A2A"/>
    <w:rsid w:val="00D760F4"/>
    <w:rsid w:val="00D87C48"/>
    <w:rsid w:val="00D95D49"/>
    <w:rsid w:val="00DA6BA1"/>
    <w:rsid w:val="00DC01EF"/>
    <w:rsid w:val="00DC6654"/>
    <w:rsid w:val="00DC7BD4"/>
    <w:rsid w:val="00DC7E05"/>
    <w:rsid w:val="00E008F5"/>
    <w:rsid w:val="00E0505D"/>
    <w:rsid w:val="00E14D6D"/>
    <w:rsid w:val="00E400C4"/>
    <w:rsid w:val="00E43945"/>
    <w:rsid w:val="00E779BF"/>
    <w:rsid w:val="00E850FB"/>
    <w:rsid w:val="00E8560C"/>
    <w:rsid w:val="00EA7A90"/>
    <w:rsid w:val="00EB2BB9"/>
    <w:rsid w:val="00EB325E"/>
    <w:rsid w:val="00EC3872"/>
    <w:rsid w:val="00ED5138"/>
    <w:rsid w:val="00EE6013"/>
    <w:rsid w:val="00EF5350"/>
    <w:rsid w:val="00F023E9"/>
    <w:rsid w:val="00F06742"/>
    <w:rsid w:val="00F43B9A"/>
    <w:rsid w:val="00F46B1B"/>
    <w:rsid w:val="00F642E9"/>
    <w:rsid w:val="00F741E6"/>
    <w:rsid w:val="00F85260"/>
    <w:rsid w:val="00F86B04"/>
    <w:rsid w:val="00FC3FCD"/>
    <w:rsid w:val="00FD35B6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qFormat="1"/>
    <w:lsdException w:name="caption" w:uiPriority="0" w:qFormat="1"/>
    <w:lsdException w:name="table of figures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aliases w:val="- Niveau 1"/>
    <w:basedOn w:val="Standaard"/>
    <w:next w:val="ARCADISStandaard"/>
    <w:link w:val="Kop1Char"/>
    <w:qFormat/>
    <w:rsid w:val="009D754B"/>
    <w:pPr>
      <w:keepNext/>
      <w:numPr>
        <w:numId w:val="7"/>
      </w:numPr>
      <w:spacing w:before="320" w:after="240"/>
      <w:outlineLvl w:val="0"/>
    </w:pPr>
    <w:rPr>
      <w:rFonts w:cs="Arial"/>
      <w:b/>
      <w:bCs/>
      <w:color w:val="0079A2"/>
      <w:kern w:val="32"/>
      <w:sz w:val="28"/>
      <w:szCs w:val="32"/>
    </w:rPr>
  </w:style>
  <w:style w:type="paragraph" w:styleId="Kop2">
    <w:name w:val="heading 2"/>
    <w:aliases w:val="- Niveau 2"/>
    <w:basedOn w:val="Standaard"/>
    <w:next w:val="ARCADISStandaard"/>
    <w:link w:val="Kop2Char"/>
    <w:qFormat/>
    <w:rsid w:val="009D754B"/>
    <w:pPr>
      <w:keepNext/>
      <w:numPr>
        <w:ilvl w:val="1"/>
        <w:numId w:val="7"/>
      </w:numPr>
      <w:spacing w:before="180" w:after="120"/>
      <w:outlineLvl w:val="1"/>
    </w:pPr>
    <w:rPr>
      <w:rFonts w:cs="Arial"/>
      <w:b/>
      <w:bCs/>
      <w:iCs/>
      <w:color w:val="0079A2"/>
      <w:sz w:val="24"/>
      <w:szCs w:val="28"/>
    </w:rPr>
  </w:style>
  <w:style w:type="paragraph" w:styleId="Kop3">
    <w:name w:val="heading 3"/>
    <w:aliases w:val="- Niveau 3"/>
    <w:basedOn w:val="Standaard"/>
    <w:next w:val="ARCADISStandaard"/>
    <w:link w:val="Kop3Char"/>
    <w:qFormat/>
    <w:rsid w:val="009D754B"/>
    <w:pPr>
      <w:keepNext/>
      <w:numPr>
        <w:ilvl w:val="2"/>
        <w:numId w:val="7"/>
      </w:numPr>
      <w:spacing w:before="120"/>
      <w:outlineLvl w:val="2"/>
    </w:pPr>
    <w:rPr>
      <w:rFonts w:cs="Arial"/>
      <w:b/>
      <w:bCs/>
      <w:color w:val="0079A2"/>
      <w:szCs w:val="26"/>
    </w:rPr>
  </w:style>
  <w:style w:type="paragraph" w:styleId="Kop4">
    <w:name w:val="heading 4"/>
    <w:aliases w:val="- Niveau 4"/>
    <w:basedOn w:val="Standaard"/>
    <w:next w:val="ARCADISStandaard"/>
    <w:link w:val="Kop4Char"/>
    <w:qFormat/>
    <w:rsid w:val="009D754B"/>
    <w:pPr>
      <w:keepNext/>
      <w:numPr>
        <w:ilvl w:val="3"/>
        <w:numId w:val="7"/>
      </w:numPr>
      <w:outlineLvl w:val="3"/>
    </w:pPr>
    <w:rPr>
      <w:bCs/>
      <w:color w:val="0079A2"/>
      <w:szCs w:val="28"/>
    </w:rPr>
  </w:style>
  <w:style w:type="paragraph" w:styleId="Kop5">
    <w:name w:val="heading 5"/>
    <w:aliases w:val="- Niveau 5"/>
    <w:basedOn w:val="Standaard"/>
    <w:next w:val="ARCADISStandaard"/>
    <w:link w:val="Kop5Char"/>
    <w:qFormat/>
    <w:rsid w:val="009D754B"/>
    <w:pPr>
      <w:keepNext/>
      <w:numPr>
        <w:ilvl w:val="4"/>
        <w:numId w:val="7"/>
      </w:numPr>
      <w:outlineLvl w:val="4"/>
    </w:pPr>
    <w:rPr>
      <w:bCs/>
      <w:iCs/>
      <w:color w:val="0079A2"/>
      <w:szCs w:val="26"/>
    </w:rPr>
  </w:style>
  <w:style w:type="paragraph" w:styleId="Kop6">
    <w:name w:val="heading 6"/>
    <w:aliases w:val="- Niveau 6"/>
    <w:basedOn w:val="Standaard"/>
    <w:next w:val="ARCADISStandaard"/>
    <w:link w:val="Kop6Char"/>
    <w:qFormat/>
    <w:rsid w:val="009D754B"/>
    <w:pPr>
      <w:keepNext/>
      <w:numPr>
        <w:ilvl w:val="5"/>
        <w:numId w:val="7"/>
      </w:numPr>
      <w:outlineLvl w:val="5"/>
    </w:pPr>
    <w:rPr>
      <w:bCs/>
      <w:color w:val="0079A2"/>
    </w:rPr>
  </w:style>
  <w:style w:type="paragraph" w:styleId="Kop7">
    <w:name w:val="heading 7"/>
    <w:aliases w:val="Niveau 7"/>
    <w:basedOn w:val="ARCADISStandaard"/>
    <w:next w:val="ARCADISStandaard"/>
    <w:link w:val="Kop7Char"/>
    <w:uiPriority w:val="9"/>
    <w:qFormat/>
    <w:rsid w:val="009D754B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  <w:u w:val="single"/>
    </w:rPr>
  </w:style>
  <w:style w:type="paragraph" w:styleId="Kop8">
    <w:name w:val="heading 8"/>
    <w:aliases w:val="Niveau 8"/>
    <w:basedOn w:val="Kop7"/>
    <w:next w:val="ARCADISStandaard"/>
    <w:link w:val="Kop8Char"/>
    <w:uiPriority w:val="9"/>
    <w:qFormat/>
    <w:rsid w:val="009D754B"/>
    <w:pPr>
      <w:outlineLvl w:val="7"/>
    </w:pPr>
    <w:rPr>
      <w:szCs w:val="20"/>
      <w:u w:val="none"/>
    </w:rPr>
  </w:style>
  <w:style w:type="paragraph" w:styleId="Kop9">
    <w:name w:val="heading 9"/>
    <w:aliases w:val="Niveau 9"/>
    <w:basedOn w:val="Kop8"/>
    <w:next w:val="ARCADISStandaard"/>
    <w:link w:val="Kop9Char"/>
    <w:uiPriority w:val="9"/>
    <w:qFormat/>
    <w:rsid w:val="009D754B"/>
    <w:pPr>
      <w:outlineLvl w:val="8"/>
    </w:pPr>
    <w:rPr>
      <w:b w:val="0"/>
      <w:i/>
      <w:i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RCADISStandaard">
    <w:name w:val="ARCADIS Standaard"/>
    <w:basedOn w:val="Standaard"/>
    <w:qFormat/>
    <w:rsid w:val="009D754B"/>
    <w:pPr>
      <w:ind w:left="1701"/>
    </w:pPr>
  </w:style>
  <w:style w:type="table" w:customStyle="1" w:styleId="ARCADIStab1">
    <w:name w:val="ARCADIS_tab1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la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</w:style>
  <w:style w:type="table" w:customStyle="1" w:styleId="ARCADIStab2">
    <w:name w:val="ARCADIS_tab2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</w:style>
  <w:style w:type="table" w:customStyle="1" w:styleId="ARCADIStab3">
    <w:name w:val="ARCADIS_tab3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4">
    <w:name w:val="ARCADIS_tab4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79A3"/>
      </w:tcPr>
    </w:tblStylePr>
    <w:tblStylePr w:type="band2Horz">
      <w:rPr>
        <w:color w:val="FFFFFF" w:themeColor="background1"/>
      </w:rPr>
      <w:tblPr/>
      <w:tcPr>
        <w:shd w:val="clear" w:color="auto" w:fill="0079A3"/>
      </w:tcPr>
    </w:tblStylePr>
  </w:style>
  <w:style w:type="table" w:customStyle="1" w:styleId="ARCADIStab5">
    <w:name w:val="ARCADIS_tab5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shd w:val="clear" w:color="auto" w:fill="BFBFBF" w:themeFill="background1" w:themeFillShade="BF"/>
      </w:tcPr>
    </w:tblStylePr>
    <w:tblStylePr w:type="band2Horz">
      <w:pPr>
        <w:jc w:val="left"/>
      </w:pPr>
      <w:rPr>
        <w:b w:val="0"/>
      </w:rPr>
      <w:tblPr/>
      <w:tcPr>
        <w:shd w:val="clear" w:color="auto" w:fill="BFBFBF" w:themeFill="background1" w:themeFillShade="BF"/>
      </w:tcPr>
    </w:tblStylePr>
  </w:style>
  <w:style w:type="table" w:customStyle="1" w:styleId="ARCADIStab6">
    <w:name w:val="ARCADIS_tab6"/>
    <w:basedOn w:val="Standaardtabel"/>
    <w:uiPriority w:val="99"/>
    <w:qFormat/>
    <w:rsid w:val="009D754B"/>
    <w:pPr>
      <w:spacing w:after="0" w:line="240" w:lineRule="auto"/>
    </w:pPr>
    <w:rPr>
      <w:rFonts w:ascii="Arial" w:hAnsi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2"/>
      </w:tcPr>
    </w:tblStylePr>
    <w:tblStylePr w:type="firstCol">
      <w:rPr>
        <w:b/>
        <w:color w:val="FFFFFF" w:themeColor="background1"/>
      </w:rPr>
      <w:tblPr/>
      <w:tcPr>
        <w:shd w:val="clear" w:color="auto" w:fill="0079A2"/>
      </w:tcPr>
    </w:tblStylePr>
  </w:style>
  <w:style w:type="paragraph" w:customStyle="1" w:styleId="Artikel">
    <w:name w:val="Artikel"/>
    <w:basedOn w:val="Standaard"/>
    <w:next w:val="Standaard"/>
    <w:qFormat/>
    <w:rsid w:val="009D754B"/>
    <w:pPr>
      <w:numPr>
        <w:numId w:val="1"/>
      </w:numPr>
    </w:pPr>
    <w:rPr>
      <w:b/>
    </w:rPr>
  </w:style>
  <w:style w:type="paragraph" w:styleId="Ballontekst">
    <w:name w:val="Balloon Text"/>
    <w:basedOn w:val="Standaard"/>
    <w:link w:val="BallontekstChar"/>
    <w:uiPriority w:val="99"/>
    <w:semiHidden/>
    <w:rsid w:val="009D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4B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- Niveau 1 Char"/>
    <w:basedOn w:val="Standaardalinea-lettertype"/>
    <w:link w:val="Kop1"/>
    <w:rsid w:val="009D754B"/>
    <w:rPr>
      <w:rFonts w:ascii="Arial" w:hAnsi="Arial" w:cs="Arial"/>
      <w:b/>
      <w:bCs/>
      <w:color w:val="0079A2"/>
      <w:kern w:val="32"/>
      <w:sz w:val="28"/>
      <w:szCs w:val="32"/>
    </w:rPr>
  </w:style>
  <w:style w:type="character" w:customStyle="1" w:styleId="Kop2Char">
    <w:name w:val="Kop 2 Char"/>
    <w:aliases w:val="- Niveau 2 Char"/>
    <w:basedOn w:val="Standaardalinea-lettertype"/>
    <w:link w:val="Kop2"/>
    <w:rsid w:val="009D754B"/>
    <w:rPr>
      <w:rFonts w:ascii="Arial" w:hAnsi="Arial" w:cs="Arial"/>
      <w:b/>
      <w:bCs/>
      <w:iCs/>
      <w:color w:val="0079A2"/>
      <w:sz w:val="24"/>
      <w:szCs w:val="28"/>
    </w:rPr>
  </w:style>
  <w:style w:type="character" w:customStyle="1" w:styleId="Kop3Char">
    <w:name w:val="Kop 3 Char"/>
    <w:aliases w:val="- Niveau 3 Char"/>
    <w:basedOn w:val="Standaardalinea-lettertype"/>
    <w:link w:val="Kop3"/>
    <w:rsid w:val="009D754B"/>
    <w:rPr>
      <w:rFonts w:ascii="Arial" w:hAnsi="Arial" w:cs="Arial"/>
      <w:b/>
      <w:bCs/>
      <w:color w:val="0079A2"/>
      <w:szCs w:val="26"/>
    </w:rPr>
  </w:style>
  <w:style w:type="character" w:customStyle="1" w:styleId="Kop4Char">
    <w:name w:val="Kop 4 Char"/>
    <w:aliases w:val="- Niveau 4 Char"/>
    <w:basedOn w:val="Standaardalinea-lettertype"/>
    <w:link w:val="Kop4"/>
    <w:rsid w:val="009D754B"/>
    <w:rPr>
      <w:rFonts w:ascii="Arial" w:hAnsi="Arial"/>
      <w:bCs/>
      <w:color w:val="0079A2"/>
      <w:sz w:val="20"/>
      <w:szCs w:val="28"/>
    </w:rPr>
  </w:style>
  <w:style w:type="character" w:customStyle="1" w:styleId="Kop5Char">
    <w:name w:val="Kop 5 Char"/>
    <w:aliases w:val="- Niveau 5 Char"/>
    <w:basedOn w:val="Standaardalinea-lettertype"/>
    <w:link w:val="Kop5"/>
    <w:rsid w:val="009D754B"/>
    <w:rPr>
      <w:rFonts w:ascii="Arial" w:hAnsi="Arial"/>
      <w:bCs/>
      <w:iCs/>
      <w:color w:val="0079A2"/>
      <w:sz w:val="20"/>
      <w:szCs w:val="26"/>
    </w:rPr>
  </w:style>
  <w:style w:type="character" w:customStyle="1" w:styleId="Kop6Char">
    <w:name w:val="Kop 6 Char"/>
    <w:aliases w:val="- Niveau 6 Char"/>
    <w:basedOn w:val="Standaardalinea-lettertype"/>
    <w:link w:val="Kop6"/>
    <w:rsid w:val="009D754B"/>
    <w:rPr>
      <w:rFonts w:ascii="Arial" w:hAnsi="Arial"/>
      <w:bCs/>
      <w:color w:val="0079A2"/>
      <w:sz w:val="20"/>
    </w:rPr>
  </w:style>
  <w:style w:type="character" w:customStyle="1" w:styleId="Kop7Char">
    <w:name w:val="Kop 7 Char"/>
    <w:aliases w:val="Niveau 7 Char"/>
    <w:basedOn w:val="Standaardalinea-lettertype"/>
    <w:link w:val="Kop7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u w:val="single"/>
    </w:rPr>
  </w:style>
  <w:style w:type="character" w:customStyle="1" w:styleId="Kop8Char">
    <w:name w:val="Kop 8 Char"/>
    <w:aliases w:val="Niveau 8 Char"/>
    <w:basedOn w:val="Standaardalinea-lettertype"/>
    <w:link w:val="Kop8"/>
    <w:uiPriority w:val="9"/>
    <w:rsid w:val="009D754B"/>
    <w:rPr>
      <w:rFonts w:ascii="Arial" w:eastAsiaTheme="majorEastAsia" w:hAnsi="Arial" w:cstheme="majorBidi"/>
      <w:b/>
      <w:iCs/>
      <w:color w:val="404040" w:themeColor="text1" w:themeTint="BF"/>
      <w:sz w:val="20"/>
      <w:szCs w:val="20"/>
    </w:rPr>
  </w:style>
  <w:style w:type="character" w:customStyle="1" w:styleId="Kop9Char">
    <w:name w:val="Kop 9 Char"/>
    <w:aliases w:val="Niveau 9 Char"/>
    <w:basedOn w:val="Standaardalinea-lettertype"/>
    <w:link w:val="Kop9"/>
    <w:uiPriority w:val="9"/>
    <w:rsid w:val="009D754B"/>
    <w:rPr>
      <w:rFonts w:ascii="Arial" w:eastAsiaTheme="majorEastAsia" w:hAnsi="Arial" w:cstheme="majorBidi"/>
      <w:i/>
      <w:color w:val="404040" w:themeColor="text1" w:themeTint="BF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CC3B0B"/>
    <w:rPr>
      <w:sz w:val="16"/>
      <w:vertAlign w:val="superscript"/>
    </w:rPr>
  </w:style>
  <w:style w:type="paragraph" w:styleId="Eindnoottekst">
    <w:name w:val="endnote text"/>
    <w:basedOn w:val="Standaard"/>
    <w:link w:val="EindnoottekstChar"/>
    <w:autoRedefine/>
    <w:uiPriority w:val="99"/>
    <w:rsid w:val="00CC3B0B"/>
    <w:pPr>
      <w:spacing w:after="0" w:line="240" w:lineRule="auto"/>
    </w:pPr>
    <w:rPr>
      <w:sz w:val="16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CC3B0B"/>
    <w:rPr>
      <w:rFonts w:ascii="Arial" w:hAnsi="Arial"/>
      <w:sz w:val="16"/>
      <w:szCs w:val="20"/>
    </w:rPr>
  </w:style>
  <w:style w:type="character" w:styleId="GevolgdeHyperlink">
    <w:name w:val="FollowedHyperlink"/>
    <w:basedOn w:val="Standaardalinea-lettertype"/>
    <w:semiHidden/>
    <w:rsid w:val="007C6DA2"/>
    <w:rPr>
      <w:color w:val="0079A2"/>
      <w:u w:val="single"/>
    </w:rPr>
  </w:style>
  <w:style w:type="character" w:styleId="Hyperlink">
    <w:name w:val="Hyperlink"/>
    <w:basedOn w:val="Standaardalinea-lettertype"/>
    <w:uiPriority w:val="99"/>
    <w:rsid w:val="007C6DA2"/>
    <w:rPr>
      <w:color w:val="0079A2"/>
      <w:u w:val="single"/>
    </w:rPr>
  </w:style>
  <w:style w:type="paragraph" w:styleId="Inhopg1">
    <w:name w:val="toc 1"/>
    <w:basedOn w:val="Standaard"/>
    <w:next w:val="Standaard"/>
    <w:autoRedefine/>
    <w:uiPriority w:val="39"/>
    <w:rsid w:val="00F741E6"/>
    <w:pPr>
      <w:tabs>
        <w:tab w:val="left" w:pos="1701"/>
        <w:tab w:val="right" w:leader="dot" w:pos="9072"/>
      </w:tabs>
      <w:spacing w:line="240" w:lineRule="auto"/>
    </w:pPr>
    <w:rPr>
      <w:b/>
      <w:color w:val="0079A3"/>
    </w:rPr>
  </w:style>
  <w:style w:type="paragraph" w:styleId="Inhopg2">
    <w:name w:val="toc 2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3">
    <w:name w:val="toc 3"/>
    <w:basedOn w:val="Standaard"/>
    <w:next w:val="Standaard"/>
    <w:autoRedefine/>
    <w:uiPriority w:val="39"/>
    <w:rsid w:val="00E779BF"/>
    <w:pPr>
      <w:spacing w:line="240" w:lineRule="auto"/>
    </w:pPr>
    <w:rPr>
      <w:color w:val="0079A3"/>
    </w:rPr>
  </w:style>
  <w:style w:type="paragraph" w:styleId="Inhopg4">
    <w:name w:val="toc 4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5">
    <w:name w:val="toc 5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  <w:szCs w:val="18"/>
    </w:rPr>
  </w:style>
  <w:style w:type="paragraph" w:styleId="Inhopg6">
    <w:name w:val="toc 6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7">
    <w:name w:val="toc 7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8">
    <w:name w:val="toc 8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Inhopg9">
    <w:name w:val="toc 9"/>
    <w:basedOn w:val="Standaard"/>
    <w:next w:val="Standaard"/>
    <w:autoRedefine/>
    <w:semiHidden/>
    <w:rsid w:val="00E779BF"/>
    <w:pPr>
      <w:spacing w:line="240" w:lineRule="auto"/>
      <w:ind w:left="1701" w:hanging="1701"/>
    </w:pPr>
    <w:rPr>
      <w:color w:val="0079A2"/>
      <w:sz w:val="18"/>
    </w:rPr>
  </w:style>
  <w:style w:type="paragraph" w:styleId="Kopvaninhoudsopgave">
    <w:name w:val="TOC Heading"/>
    <w:basedOn w:val="Standaard"/>
    <w:next w:val="ARCADISStandaard"/>
    <w:uiPriority w:val="39"/>
    <w:qFormat/>
    <w:rsid w:val="00BC6E71"/>
    <w:pPr>
      <w:spacing w:before="480" w:after="480"/>
    </w:pPr>
    <w:rPr>
      <w:b/>
      <w:color w:val="0079A3"/>
      <w:sz w:val="32"/>
    </w:rPr>
  </w:style>
  <w:style w:type="paragraph" w:styleId="Koptekst">
    <w:name w:val="header"/>
    <w:basedOn w:val="Standaard"/>
    <w:link w:val="KoptekstChar"/>
    <w:uiPriority w:val="99"/>
    <w:qFormat/>
    <w:rsid w:val="00BC6E71"/>
    <w:pPr>
      <w:tabs>
        <w:tab w:val="center" w:pos="4820"/>
        <w:tab w:val="right" w:pos="9639"/>
      </w:tabs>
      <w:spacing w:after="0" w:line="240" w:lineRule="auto"/>
    </w:pPr>
    <w:rPr>
      <w:color w:val="0079A3"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BC6E71"/>
    <w:rPr>
      <w:rFonts w:ascii="Arial" w:hAnsi="Arial"/>
      <w:color w:val="0079A3"/>
      <w:sz w:val="16"/>
    </w:rPr>
  </w:style>
  <w:style w:type="paragraph" w:styleId="Lijstmetafbeeldingen">
    <w:name w:val="table of figures"/>
    <w:basedOn w:val="Standaard"/>
    <w:next w:val="Standaard"/>
    <w:semiHidden/>
    <w:rsid w:val="00BC6E71"/>
    <w:rPr>
      <w:color w:val="0079A2"/>
    </w:rPr>
  </w:style>
  <w:style w:type="paragraph" w:styleId="Lijstalinea">
    <w:name w:val="List Paragraph"/>
    <w:basedOn w:val="Standaard"/>
    <w:uiPriority w:val="34"/>
    <w:qFormat/>
    <w:rsid w:val="00BC6E71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rsid w:val="00BC6E71"/>
    <w:pPr>
      <w:numPr>
        <w:numId w:val="9"/>
      </w:numPr>
      <w:contextualSpacing/>
    </w:pPr>
  </w:style>
  <w:style w:type="paragraph" w:customStyle="1" w:styleId="OpsommingLetter">
    <w:name w:val="Opsomming Letter"/>
    <w:basedOn w:val="Standaard"/>
    <w:qFormat/>
    <w:rsid w:val="00BC6E71"/>
    <w:pPr>
      <w:numPr>
        <w:numId w:val="10"/>
      </w:numPr>
    </w:pPr>
  </w:style>
  <w:style w:type="paragraph" w:customStyle="1" w:styleId="OpsommingNummer">
    <w:name w:val="Opsomming Nummer"/>
    <w:basedOn w:val="Standaard"/>
    <w:qFormat/>
    <w:rsid w:val="00BC6E71"/>
    <w:pPr>
      <w:numPr>
        <w:numId w:val="11"/>
      </w:numPr>
    </w:pPr>
  </w:style>
  <w:style w:type="paragraph" w:customStyle="1" w:styleId="OpsommingSymbool">
    <w:name w:val="Opsomming Symbool"/>
    <w:basedOn w:val="Standaard"/>
    <w:qFormat/>
    <w:rsid w:val="00BC6E71"/>
    <w:pPr>
      <w:numPr>
        <w:numId w:val="12"/>
      </w:numPr>
    </w:pPr>
  </w:style>
  <w:style w:type="paragraph" w:customStyle="1" w:styleId="Samenvatting-Niveau1">
    <w:name w:val="Samenvatting - Niveau 1"/>
    <w:basedOn w:val="Standaard"/>
    <w:next w:val="ARCADISStandaard"/>
    <w:qFormat/>
    <w:rsid w:val="00CD38D4"/>
    <w:pPr>
      <w:numPr>
        <w:numId w:val="18"/>
      </w:numPr>
      <w:spacing w:before="240" w:after="320"/>
    </w:pPr>
    <w:rPr>
      <w:b/>
      <w:color w:val="0079A2"/>
      <w:sz w:val="28"/>
    </w:rPr>
  </w:style>
  <w:style w:type="paragraph" w:customStyle="1" w:styleId="Samenvatting-Niveau2">
    <w:name w:val="Samenvatting - Niveau 2"/>
    <w:basedOn w:val="Standaard"/>
    <w:next w:val="ARCADISStandaard"/>
    <w:qFormat/>
    <w:rsid w:val="00CD38D4"/>
    <w:pPr>
      <w:numPr>
        <w:ilvl w:val="1"/>
        <w:numId w:val="18"/>
      </w:numPr>
      <w:spacing w:before="120" w:after="180"/>
    </w:pPr>
    <w:rPr>
      <w:b/>
      <w:color w:val="0079A2"/>
      <w:sz w:val="24"/>
    </w:rPr>
  </w:style>
  <w:style w:type="paragraph" w:customStyle="1" w:styleId="Samenvatting-Niveau3">
    <w:name w:val="Samenvatting - Niveau 3"/>
    <w:basedOn w:val="Standaard"/>
    <w:next w:val="ARCADISStandaard"/>
    <w:qFormat/>
    <w:rsid w:val="00CD38D4"/>
    <w:pPr>
      <w:numPr>
        <w:ilvl w:val="2"/>
        <w:numId w:val="18"/>
      </w:numPr>
      <w:spacing w:after="120"/>
    </w:pPr>
    <w:rPr>
      <w:b/>
      <w:color w:val="0079A2"/>
    </w:rPr>
  </w:style>
  <w:style w:type="paragraph" w:customStyle="1" w:styleId="Samenvatting-Niveau4">
    <w:name w:val="Samenvatting - Niveau 4"/>
    <w:basedOn w:val="Standaard"/>
    <w:next w:val="ARCADISStandaard"/>
    <w:qFormat/>
    <w:rsid w:val="00CD38D4"/>
    <w:pPr>
      <w:numPr>
        <w:ilvl w:val="3"/>
        <w:numId w:val="18"/>
      </w:numPr>
    </w:pPr>
    <w:rPr>
      <w:color w:val="0079A2"/>
    </w:rPr>
  </w:style>
  <w:style w:type="paragraph" w:customStyle="1" w:styleId="Samenvatting-Niveau5">
    <w:name w:val="Samenvatting - Niveau 5"/>
    <w:basedOn w:val="Standaard"/>
    <w:next w:val="ARCADISStandaard"/>
    <w:qFormat/>
    <w:rsid w:val="00CD38D4"/>
    <w:pPr>
      <w:keepNext/>
      <w:numPr>
        <w:ilvl w:val="4"/>
        <w:numId w:val="18"/>
      </w:numPr>
    </w:pPr>
    <w:rPr>
      <w:color w:val="0079A2"/>
    </w:rPr>
  </w:style>
  <w:style w:type="paragraph" w:customStyle="1" w:styleId="Samenvatting-Niveau6">
    <w:name w:val="Samenvatting - Niveau 6"/>
    <w:basedOn w:val="Standaard"/>
    <w:next w:val="ARCADISStandaard"/>
    <w:qFormat/>
    <w:rsid w:val="00CD38D4"/>
    <w:pPr>
      <w:keepNext/>
      <w:numPr>
        <w:ilvl w:val="5"/>
        <w:numId w:val="18"/>
      </w:numPr>
    </w:pPr>
    <w:rPr>
      <w:color w:val="0079A2"/>
    </w:rPr>
  </w:style>
  <w:style w:type="paragraph" w:customStyle="1" w:styleId="Samenvatting-Titel">
    <w:name w:val="Samenvatting - Titel"/>
    <w:basedOn w:val="Standaard"/>
    <w:next w:val="ARCADISStandaard"/>
    <w:qFormat/>
    <w:rsid w:val="00CD38D4"/>
    <w:pPr>
      <w:keepNext/>
      <w:spacing w:before="240" w:after="320"/>
    </w:pPr>
    <w:rPr>
      <w:b/>
      <w:color w:val="0079A2"/>
      <w:sz w:val="40"/>
      <w:szCs w:val="40"/>
    </w:rPr>
  </w:style>
  <w:style w:type="paragraph" w:customStyle="1" w:styleId="Samenvattingssubtitel">
    <w:name w:val="Samenvattingssubtitel"/>
    <w:basedOn w:val="Standaard"/>
    <w:next w:val="Standaard"/>
    <w:qFormat/>
    <w:rsid w:val="00CD38D4"/>
    <w:pPr>
      <w:keepNext/>
      <w:spacing w:before="240" w:after="240"/>
    </w:pPr>
    <w:rPr>
      <w:b/>
      <w:color w:val="0079A3"/>
      <w:spacing w:val="15"/>
      <w:kern w:val="28"/>
      <w:sz w:val="32"/>
    </w:rPr>
  </w:style>
  <w:style w:type="paragraph" w:customStyle="1" w:styleId="Subbijlage">
    <w:name w:val="Subbijlage"/>
    <w:basedOn w:val="Standaard"/>
    <w:next w:val="ARCADISStandaard"/>
    <w:qFormat/>
    <w:rsid w:val="00CD38D4"/>
    <w:pPr>
      <w:keepNext/>
      <w:numPr>
        <w:numId w:val="19"/>
      </w:numPr>
      <w:spacing w:before="320" w:after="180"/>
    </w:pPr>
    <w:rPr>
      <w:b/>
      <w:color w:val="0079A3"/>
      <w:sz w:val="32"/>
    </w:rPr>
  </w:style>
  <w:style w:type="paragraph" w:styleId="Ondertitel">
    <w:name w:val="Subtitle"/>
    <w:basedOn w:val="Standaard"/>
    <w:next w:val="ARCADISStandaard"/>
    <w:link w:val="OndertitelChar"/>
    <w:qFormat/>
    <w:rsid w:val="00CD38D4"/>
    <w:pPr>
      <w:keepNext/>
      <w:numPr>
        <w:numId w:val="20"/>
      </w:numPr>
      <w:spacing w:before="120"/>
      <w:outlineLvl w:val="1"/>
    </w:pPr>
    <w:rPr>
      <w:rFonts w:cs="Arial"/>
      <w:b/>
      <w:color w:val="0079A2"/>
      <w:sz w:val="32"/>
      <w:szCs w:val="32"/>
    </w:rPr>
  </w:style>
  <w:style w:type="character" w:customStyle="1" w:styleId="OndertitelChar">
    <w:name w:val="Ondertitel Char"/>
    <w:basedOn w:val="Standaardalinea-lettertype"/>
    <w:link w:val="Ondertitel"/>
    <w:rsid w:val="00CD38D4"/>
    <w:rPr>
      <w:rFonts w:ascii="Arial" w:hAnsi="Arial" w:cs="Arial"/>
      <w:b/>
      <w:color w:val="0079A2"/>
      <w:sz w:val="32"/>
      <w:szCs w:val="32"/>
    </w:rPr>
  </w:style>
  <w:style w:type="table" w:styleId="Tabelraster">
    <w:name w:val="Table Grid"/>
    <w:basedOn w:val="Standaardtabel"/>
    <w:uiPriority w:val="59"/>
    <w:rsid w:val="00CD3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ARCADISStandaard"/>
    <w:link w:val="TitelChar"/>
    <w:qFormat/>
    <w:rsid w:val="00CD38D4"/>
    <w:pPr>
      <w:keepNext/>
      <w:spacing w:before="240" w:after="100"/>
      <w:outlineLvl w:val="0"/>
    </w:pPr>
    <w:rPr>
      <w:rFonts w:cs="Arial"/>
      <w:b/>
      <w:bCs/>
      <w:color w:val="0079A2"/>
      <w:kern w:val="28"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464CE4"/>
    <w:rPr>
      <w:rFonts w:ascii="Arial" w:hAnsi="Arial" w:cs="Arial"/>
      <w:b/>
      <w:bCs/>
      <w:color w:val="0079A2"/>
      <w:kern w:val="28"/>
      <w:sz w:val="40"/>
      <w:szCs w:val="40"/>
    </w:rPr>
  </w:style>
  <w:style w:type="character" w:styleId="Verwijzingopmerking">
    <w:name w:val="annotation reference"/>
    <w:basedOn w:val="Standaardalinea-lettertype"/>
    <w:uiPriority w:val="99"/>
    <w:rsid w:val="00CD38D4"/>
    <w:rPr>
      <w:rFonts w:ascii="Arial" w:hAnsi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rsid w:val="00CD38D4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link w:val="VoetnoottekstChar"/>
    <w:autoRedefine/>
    <w:rsid w:val="00CD38D4"/>
    <w:pPr>
      <w:spacing w:before="20" w:after="2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D38D4"/>
    <w:rPr>
      <w:rFonts w:ascii="Arial" w:hAnsi="Arial"/>
      <w:sz w:val="16"/>
      <w:szCs w:val="20"/>
    </w:rPr>
  </w:style>
  <w:style w:type="paragraph" w:styleId="Voettekst">
    <w:name w:val="footer"/>
    <w:basedOn w:val="Standaard"/>
    <w:link w:val="VoettekstChar"/>
    <w:uiPriority w:val="99"/>
    <w:rsid w:val="00CD38D4"/>
    <w:pPr>
      <w:keepNext/>
      <w:tabs>
        <w:tab w:val="center" w:pos="4820"/>
        <w:tab w:val="right" w:pos="9639"/>
      </w:tabs>
      <w:spacing w:after="0" w:line="0" w:lineRule="atLeast"/>
    </w:pPr>
    <w:rPr>
      <w:color w:val="0079A3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38D4"/>
    <w:rPr>
      <w:rFonts w:ascii="Arial" w:hAnsi="Arial"/>
      <w:color w:val="0079A3"/>
      <w:sz w:val="16"/>
    </w:rPr>
  </w:style>
  <w:style w:type="paragraph" w:styleId="Bijschrift">
    <w:name w:val="caption"/>
    <w:basedOn w:val="Standaard"/>
    <w:next w:val="Standaard"/>
    <w:autoRedefine/>
    <w:rsid w:val="00F46B1B"/>
    <w:pPr>
      <w:keepNext/>
      <w:spacing w:line="280" w:lineRule="exact"/>
      <w:ind w:left="1701"/>
    </w:pPr>
    <w:rPr>
      <w:bCs/>
      <w:color w:val="0079A3"/>
      <w:sz w:val="18"/>
      <w:szCs w:val="20"/>
      <w:lang w:val="fr-FR"/>
    </w:rPr>
  </w:style>
  <w:style w:type="paragraph" w:customStyle="1" w:styleId="Opsommingsymbool0">
    <w:name w:val="Opsomming symbool 0"/>
    <w:basedOn w:val="Lijstalinea"/>
    <w:qFormat/>
    <w:rsid w:val="003B7434"/>
    <w:pPr>
      <w:numPr>
        <w:numId w:val="21"/>
      </w:numPr>
    </w:pPr>
  </w:style>
  <w:style w:type="paragraph" w:customStyle="1" w:styleId="OpsommingLetter0">
    <w:name w:val="Opsomming Letter 0"/>
    <w:basedOn w:val="Lijstalinea"/>
    <w:qFormat/>
    <w:rsid w:val="003B7434"/>
    <w:pPr>
      <w:numPr>
        <w:numId w:val="22"/>
      </w:numPr>
    </w:pPr>
  </w:style>
  <w:style w:type="paragraph" w:customStyle="1" w:styleId="OpsommingNummer0">
    <w:name w:val="Opsomming Nummer 0"/>
    <w:basedOn w:val="Lijstalinea"/>
    <w:qFormat/>
    <w:rsid w:val="003B7434"/>
    <w:pPr>
      <w:numPr>
        <w:numId w:val="23"/>
      </w:numPr>
    </w:pPr>
  </w:style>
  <w:style w:type="table" w:customStyle="1" w:styleId="ARCADIStab7">
    <w:name w:val="ARCADIS_tab7"/>
    <w:basedOn w:val="ARCADIStab3"/>
    <w:uiPriority w:val="99"/>
    <w:qFormat/>
    <w:rsid w:val="00091DE3"/>
    <w:tblPr>
      <w:tblInd w:w="0" w:type="dxa"/>
      <w:tblBorders>
        <w:top w:val="single" w:sz="4" w:space="0" w:color="0079A3"/>
        <w:left w:val="single" w:sz="4" w:space="0" w:color="0079A3"/>
        <w:bottom w:val="single" w:sz="4" w:space="0" w:color="0079A3"/>
        <w:right w:val="single" w:sz="4" w:space="0" w:color="0079A3"/>
        <w:insideH w:val="single" w:sz="4" w:space="0" w:color="0079A3"/>
        <w:insideV w:val="single" w:sz="4" w:space="0" w:color="0079A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9A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399E61F-7859-43A8-A352-7A89B81D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ARCADIS Belgium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Volckaert, Annemie</dc:creator>
  <cp:lastModifiedBy>Volckaert, Annemie</cp:lastModifiedBy>
  <cp:revision>27</cp:revision>
  <dcterms:created xsi:type="dcterms:W3CDTF">2014-02-19T10:41:00Z</dcterms:created>
  <dcterms:modified xsi:type="dcterms:W3CDTF">2014-04-02T10:49:00Z</dcterms:modified>
</cp:coreProperties>
</file>