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Layout w:type="fixed"/>
        <w:tblLook w:val="04A0" w:firstRow="1" w:lastRow="0" w:firstColumn="1" w:lastColumn="0" w:noHBand="0" w:noVBand="1"/>
      </w:tblPr>
      <w:tblGrid>
        <w:gridCol w:w="1044"/>
        <w:gridCol w:w="8703"/>
        <w:gridCol w:w="4253"/>
      </w:tblGrid>
      <w:tr w:rsidR="002C57C9" w:rsidRPr="00211CBF" w:rsidTr="00E37B60">
        <w:trPr>
          <w:trHeight w:val="322"/>
        </w:trPr>
        <w:tc>
          <w:tcPr>
            <w:tcW w:w="9747" w:type="dxa"/>
            <w:gridSpan w:val="2"/>
            <w:noWrap/>
            <w:hideMark/>
          </w:tcPr>
          <w:p w:rsidR="002C57C9" w:rsidRPr="00211CBF" w:rsidRDefault="002C57C9" w:rsidP="00E37B60">
            <w:pPr>
              <w:pStyle w:val="BodyText"/>
              <w:spacing w:after="0" w:line="276" w:lineRule="auto"/>
              <w:rPr>
                <w:b/>
                <w:bCs/>
              </w:rPr>
            </w:pPr>
            <w:r w:rsidRPr="00211CBF">
              <w:rPr>
                <w:b/>
                <w:bCs/>
              </w:rPr>
              <w:t>MONITORING FACT SHEET</w:t>
            </w:r>
            <w:r w:rsidR="00052080">
              <w:rPr>
                <w:b/>
                <w:bCs/>
              </w:rPr>
              <w:t xml:space="preserve"> </w:t>
            </w:r>
          </w:p>
        </w:tc>
        <w:tc>
          <w:tcPr>
            <w:tcW w:w="4253" w:type="dxa"/>
            <w:vMerge w:val="restart"/>
          </w:tcPr>
          <w:p w:rsidR="002C57C9" w:rsidRPr="00211CBF" w:rsidRDefault="002C57C9" w:rsidP="00E37B60">
            <w:pPr>
              <w:pStyle w:val="BodyText"/>
              <w:spacing w:after="0"/>
              <w:rPr>
                <w:b/>
                <w:bCs/>
              </w:rPr>
            </w:pPr>
          </w:p>
        </w:tc>
      </w:tr>
      <w:tr w:rsidR="002C57C9" w:rsidRPr="00211CBF" w:rsidTr="00E37B60">
        <w:trPr>
          <w:trHeight w:val="276"/>
        </w:trPr>
        <w:tc>
          <w:tcPr>
            <w:tcW w:w="1044" w:type="dxa"/>
            <w:noWrap/>
            <w:hideMark/>
          </w:tcPr>
          <w:p w:rsidR="002C57C9" w:rsidRPr="00211CBF" w:rsidRDefault="002C57C9" w:rsidP="00E37B60">
            <w:pPr>
              <w:pStyle w:val="BodyText"/>
              <w:spacing w:after="0" w:line="276" w:lineRule="auto"/>
            </w:pPr>
          </w:p>
        </w:tc>
        <w:tc>
          <w:tcPr>
            <w:tcW w:w="8703" w:type="dxa"/>
            <w:noWrap/>
            <w:hideMark/>
          </w:tcPr>
          <w:p w:rsidR="002C57C9" w:rsidRPr="00211CBF" w:rsidRDefault="002C57C9" w:rsidP="00E37B60">
            <w:pPr>
              <w:pStyle w:val="BodyText"/>
              <w:spacing w:after="0" w:line="276" w:lineRule="auto"/>
            </w:pPr>
          </w:p>
        </w:tc>
        <w:tc>
          <w:tcPr>
            <w:tcW w:w="4253" w:type="dxa"/>
            <w:vMerge/>
          </w:tcPr>
          <w:p w:rsidR="002C57C9" w:rsidRPr="00211CBF" w:rsidRDefault="002C57C9" w:rsidP="00E37B60">
            <w:pPr>
              <w:pStyle w:val="BodyText"/>
              <w:spacing w:after="0"/>
            </w:pPr>
          </w:p>
        </w:tc>
      </w:tr>
      <w:tr w:rsidR="002C57C9" w:rsidRPr="00211CBF" w:rsidTr="00E37B60">
        <w:trPr>
          <w:trHeight w:val="276"/>
        </w:trPr>
        <w:tc>
          <w:tcPr>
            <w:tcW w:w="1044" w:type="dxa"/>
            <w:noWrap/>
          </w:tcPr>
          <w:p w:rsidR="002C57C9" w:rsidRPr="00211CBF" w:rsidRDefault="002C57C9" w:rsidP="00E37B60">
            <w:pPr>
              <w:pStyle w:val="BodyText"/>
              <w:spacing w:after="0"/>
              <w:rPr>
                <w:b/>
                <w:bCs/>
              </w:rPr>
            </w:pPr>
          </w:p>
        </w:tc>
        <w:tc>
          <w:tcPr>
            <w:tcW w:w="8703" w:type="dxa"/>
            <w:noWrap/>
          </w:tcPr>
          <w:p w:rsidR="002C57C9" w:rsidRPr="00211CBF" w:rsidRDefault="002C57C9" w:rsidP="00E37B60">
            <w:pPr>
              <w:pStyle w:val="BodyText"/>
              <w:spacing w:after="0"/>
            </w:pPr>
          </w:p>
        </w:tc>
        <w:tc>
          <w:tcPr>
            <w:tcW w:w="4253" w:type="dxa"/>
            <w:vMerge/>
          </w:tcPr>
          <w:p w:rsidR="002C57C9" w:rsidRPr="00211CBF" w:rsidRDefault="002C57C9" w:rsidP="00E37B60">
            <w:pPr>
              <w:pStyle w:val="BodyText"/>
              <w:spacing w:after="0"/>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Country:</w:t>
            </w:r>
          </w:p>
        </w:tc>
        <w:tc>
          <w:tcPr>
            <w:tcW w:w="8703" w:type="dxa"/>
            <w:noWrap/>
            <w:hideMark/>
          </w:tcPr>
          <w:p w:rsidR="002C57C9" w:rsidRPr="00211CBF" w:rsidRDefault="006F53F2" w:rsidP="00E37B60">
            <w:pPr>
              <w:pStyle w:val="BodyText"/>
              <w:spacing w:after="0" w:line="276" w:lineRule="auto"/>
              <w:rPr>
                <w:i/>
                <w:iCs/>
              </w:rPr>
            </w:pPr>
            <w:proofErr w:type="spellStart"/>
            <w:r>
              <w:rPr>
                <w:i/>
                <w:iCs/>
              </w:rPr>
              <w:t>Bulgaria</w:t>
            </w:r>
            <w:proofErr w:type="spellEnd"/>
          </w:p>
        </w:tc>
        <w:tc>
          <w:tcPr>
            <w:tcW w:w="4253" w:type="dxa"/>
            <w:vMerge/>
          </w:tcPr>
          <w:p w:rsidR="002C57C9" w:rsidRPr="00211CBF" w:rsidRDefault="002C57C9" w:rsidP="00E37B60">
            <w:pPr>
              <w:pStyle w:val="BodyText"/>
              <w:spacing w:after="0"/>
              <w:rPr>
                <w:i/>
                <w:iCs/>
              </w:rPr>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Author:</w:t>
            </w:r>
          </w:p>
        </w:tc>
        <w:tc>
          <w:tcPr>
            <w:tcW w:w="8703" w:type="dxa"/>
            <w:noWrap/>
            <w:hideMark/>
          </w:tcPr>
          <w:p w:rsidR="002C57C9" w:rsidRPr="00211CBF" w:rsidRDefault="006F53F2" w:rsidP="00E37B60">
            <w:pPr>
              <w:pStyle w:val="BodyText"/>
              <w:spacing w:after="0" w:line="276" w:lineRule="auto"/>
              <w:rPr>
                <w:i/>
                <w:iCs/>
              </w:rPr>
            </w:pPr>
            <w:r>
              <w:rPr>
                <w:i/>
                <w:iCs/>
              </w:rPr>
              <w:t xml:space="preserve">Georgi </w:t>
            </w:r>
            <w:proofErr w:type="spellStart"/>
            <w:r>
              <w:rPr>
                <w:i/>
                <w:iCs/>
              </w:rPr>
              <w:t>Parlichev</w:t>
            </w:r>
            <w:proofErr w:type="spellEnd"/>
          </w:p>
        </w:tc>
        <w:tc>
          <w:tcPr>
            <w:tcW w:w="4253" w:type="dxa"/>
            <w:vMerge/>
          </w:tcPr>
          <w:p w:rsidR="002C57C9" w:rsidRPr="00211CBF" w:rsidRDefault="002C57C9" w:rsidP="00E37B60">
            <w:pPr>
              <w:pStyle w:val="BodyText"/>
              <w:spacing w:after="0"/>
              <w:rPr>
                <w:i/>
                <w:iCs/>
              </w:rPr>
            </w:pPr>
          </w:p>
        </w:tc>
      </w:tr>
      <w:tr w:rsidR="002C57C9" w:rsidRPr="00211CBF" w:rsidTr="00E37B60">
        <w:trPr>
          <w:trHeight w:val="245"/>
        </w:trPr>
        <w:tc>
          <w:tcPr>
            <w:tcW w:w="1044" w:type="dxa"/>
            <w:noWrap/>
            <w:hideMark/>
          </w:tcPr>
          <w:p w:rsidR="002C57C9" w:rsidRPr="00211CBF" w:rsidRDefault="002C57C9" w:rsidP="00E37B60">
            <w:pPr>
              <w:pStyle w:val="BodyText"/>
              <w:spacing w:after="0" w:line="276" w:lineRule="auto"/>
            </w:pPr>
            <w:r w:rsidRPr="00211CBF">
              <w:t>Institute:</w:t>
            </w:r>
          </w:p>
        </w:tc>
        <w:tc>
          <w:tcPr>
            <w:tcW w:w="8703" w:type="dxa"/>
            <w:noWrap/>
            <w:hideMark/>
          </w:tcPr>
          <w:p w:rsidR="002C57C9" w:rsidRPr="00211CBF" w:rsidRDefault="006F53F2" w:rsidP="006F53F2">
            <w:pPr>
              <w:pStyle w:val="BodyText"/>
              <w:spacing w:after="0" w:line="276" w:lineRule="auto"/>
              <w:rPr>
                <w:i/>
                <w:iCs/>
              </w:rPr>
            </w:pPr>
            <w:r>
              <w:rPr>
                <w:i/>
                <w:iCs/>
              </w:rPr>
              <w:t xml:space="preserve">Black Sea Basin </w:t>
            </w:r>
            <w:proofErr w:type="spellStart"/>
            <w:r>
              <w:rPr>
                <w:i/>
                <w:iCs/>
              </w:rPr>
              <w:t>Directorate</w:t>
            </w:r>
            <w:proofErr w:type="spellEnd"/>
          </w:p>
        </w:tc>
        <w:tc>
          <w:tcPr>
            <w:tcW w:w="4253" w:type="dxa"/>
            <w:vMerge/>
          </w:tcPr>
          <w:p w:rsidR="002C57C9" w:rsidRPr="00211CBF" w:rsidRDefault="002C57C9" w:rsidP="00E37B60">
            <w:pPr>
              <w:pStyle w:val="BodyText"/>
              <w:spacing w:after="0"/>
              <w:rPr>
                <w:i/>
                <w:iCs/>
              </w:rPr>
            </w:pPr>
          </w:p>
        </w:tc>
      </w:tr>
    </w:tbl>
    <w:p w:rsidR="002C57C9" w:rsidRDefault="002C57C9">
      <w:pPr>
        <w:pStyle w:val="BodyText"/>
        <w:rPr>
          <w:lang w:val="en-GB"/>
        </w:rPr>
      </w:pPr>
    </w:p>
    <w:tbl>
      <w:tblPr>
        <w:tblStyle w:val="TableGrid"/>
        <w:tblW w:w="0" w:type="auto"/>
        <w:tblLayout w:type="fixed"/>
        <w:tblLook w:val="04A0" w:firstRow="1" w:lastRow="0" w:firstColumn="1" w:lastColumn="0" w:noHBand="0" w:noVBand="1"/>
      </w:tblPr>
      <w:tblGrid>
        <w:gridCol w:w="2660"/>
        <w:gridCol w:w="5670"/>
        <w:gridCol w:w="5605"/>
      </w:tblGrid>
      <w:tr w:rsidR="00211CBF" w:rsidTr="009B6A62">
        <w:tc>
          <w:tcPr>
            <w:tcW w:w="8330" w:type="dxa"/>
            <w:gridSpan w:val="2"/>
            <w:vAlign w:val="center"/>
          </w:tcPr>
          <w:p w:rsidR="00211CBF" w:rsidRPr="00CF64A9" w:rsidRDefault="00CF64A9" w:rsidP="009D64C3">
            <w:pPr>
              <w:pStyle w:val="BodyText"/>
              <w:jc w:val="center"/>
              <w:rPr>
                <w:b/>
                <w:sz w:val="28"/>
                <w:szCs w:val="28"/>
                <w:lang w:val="en-GB"/>
              </w:rPr>
            </w:pPr>
            <w:r w:rsidRPr="00CF64A9">
              <w:rPr>
                <w:b/>
                <w:color w:val="1F497D" w:themeColor="text2"/>
                <w:sz w:val="28"/>
                <w:szCs w:val="28"/>
                <w:lang w:val="en-GB"/>
              </w:rPr>
              <w:t>MONITORING FACT SHEET TEMPLATE</w:t>
            </w:r>
          </w:p>
        </w:tc>
        <w:tc>
          <w:tcPr>
            <w:tcW w:w="5605" w:type="dxa"/>
          </w:tcPr>
          <w:p w:rsidR="00211CBF" w:rsidRPr="00B3390E" w:rsidRDefault="0056241D" w:rsidP="009D64C3">
            <w:pPr>
              <w:pStyle w:val="BodyText"/>
              <w:rPr>
                <w:b/>
                <w:lang w:val="en-GB"/>
              </w:rPr>
            </w:pPr>
            <w:r w:rsidRPr="00B3390E">
              <w:rPr>
                <w:b/>
                <w:color w:val="0070C0"/>
                <w:lang w:val="en-GB"/>
              </w:rPr>
              <w:t xml:space="preserve">This column is for </w:t>
            </w:r>
            <w:r w:rsidR="00B3390E" w:rsidRPr="00B3390E">
              <w:rPr>
                <w:b/>
                <w:color w:val="0070C0"/>
                <w:lang w:val="en-GB"/>
              </w:rPr>
              <w:t>information only and should be removed when the sheet has been filled in.</w:t>
            </w:r>
          </w:p>
        </w:tc>
      </w:tr>
      <w:tr w:rsidR="00211CBF" w:rsidTr="009B6A62">
        <w:tc>
          <w:tcPr>
            <w:tcW w:w="8330" w:type="dxa"/>
            <w:gridSpan w:val="2"/>
            <w:vAlign w:val="center"/>
          </w:tcPr>
          <w:p w:rsidR="00211CBF" w:rsidRPr="00C002FB" w:rsidRDefault="00211CBF" w:rsidP="006F53F2">
            <w:pPr>
              <w:pStyle w:val="BodyText"/>
              <w:jc w:val="center"/>
              <w:rPr>
                <w:b/>
                <w:sz w:val="24"/>
                <w:szCs w:val="24"/>
                <w:lang w:val="en-GB"/>
              </w:rPr>
            </w:pPr>
            <w:r w:rsidRPr="00C002FB">
              <w:rPr>
                <w:b/>
                <w:sz w:val="24"/>
                <w:szCs w:val="24"/>
                <w:lang w:val="en-GB"/>
              </w:rPr>
              <w:t>Title: Monitoring programme</w:t>
            </w:r>
            <w:r w:rsidR="0056241D">
              <w:rPr>
                <w:b/>
                <w:sz w:val="24"/>
                <w:szCs w:val="24"/>
                <w:lang w:val="en-GB"/>
              </w:rPr>
              <w:t xml:space="preserve"> </w:t>
            </w:r>
            <w:r w:rsidR="006F53F2">
              <w:rPr>
                <w:b/>
                <w:sz w:val="24"/>
                <w:szCs w:val="24"/>
                <w:lang w:val="en-GB"/>
              </w:rPr>
              <w:t>D11 – Underwater Noise</w:t>
            </w:r>
          </w:p>
        </w:tc>
        <w:tc>
          <w:tcPr>
            <w:tcW w:w="5605" w:type="dxa"/>
          </w:tcPr>
          <w:p w:rsidR="00211CBF" w:rsidRPr="00F40E69" w:rsidRDefault="00211CBF" w:rsidP="009D64C3">
            <w:pPr>
              <w:pStyle w:val="BodyText"/>
              <w:rPr>
                <w:color w:val="FF0000"/>
                <w:lang w:val="en-GB"/>
              </w:rPr>
            </w:pPr>
          </w:p>
        </w:tc>
      </w:tr>
      <w:tr w:rsidR="00211CBF" w:rsidTr="009B6A62">
        <w:tc>
          <w:tcPr>
            <w:tcW w:w="8330" w:type="dxa"/>
            <w:gridSpan w:val="2"/>
            <w:shd w:val="clear" w:color="auto" w:fill="4F81BD" w:themeFill="accent1"/>
            <w:vAlign w:val="center"/>
          </w:tcPr>
          <w:p w:rsidR="00211CBF" w:rsidRPr="00CF64A9" w:rsidRDefault="00211CBF" w:rsidP="009D64C3">
            <w:pPr>
              <w:pStyle w:val="BodyText"/>
              <w:jc w:val="center"/>
              <w:rPr>
                <w:b/>
                <w:color w:val="FFFFFF" w:themeColor="background1"/>
                <w:lang w:val="en-GB"/>
              </w:rPr>
            </w:pPr>
            <w:r w:rsidRPr="00CF64A9">
              <w:rPr>
                <w:b/>
                <w:color w:val="FFFFFF" w:themeColor="background1"/>
                <w:lang w:val="en-GB"/>
              </w:rPr>
              <w:t>1. General</w:t>
            </w:r>
          </w:p>
        </w:tc>
        <w:tc>
          <w:tcPr>
            <w:tcW w:w="5605" w:type="dxa"/>
            <w:shd w:val="clear" w:color="auto" w:fill="4F81BD" w:themeFill="accent1"/>
          </w:tcPr>
          <w:p w:rsidR="00211CBF" w:rsidRPr="00CF64A9" w:rsidRDefault="00211CBF" w:rsidP="000814C6">
            <w:pPr>
              <w:pStyle w:val="BodyText"/>
              <w:rPr>
                <w:b/>
                <w:color w:val="FFFFFF" w:themeColor="background1"/>
                <w:lang w:val="en-GB"/>
              </w:rPr>
            </w:pPr>
            <w:r w:rsidRPr="00CF64A9">
              <w:rPr>
                <w:b/>
                <w:color w:val="FFFFFF" w:themeColor="background1"/>
                <w:lang w:val="en-GB"/>
              </w:rPr>
              <w:t xml:space="preserve">Reporting sheet questions (ref. </w:t>
            </w:r>
            <w:r w:rsidR="000814C6">
              <w:rPr>
                <w:b/>
                <w:color w:val="FFFFFF" w:themeColor="background1"/>
                <w:lang w:val="en-GB"/>
              </w:rPr>
              <w:t>DIKE_9-2014-03 for additional guidance on questions</w:t>
            </w:r>
            <w:r w:rsidRPr="00CF64A9">
              <w:rPr>
                <w:b/>
                <w:color w:val="FFFFFF" w:themeColor="background1"/>
                <w:lang w:val="en-GB"/>
              </w:rPr>
              <w:t>) and comments on template suggestions presented below</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1.1 Subject area</w:t>
            </w:r>
          </w:p>
        </w:tc>
        <w:tc>
          <w:tcPr>
            <w:tcW w:w="5670" w:type="dxa"/>
          </w:tcPr>
          <w:p w:rsidR="00211CBF" w:rsidRDefault="00211CBF" w:rsidP="00F40E69">
            <w:pPr>
              <w:pStyle w:val="BodyText"/>
              <w:rPr>
                <w:i/>
                <w:lang w:val="en-GB"/>
              </w:rPr>
            </w:pPr>
            <w:r>
              <w:rPr>
                <w:i/>
                <w:lang w:val="en-GB"/>
              </w:rPr>
              <w:t>What is monitored</w:t>
            </w:r>
            <w:r w:rsidR="001218F7">
              <w:rPr>
                <w:i/>
                <w:lang w:val="en-GB"/>
              </w:rPr>
              <w:t xml:space="preserve"> – programme ID (BLKXX-D</w:t>
            </w:r>
            <w:r w:rsidR="00F40E69">
              <w:rPr>
                <w:i/>
                <w:lang w:val="en-GB"/>
              </w:rPr>
              <w:t>Y</w:t>
            </w:r>
            <w:r w:rsidR="001218F7">
              <w:rPr>
                <w:i/>
                <w:lang w:val="en-GB"/>
              </w:rPr>
              <w:t>)</w:t>
            </w:r>
          </w:p>
          <w:p w:rsidR="006F53F2" w:rsidRDefault="006F53F2" w:rsidP="00F40E69">
            <w:pPr>
              <w:pStyle w:val="BodyText"/>
              <w:rPr>
                <w:lang w:val="en-GB"/>
              </w:rPr>
            </w:pPr>
            <w:r>
              <w:rPr>
                <w:lang w:val="en-GB"/>
              </w:rPr>
              <w:t>Programme name: D11 – Underwater Noise</w:t>
            </w:r>
          </w:p>
          <w:p w:rsidR="006F53F2" w:rsidRPr="006F53F2" w:rsidRDefault="006F53F2" w:rsidP="006F53F2">
            <w:pPr>
              <w:pStyle w:val="BodyText"/>
              <w:rPr>
                <w:lang w:val="en-GB"/>
              </w:rPr>
            </w:pPr>
            <w:r>
              <w:rPr>
                <w:lang w:val="en-GB"/>
              </w:rPr>
              <w:t>Programme ID: BLKBG-D11-Underwater Noise</w:t>
            </w:r>
          </w:p>
        </w:tc>
        <w:tc>
          <w:tcPr>
            <w:tcW w:w="5605" w:type="dxa"/>
          </w:tcPr>
          <w:p w:rsidR="000814C6" w:rsidRPr="008C7581" w:rsidRDefault="00211CBF" w:rsidP="0030084F">
            <w:pPr>
              <w:pStyle w:val="BodyText"/>
              <w:rPr>
                <w:color w:val="FF0000"/>
                <w:lang w:val="en-GB"/>
              </w:rPr>
            </w:pPr>
            <w:r w:rsidRPr="008C7581">
              <w:rPr>
                <w:color w:val="FF0000"/>
                <w:lang w:val="en-GB"/>
              </w:rPr>
              <w:t>Q4: Programme name</w:t>
            </w:r>
            <w:r w:rsidR="003F0F47">
              <w:rPr>
                <w:color w:val="FF0000"/>
                <w:lang w:val="en-GB"/>
              </w:rPr>
              <w:t xml:space="preserve"> (4</w:t>
            </w:r>
            <w:r w:rsidR="0030084F">
              <w:rPr>
                <w:color w:val="FF0000"/>
                <w:lang w:val="en-GB"/>
              </w:rPr>
              <w:t>d</w:t>
            </w:r>
            <w:r w:rsidR="003F0F47">
              <w:rPr>
                <w:color w:val="FF0000"/>
                <w:lang w:val="en-GB"/>
              </w:rPr>
              <w:t>)</w:t>
            </w:r>
            <w:r w:rsidRPr="008C7581">
              <w:rPr>
                <w:color w:val="FF0000"/>
                <w:lang w:val="en-GB"/>
              </w:rPr>
              <w:t>; Programme ID</w:t>
            </w:r>
            <w:r w:rsidR="003F0F47">
              <w:rPr>
                <w:color w:val="FF0000"/>
                <w:lang w:val="en-GB"/>
              </w:rPr>
              <w:t xml:space="preserve"> </w:t>
            </w:r>
            <w:r w:rsidR="00F40E69">
              <w:rPr>
                <w:color w:val="FF0000"/>
                <w:lang w:val="en-GB"/>
              </w:rPr>
              <w:t xml:space="preserve">(exchange XX with BG or RO; exchange Y with relevant descriptor no.) </w:t>
            </w:r>
            <w:r w:rsidR="003F0F47">
              <w:rPr>
                <w:color w:val="FF0000"/>
                <w:lang w:val="en-GB"/>
              </w:rPr>
              <w:t>(4</w:t>
            </w:r>
            <w:r w:rsidR="0030084F">
              <w:rPr>
                <w:color w:val="FF0000"/>
                <w:lang w:val="en-GB"/>
              </w:rPr>
              <w:t>e</w:t>
            </w:r>
            <w:r w:rsidR="003F0F47">
              <w:rPr>
                <w:color w:val="FF0000"/>
                <w:lang w:val="en-GB"/>
              </w:rPr>
              <w:t>)</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1.2 Definition/Description</w:t>
            </w:r>
          </w:p>
        </w:tc>
        <w:tc>
          <w:tcPr>
            <w:tcW w:w="5670" w:type="dxa"/>
          </w:tcPr>
          <w:p w:rsidR="00211CBF" w:rsidRDefault="00211CBF" w:rsidP="009D64C3">
            <w:pPr>
              <w:pStyle w:val="BodyText"/>
              <w:rPr>
                <w:i/>
                <w:lang w:val="en-GB"/>
              </w:rPr>
            </w:pPr>
            <w:r>
              <w:rPr>
                <w:i/>
                <w:lang w:val="en-GB"/>
              </w:rPr>
              <w:t>Definition of items monitored/description of general approach</w:t>
            </w:r>
          </w:p>
          <w:p w:rsidR="00DF4FFB" w:rsidRDefault="00611EE4" w:rsidP="000450B3">
            <w:pPr>
              <w:pStyle w:val="BodyText"/>
              <w:rPr>
                <w:lang w:val="en-GB"/>
              </w:rPr>
            </w:pPr>
            <w:r>
              <w:rPr>
                <w:lang w:val="en-GB"/>
              </w:rPr>
              <w:t xml:space="preserve">Underwater noise </w:t>
            </w:r>
            <w:r w:rsidR="000B6562">
              <w:rPr>
                <w:lang w:val="en-GB"/>
              </w:rPr>
              <w:t>can have significant negative impact on marine animals and their communities.</w:t>
            </w:r>
            <w:r w:rsidR="00DC35C4">
              <w:rPr>
                <w:lang w:val="en-GB"/>
              </w:rPr>
              <w:t xml:space="preserve"> The initial assessment of the Bulgarian marine waters,</w:t>
            </w:r>
            <w:r w:rsidR="00DC35C4">
              <w:rPr>
                <w:lang w:val="en-GB"/>
              </w:rPr>
              <w:t xml:space="preserve"> published in June 2013,</w:t>
            </w:r>
            <w:r w:rsidR="00DC35C4">
              <w:rPr>
                <w:lang w:val="en-GB"/>
              </w:rPr>
              <w:t xml:space="preserve"> was not able to provide assessment of the underwater noise and its impacts</w:t>
            </w:r>
            <w:r w:rsidR="00F774E3">
              <w:rPr>
                <w:lang w:val="en-GB"/>
              </w:rPr>
              <w:t>, and was not able to provide adequate baseline and threshold values</w:t>
            </w:r>
            <w:r w:rsidR="00DC35C4">
              <w:rPr>
                <w:lang w:val="en-GB"/>
              </w:rPr>
              <w:t xml:space="preserve">. </w:t>
            </w:r>
            <w:r w:rsidR="006F53F2">
              <w:rPr>
                <w:lang w:val="en-GB"/>
              </w:rPr>
              <w:t>Underwater noise by human activities (pile driving, seismic surveys, naval sonars) can have different impact on the different marine animals. Low-frequency noise can cause communication difficulties in marine mammals</w:t>
            </w:r>
            <w:r w:rsidR="000450B3">
              <w:rPr>
                <w:lang w:val="en-GB"/>
              </w:rPr>
              <w:t xml:space="preserve">. High-frequency impulsive noise from pile driving or active seismic vessels repels marine mammals. Fish respond to impulsive sounds at short range. In summary, noise can cause two main adverse effects: gaps in distribution caused </w:t>
            </w:r>
            <w:r w:rsidR="00DF4FFB">
              <w:rPr>
                <w:lang w:val="en-GB"/>
              </w:rPr>
              <w:t>by impulsive sounds and communication difficulties, caused by low frequency noise.</w:t>
            </w:r>
          </w:p>
          <w:p w:rsidR="006F53F2" w:rsidRPr="006F53F2" w:rsidRDefault="00DF4FFB" w:rsidP="00303B27">
            <w:pPr>
              <w:pStyle w:val="BodyText"/>
              <w:rPr>
                <w:lang w:val="en-GB"/>
              </w:rPr>
            </w:pPr>
            <w:r>
              <w:rPr>
                <w:lang w:val="en-GB"/>
              </w:rPr>
              <w:t xml:space="preserve">The monitoring programme </w:t>
            </w:r>
            <w:r w:rsidR="000708A6">
              <w:rPr>
                <w:lang w:val="en-GB"/>
              </w:rPr>
              <w:t xml:space="preserve">on underwater noise </w:t>
            </w:r>
            <w:r>
              <w:rPr>
                <w:lang w:val="en-GB"/>
              </w:rPr>
              <w:t xml:space="preserve">will focus on the </w:t>
            </w:r>
            <w:r w:rsidR="000708A6">
              <w:rPr>
                <w:lang w:val="en-GB"/>
              </w:rPr>
              <w:t>driving forces (</w:t>
            </w:r>
            <w:r w:rsidR="006A6EA1">
              <w:rPr>
                <w:lang w:val="en-GB"/>
              </w:rPr>
              <w:t xml:space="preserve">international maritime trade, </w:t>
            </w:r>
            <w:r w:rsidR="006A6EA1">
              <w:rPr>
                <w:lang w:val="en-GB"/>
              </w:rPr>
              <w:lastRenderedPageBreak/>
              <w:t>economic development</w:t>
            </w:r>
            <w:r w:rsidR="000708A6">
              <w:rPr>
                <w:lang w:val="en-GB"/>
              </w:rPr>
              <w:t xml:space="preserve">), </w:t>
            </w:r>
            <w:r>
              <w:rPr>
                <w:lang w:val="en-GB"/>
              </w:rPr>
              <w:t xml:space="preserve">pressures </w:t>
            </w:r>
            <w:r w:rsidR="006A6EA1">
              <w:rPr>
                <w:lang w:val="en-GB"/>
              </w:rPr>
              <w:t>(shipping, dredging, pile-driving</w:t>
            </w:r>
            <w:r w:rsidR="00303B27">
              <w:rPr>
                <w:lang w:val="en-GB"/>
              </w:rPr>
              <w:t xml:space="preserve">), </w:t>
            </w:r>
            <w:r w:rsidR="000708A6">
              <w:rPr>
                <w:lang w:val="en-GB"/>
              </w:rPr>
              <w:t xml:space="preserve">state of the marine environment (noise levels) and impact </w:t>
            </w:r>
            <w:r w:rsidR="006A6EA1">
              <w:rPr>
                <w:lang w:val="en-GB"/>
              </w:rPr>
              <w:t xml:space="preserve">(animal distribution in relation to the major sources of noise, e.g. shipping routes) </w:t>
            </w:r>
            <w:r w:rsidR="000708A6">
              <w:rPr>
                <w:lang w:val="en-GB"/>
              </w:rPr>
              <w:t xml:space="preserve">resulting </w:t>
            </w:r>
            <w:r>
              <w:rPr>
                <w:lang w:val="en-GB"/>
              </w:rPr>
              <w:t xml:space="preserve">from underwater noise within the </w:t>
            </w:r>
            <w:hyperlink r:id="rId7" w:history="1">
              <w:r w:rsidRPr="000708A6">
                <w:rPr>
                  <w:rStyle w:val="Hyperlink"/>
                  <w:lang w:val="en-GB"/>
                </w:rPr>
                <w:t>DPSIR framework</w:t>
              </w:r>
            </w:hyperlink>
            <w:r>
              <w:rPr>
                <w:lang w:val="en-GB"/>
              </w:rPr>
              <w:t>.</w:t>
            </w:r>
            <w:r w:rsidR="00303B27">
              <w:rPr>
                <w:lang w:val="en-GB"/>
              </w:rPr>
              <w:t xml:space="preserve"> The impact </w:t>
            </w:r>
            <w:r w:rsidR="00B10496">
              <w:rPr>
                <w:lang w:val="en-GB"/>
              </w:rPr>
              <w:t>will</w:t>
            </w:r>
            <w:r w:rsidR="00303B27">
              <w:rPr>
                <w:lang w:val="en-GB"/>
              </w:rPr>
              <w:t xml:space="preserve"> be measured according to the values set in the </w:t>
            </w:r>
            <w:r w:rsidR="00B10496">
              <w:rPr>
                <w:lang w:val="en-GB"/>
              </w:rPr>
              <w:t>relevant</w:t>
            </w:r>
            <w:r w:rsidR="00303B27">
              <w:rPr>
                <w:lang w:val="en-GB"/>
              </w:rPr>
              <w:t xml:space="preserve"> indicators under Descriptor 11.</w:t>
            </w:r>
          </w:p>
        </w:tc>
        <w:tc>
          <w:tcPr>
            <w:tcW w:w="5605" w:type="dxa"/>
          </w:tcPr>
          <w:p w:rsidR="00211CBF" w:rsidRPr="008C7581" w:rsidRDefault="00211CBF" w:rsidP="00F40E69">
            <w:pPr>
              <w:pStyle w:val="BodyText"/>
              <w:rPr>
                <w:color w:val="FF0000"/>
                <w:lang w:val="en-GB"/>
              </w:rPr>
            </w:pPr>
            <w:r w:rsidRPr="008C7581">
              <w:rPr>
                <w:color w:val="FF0000"/>
                <w:lang w:val="en-GB"/>
              </w:rPr>
              <w:lastRenderedPageBreak/>
              <w:t>Q4: Programme description</w:t>
            </w:r>
            <w:r w:rsidR="003F0F47">
              <w:rPr>
                <w:color w:val="FF0000"/>
                <w:lang w:val="en-GB"/>
              </w:rPr>
              <w:t xml:space="preserve"> (4</w:t>
            </w:r>
            <w:r w:rsidR="0030084F">
              <w:rPr>
                <w:color w:val="FF0000"/>
                <w:lang w:val="en-GB"/>
              </w:rPr>
              <w:t>f</w:t>
            </w:r>
            <w:r w:rsidR="003F0F47">
              <w:rPr>
                <w:color w:val="FF0000"/>
                <w:lang w:val="en-GB"/>
              </w:rPr>
              <w:t>)</w:t>
            </w:r>
            <w:r w:rsidR="000814C6">
              <w:rPr>
                <w:color w:val="FF0000"/>
                <w:lang w:val="en-GB"/>
              </w:rPr>
              <w:t xml:space="preserve">. Free text or URL link. What is monitored by the programme (state/impact, pressure, activities, measures) and why. </w:t>
            </w:r>
            <w:r w:rsidR="00F43788">
              <w:rPr>
                <w:color w:val="FF0000"/>
                <w:lang w:val="en-GB"/>
              </w:rPr>
              <w:t>How does it adapt to new and emerging environmental proble</w:t>
            </w:r>
            <w:r w:rsidR="00F40E69">
              <w:rPr>
                <w:color w:val="FF0000"/>
                <w:lang w:val="en-GB"/>
              </w:rPr>
              <w:t>ms</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lastRenderedPageBreak/>
              <w:t>1.3 Competent authority/</w:t>
            </w:r>
            <w:proofErr w:type="spellStart"/>
            <w:r w:rsidRPr="00CF64A9">
              <w:rPr>
                <w:color w:val="4F81BD" w:themeColor="accent1"/>
                <w:lang w:val="en-GB"/>
              </w:rPr>
              <w:t>ies</w:t>
            </w:r>
            <w:proofErr w:type="spellEnd"/>
          </w:p>
        </w:tc>
        <w:tc>
          <w:tcPr>
            <w:tcW w:w="5670" w:type="dxa"/>
          </w:tcPr>
          <w:p w:rsidR="00211CBF" w:rsidRDefault="00211CBF" w:rsidP="009D64C3">
            <w:pPr>
              <w:pStyle w:val="BodyText"/>
              <w:rPr>
                <w:i/>
                <w:lang w:val="en-GB"/>
              </w:rPr>
            </w:pPr>
            <w:r>
              <w:rPr>
                <w:i/>
                <w:lang w:val="en-GB"/>
              </w:rPr>
              <w:t>Which authorities are responsible (links to www)</w:t>
            </w:r>
          </w:p>
          <w:p w:rsidR="00303B27" w:rsidRPr="009601E5" w:rsidRDefault="00303B27" w:rsidP="00303B27">
            <w:pPr>
              <w:pStyle w:val="BodyText"/>
              <w:rPr>
                <w:b/>
                <w:lang w:val="en-GB"/>
              </w:rPr>
            </w:pPr>
            <w:r w:rsidRPr="009601E5">
              <w:rPr>
                <w:b/>
                <w:lang w:val="en-GB"/>
              </w:rPr>
              <w:t>Ministry of Environment and Waters (MOEW)</w:t>
            </w:r>
            <w:r w:rsidRPr="009601E5">
              <w:rPr>
                <w:lang w:val="en-GB"/>
              </w:rPr>
              <w:t xml:space="preserve">  </w:t>
            </w:r>
          </w:p>
          <w:p w:rsidR="00303B27" w:rsidRPr="009601E5" w:rsidRDefault="00303B27" w:rsidP="00303B27">
            <w:pPr>
              <w:pStyle w:val="BodyText"/>
              <w:rPr>
                <w:b/>
                <w:lang w:val="en-GB"/>
              </w:rPr>
            </w:pPr>
            <w:r w:rsidRPr="009601E5">
              <w:rPr>
                <w:b/>
                <w:lang w:val="en-GB"/>
              </w:rPr>
              <w:t xml:space="preserve">Web: </w:t>
            </w:r>
            <w:hyperlink r:id="rId8" w:history="1">
              <w:r w:rsidRPr="009601E5">
                <w:rPr>
                  <w:rStyle w:val="Hyperlink"/>
                  <w:lang w:val="en-GB" w:eastAsia="hi-IN" w:bidi="hi-IN"/>
                </w:rPr>
                <w:t>www.moew.government.bg</w:t>
              </w:r>
            </w:hyperlink>
          </w:p>
          <w:p w:rsidR="00303B27" w:rsidRPr="009601E5" w:rsidRDefault="00303B27" w:rsidP="00303B27">
            <w:pPr>
              <w:pStyle w:val="BodyText"/>
              <w:rPr>
                <w:b/>
                <w:lang w:val="en-GB"/>
              </w:rPr>
            </w:pPr>
            <w:smartTag w:uri="urn:schemas-microsoft-com:office:smarttags" w:element="place">
              <w:smartTag w:uri="urn:schemas-microsoft-com:office:smarttags" w:element="PlaceName">
                <w:r w:rsidRPr="009601E5">
                  <w:rPr>
                    <w:b/>
                    <w:lang w:val="en-GB"/>
                  </w:rPr>
                  <w:t>Black Sea</w:t>
                </w:r>
              </w:smartTag>
              <w:r w:rsidRPr="009601E5">
                <w:rPr>
                  <w:b/>
                  <w:lang w:val="en-GB"/>
                </w:rPr>
                <w:t xml:space="preserve"> </w:t>
              </w:r>
              <w:smartTag w:uri="urn:schemas-microsoft-com:office:smarttags" w:element="PlaceType">
                <w:r w:rsidRPr="009601E5">
                  <w:rPr>
                    <w:b/>
                    <w:lang w:val="en-GB"/>
                  </w:rPr>
                  <w:t>Basin</w:t>
                </w:r>
              </w:smartTag>
            </w:smartTag>
            <w:r w:rsidRPr="009601E5">
              <w:rPr>
                <w:b/>
                <w:lang w:val="en-GB"/>
              </w:rPr>
              <w:t xml:space="preserve"> Directorate, </w:t>
            </w:r>
            <w:smartTag w:uri="urn:schemas-microsoft-com:office:smarttags" w:element="City">
              <w:smartTag w:uri="urn:schemas-microsoft-com:office:smarttags" w:element="place">
                <w:r w:rsidRPr="009601E5">
                  <w:rPr>
                    <w:b/>
                    <w:lang w:val="en-GB"/>
                  </w:rPr>
                  <w:t>Varna</w:t>
                </w:r>
              </w:smartTag>
            </w:smartTag>
            <w:r w:rsidRPr="009601E5">
              <w:rPr>
                <w:b/>
                <w:lang w:val="en-GB"/>
              </w:rPr>
              <w:t xml:space="preserve"> (BSBD)</w:t>
            </w:r>
            <w:r w:rsidRPr="009601E5">
              <w:rPr>
                <w:lang w:val="en-GB"/>
              </w:rPr>
              <w:t xml:space="preserve"> </w:t>
            </w:r>
          </w:p>
          <w:p w:rsidR="000708A6" w:rsidRPr="000708A6" w:rsidRDefault="00303B27" w:rsidP="00303B27">
            <w:pPr>
              <w:pStyle w:val="BodyText"/>
              <w:rPr>
                <w:lang w:val="en-GB"/>
              </w:rPr>
            </w:pPr>
            <w:r w:rsidRPr="009601E5">
              <w:rPr>
                <w:b/>
                <w:lang w:val="en-GB"/>
              </w:rPr>
              <w:t>Web</w:t>
            </w:r>
            <w:r w:rsidRPr="009601E5">
              <w:rPr>
                <w:lang w:val="en-GB"/>
              </w:rPr>
              <w:t xml:space="preserve">: </w:t>
            </w:r>
            <w:hyperlink r:id="rId9" w:history="1">
              <w:r w:rsidRPr="009601E5">
                <w:rPr>
                  <w:rStyle w:val="Hyperlink"/>
                  <w:lang w:val="en-GB"/>
                </w:rPr>
                <w:t>http://www.bsbd.org/</w:t>
              </w:r>
            </w:hyperlink>
          </w:p>
        </w:tc>
        <w:tc>
          <w:tcPr>
            <w:tcW w:w="5605" w:type="dxa"/>
          </w:tcPr>
          <w:p w:rsidR="00211CBF" w:rsidRDefault="00211CBF" w:rsidP="0030084F">
            <w:pPr>
              <w:pStyle w:val="BodyText"/>
              <w:rPr>
                <w:color w:val="FF0000"/>
                <w:lang w:val="en-GB"/>
              </w:rPr>
            </w:pPr>
            <w:r w:rsidRPr="008C7581">
              <w:rPr>
                <w:color w:val="FF0000"/>
                <w:lang w:val="en-GB"/>
              </w:rPr>
              <w:t>Q4: Responsible Competent Authority</w:t>
            </w:r>
            <w:r w:rsidR="003F0F47">
              <w:rPr>
                <w:color w:val="FF0000"/>
                <w:lang w:val="en-GB"/>
              </w:rPr>
              <w:t xml:space="preserve"> (4</w:t>
            </w:r>
            <w:r w:rsidR="0030084F">
              <w:rPr>
                <w:color w:val="FF0000"/>
                <w:lang w:val="en-GB"/>
              </w:rPr>
              <w:t>a</w:t>
            </w:r>
            <w:r w:rsidR="003F0F47">
              <w:rPr>
                <w:color w:val="FF0000"/>
                <w:lang w:val="en-GB"/>
              </w:rPr>
              <w:t>)</w:t>
            </w:r>
          </w:p>
          <w:p w:rsidR="001218F7" w:rsidRPr="008C7581" w:rsidRDefault="001218F7" w:rsidP="0030084F">
            <w:pPr>
              <w:pStyle w:val="BodyText"/>
              <w:rPr>
                <w:color w:val="FF0000"/>
                <w:lang w:val="en-GB"/>
              </w:rPr>
            </w:pPr>
            <w:r>
              <w:rPr>
                <w:color w:val="FF0000"/>
                <w:lang w:val="en-GB"/>
              </w:rPr>
              <w:t>If more than one – put contact to the EU Commission</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1.4 Monitoring institutions</w:t>
            </w:r>
          </w:p>
        </w:tc>
        <w:tc>
          <w:tcPr>
            <w:tcW w:w="5670" w:type="dxa"/>
          </w:tcPr>
          <w:p w:rsidR="00211CBF" w:rsidRDefault="00211CBF" w:rsidP="009D64C3">
            <w:pPr>
              <w:pStyle w:val="BodyText"/>
              <w:rPr>
                <w:i/>
                <w:lang w:val="en-GB"/>
              </w:rPr>
            </w:pPr>
            <w:r>
              <w:rPr>
                <w:i/>
                <w:lang w:val="en-GB"/>
              </w:rPr>
              <w:t xml:space="preserve">Which institutions carry out the monitoring </w:t>
            </w:r>
            <w:proofErr w:type="spellStart"/>
            <w:r>
              <w:rPr>
                <w:i/>
                <w:lang w:val="en-GB"/>
              </w:rPr>
              <w:t>etc</w:t>
            </w:r>
            <w:proofErr w:type="spellEnd"/>
            <w:r>
              <w:rPr>
                <w:i/>
                <w:lang w:val="en-GB"/>
              </w:rPr>
              <w:t xml:space="preserve"> (links to www)</w:t>
            </w:r>
          </w:p>
          <w:p w:rsidR="00303B27" w:rsidRPr="00303B27" w:rsidRDefault="00303B27" w:rsidP="009D64C3">
            <w:pPr>
              <w:pStyle w:val="BodyText"/>
              <w:rPr>
                <w:lang w:val="en-GB"/>
              </w:rPr>
            </w:pPr>
            <w:r w:rsidRPr="009601E5">
              <w:rPr>
                <w:b/>
                <w:lang w:val="en-GB"/>
              </w:rPr>
              <w:t>Monitoring of sea waters</w:t>
            </w:r>
            <w:r w:rsidRPr="009601E5">
              <w:rPr>
                <w:lang w:val="en-GB"/>
              </w:rPr>
              <w:t xml:space="preserve"> </w:t>
            </w:r>
            <w:r w:rsidRPr="009601E5">
              <w:rPr>
                <w:lang w:val="en-GB"/>
              </w:rPr>
              <w:noBreakHyphen/>
              <w:t xml:space="preserve"> </w:t>
            </w:r>
            <w:smartTag w:uri="urn:schemas-microsoft-com:office:smarttags" w:element="place">
              <w:smartTag w:uri="urn:schemas-microsoft-com:office:smarttags" w:element="PlaceType">
                <w:r w:rsidRPr="009601E5">
                  <w:rPr>
                    <w:lang w:val="en-GB"/>
                  </w:rPr>
                  <w:t>Institute</w:t>
                </w:r>
              </w:smartTag>
              <w:r w:rsidRPr="009601E5">
                <w:rPr>
                  <w:lang w:val="en-GB"/>
                </w:rPr>
                <w:t xml:space="preserve"> of </w:t>
              </w:r>
              <w:smartTag w:uri="urn:schemas-microsoft-com:office:smarttags" w:element="PlaceName">
                <w:r w:rsidRPr="009601E5">
                  <w:rPr>
                    <w:lang w:val="en-GB"/>
                  </w:rPr>
                  <w:t>Oceanology</w:t>
                </w:r>
              </w:smartTag>
            </w:smartTag>
            <w:r w:rsidRPr="009601E5">
              <w:rPr>
                <w:lang w:val="en-GB"/>
              </w:rPr>
              <w:t xml:space="preserve">, </w:t>
            </w:r>
            <w:smartTag w:uri="urn:schemas-microsoft-com:office:smarttags" w:element="place">
              <w:smartTag w:uri="urn:schemas-microsoft-com:office:smarttags" w:element="PlaceName">
                <w:r w:rsidRPr="009601E5">
                  <w:rPr>
                    <w:lang w:val="en-GB"/>
                  </w:rPr>
                  <w:t>Bulgarian</w:t>
                </w:r>
              </w:smartTag>
              <w:r w:rsidRPr="009601E5">
                <w:rPr>
                  <w:lang w:val="en-GB"/>
                </w:rPr>
                <w:t xml:space="preserve"> </w:t>
              </w:r>
              <w:smartTag w:uri="urn:schemas-microsoft-com:office:smarttags" w:element="PlaceType">
                <w:r w:rsidRPr="009601E5">
                  <w:rPr>
                    <w:lang w:val="en-GB"/>
                  </w:rPr>
                  <w:t>Academy</w:t>
                </w:r>
              </w:smartTag>
            </w:smartTag>
            <w:r w:rsidRPr="009601E5">
              <w:rPr>
                <w:lang w:val="en-GB"/>
              </w:rPr>
              <w:t xml:space="preserve"> of Sciences (IO-</w:t>
            </w:r>
            <w:smartTag w:uri="urn:schemas-microsoft-com:office:smarttags" w:element="stockticker">
              <w:r w:rsidRPr="009601E5">
                <w:rPr>
                  <w:lang w:val="en-GB"/>
                </w:rPr>
                <w:t>BAS</w:t>
              </w:r>
            </w:smartTag>
            <w:r w:rsidRPr="009601E5">
              <w:rPr>
                <w:lang w:val="en-GB"/>
              </w:rPr>
              <w:t xml:space="preserve">). Web: </w:t>
            </w:r>
            <w:r w:rsidRPr="009601E5">
              <w:rPr>
                <w:lang w:val="en-GB" w:eastAsia="hi-IN" w:bidi="hi-IN"/>
              </w:rPr>
              <w:t xml:space="preserve"> </w:t>
            </w:r>
            <w:hyperlink r:id="rId10" w:history="1">
              <w:r w:rsidRPr="009601E5">
                <w:rPr>
                  <w:rStyle w:val="Hyperlink"/>
                  <w:lang w:val="en-GB" w:eastAsia="hi-IN" w:bidi="hi-IN"/>
                </w:rPr>
                <w:t>www.io-bas.bg</w:t>
              </w:r>
            </w:hyperlink>
            <w:r w:rsidRPr="009601E5">
              <w:rPr>
                <w:lang w:val="en-GB"/>
              </w:rPr>
              <w:t>. Relationship between MOEW (BSBD) and IO-</w:t>
            </w:r>
            <w:smartTag w:uri="urn:schemas-microsoft-com:office:smarttags" w:element="stockticker">
              <w:r w:rsidRPr="009601E5">
                <w:rPr>
                  <w:lang w:val="en-GB"/>
                </w:rPr>
                <w:t>BAS</w:t>
              </w:r>
            </w:smartTag>
            <w:r w:rsidRPr="009601E5">
              <w:rPr>
                <w:lang w:val="en-GB"/>
              </w:rPr>
              <w:t xml:space="preserve"> relationship is contract-based.</w:t>
            </w:r>
          </w:p>
        </w:tc>
        <w:tc>
          <w:tcPr>
            <w:tcW w:w="5605" w:type="dxa"/>
          </w:tcPr>
          <w:p w:rsidR="00211CBF" w:rsidRPr="008C7581" w:rsidRDefault="00211CBF" w:rsidP="0030084F">
            <w:pPr>
              <w:pStyle w:val="BodyText"/>
              <w:rPr>
                <w:color w:val="FF0000"/>
                <w:lang w:val="en-GB"/>
              </w:rPr>
            </w:pPr>
            <w:r w:rsidRPr="008C7581">
              <w:rPr>
                <w:color w:val="FF0000"/>
                <w:lang w:val="en-GB"/>
              </w:rPr>
              <w:t>Q4: Responsible institutions; relationship to Competent Authority</w:t>
            </w:r>
            <w:r w:rsidR="003F0F47">
              <w:rPr>
                <w:color w:val="FF0000"/>
                <w:lang w:val="en-GB"/>
              </w:rPr>
              <w:t xml:space="preserve"> (4</w:t>
            </w:r>
            <w:r w:rsidR="0030084F">
              <w:rPr>
                <w:color w:val="FF0000"/>
                <w:lang w:val="en-GB"/>
              </w:rPr>
              <w:t>b</w:t>
            </w:r>
            <w:r w:rsidR="003F0F47">
              <w:rPr>
                <w:color w:val="FF0000"/>
                <w:lang w:val="en-GB"/>
              </w:rPr>
              <w:t>) +(4</w:t>
            </w:r>
            <w:r w:rsidR="0030084F">
              <w:rPr>
                <w:color w:val="FF0000"/>
                <w:lang w:val="en-GB"/>
              </w:rPr>
              <w:t>c</w:t>
            </w:r>
            <w:r w:rsidR="003F0F47">
              <w:rPr>
                <w:color w:val="FF0000"/>
                <w:lang w:val="en-GB"/>
              </w:rPr>
              <w:t>)</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1.5 Additional information</w:t>
            </w:r>
          </w:p>
        </w:tc>
        <w:tc>
          <w:tcPr>
            <w:tcW w:w="5670" w:type="dxa"/>
          </w:tcPr>
          <w:p w:rsidR="00211CBF" w:rsidRDefault="00211CBF" w:rsidP="009D64C3">
            <w:pPr>
              <w:pStyle w:val="BodyText"/>
              <w:rPr>
                <w:i/>
                <w:lang w:val="en-GB"/>
              </w:rPr>
            </w:pPr>
            <w:r>
              <w:rPr>
                <w:i/>
                <w:lang w:val="en-GB"/>
              </w:rPr>
              <w:t>Where can additional information be found</w:t>
            </w:r>
            <w:r w:rsidR="003F0F47">
              <w:rPr>
                <w:i/>
                <w:lang w:val="en-GB"/>
              </w:rPr>
              <w:t xml:space="preserve"> (e.g. via a web link)</w:t>
            </w:r>
          </w:p>
          <w:p w:rsidR="00935644" w:rsidRDefault="00935644" w:rsidP="00935644">
            <w:pPr>
              <w:pStyle w:val="BodyText"/>
              <w:jc w:val="both"/>
              <w:rPr>
                <w:lang w:val="en-GB"/>
              </w:rPr>
            </w:pPr>
            <w:r>
              <w:rPr>
                <w:lang w:val="en-GB"/>
              </w:rPr>
              <w:t>MSFD Guiding Improvements in the Black Sea Integrated Monitoring System (MISIS) project</w:t>
            </w:r>
          </w:p>
          <w:p w:rsidR="00935644" w:rsidRDefault="00FA5BD2" w:rsidP="00935644">
            <w:pPr>
              <w:pStyle w:val="BodyText"/>
              <w:jc w:val="both"/>
              <w:rPr>
                <w:lang w:val="en-GB"/>
              </w:rPr>
            </w:pPr>
            <w:hyperlink r:id="rId11" w:history="1">
              <w:r w:rsidR="00935644" w:rsidRPr="00504066">
                <w:rPr>
                  <w:rStyle w:val="Hyperlink"/>
                  <w:lang w:val="en-GB"/>
                </w:rPr>
                <w:t>http://www.misisproject.eu</w:t>
              </w:r>
            </w:hyperlink>
            <w:r w:rsidR="00935644">
              <w:rPr>
                <w:lang w:val="en-GB"/>
              </w:rPr>
              <w:t xml:space="preserve"> </w:t>
            </w:r>
          </w:p>
          <w:p w:rsidR="00935644" w:rsidRDefault="00935644" w:rsidP="00935644">
            <w:pPr>
              <w:pStyle w:val="BodyText"/>
              <w:jc w:val="both"/>
              <w:rPr>
                <w:lang w:val="en-GB"/>
              </w:rPr>
            </w:pPr>
            <w:r>
              <w:rPr>
                <w:lang w:val="en-GB"/>
              </w:rPr>
              <w:t xml:space="preserve">Technical and administrative support for joint implementation of MSFD in </w:t>
            </w:r>
            <w:smartTag w:uri="urn:schemas-microsoft-com:office:smarttags" w:element="country-region">
              <w:smartTag w:uri="urn:schemas-microsoft-com:office:smarttags" w:element="place">
                <w:r>
                  <w:rPr>
                    <w:lang w:val="en-GB"/>
                  </w:rPr>
                  <w:t>Bulgaria</w:t>
                </w:r>
              </w:smartTag>
            </w:smartTag>
            <w:r>
              <w:rPr>
                <w:lang w:val="en-GB"/>
              </w:rPr>
              <w:t xml:space="preserve"> and </w:t>
            </w:r>
            <w:smartTag w:uri="urn:schemas-microsoft-com:office:smarttags" w:element="country-region">
              <w:smartTag w:uri="urn:schemas-microsoft-com:office:smarttags" w:element="place">
                <w:r>
                  <w:rPr>
                    <w:lang w:val="en-GB"/>
                  </w:rPr>
                  <w:t>Romania</w:t>
                </w:r>
              </w:smartTag>
            </w:smartTag>
          </w:p>
          <w:p w:rsidR="00935644" w:rsidRPr="00935644" w:rsidRDefault="00935644" w:rsidP="00935644">
            <w:pPr>
              <w:pStyle w:val="BodyText"/>
              <w:rPr>
                <w:lang w:val="en-GB"/>
              </w:rPr>
            </w:pPr>
            <w:r w:rsidRPr="004B650E">
              <w:rPr>
                <w:highlight w:val="yellow"/>
                <w:lang w:val="en-GB"/>
              </w:rPr>
              <w:t>No link available yet</w:t>
            </w:r>
          </w:p>
          <w:p w:rsidR="00CD45D9" w:rsidRDefault="00CD45D9" w:rsidP="009D64C3">
            <w:pPr>
              <w:pStyle w:val="BodyText"/>
              <w:rPr>
                <w:i/>
                <w:lang w:val="en-GB"/>
              </w:rPr>
            </w:pPr>
            <w:r>
              <w:rPr>
                <w:i/>
                <w:lang w:val="en-GB"/>
              </w:rPr>
              <w:t>R</w:t>
            </w:r>
            <w:r w:rsidR="00F43788">
              <w:rPr>
                <w:i/>
                <w:lang w:val="en-GB"/>
              </w:rPr>
              <w:t>egarding regional coordination r</w:t>
            </w:r>
            <w:r>
              <w:rPr>
                <w:i/>
                <w:lang w:val="en-GB"/>
              </w:rPr>
              <w:t>emember this project</w:t>
            </w:r>
            <w:r w:rsidR="00F43788">
              <w:rPr>
                <w:i/>
                <w:lang w:val="en-GB"/>
              </w:rPr>
              <w:t xml:space="preserve"> and other relevant joined projects</w:t>
            </w:r>
          </w:p>
        </w:tc>
        <w:tc>
          <w:tcPr>
            <w:tcW w:w="5605" w:type="dxa"/>
          </w:tcPr>
          <w:p w:rsidR="00211CBF" w:rsidRPr="008C7581" w:rsidRDefault="00211CBF" w:rsidP="00F43788">
            <w:pPr>
              <w:pStyle w:val="BodyText"/>
              <w:rPr>
                <w:color w:val="FF0000"/>
                <w:lang w:val="en-GB"/>
              </w:rPr>
            </w:pPr>
            <w:r>
              <w:rPr>
                <w:color w:val="FF0000"/>
                <w:lang w:val="en-GB"/>
              </w:rPr>
              <w:t xml:space="preserve">Q3: </w:t>
            </w:r>
            <w:r w:rsidR="00F43788">
              <w:rPr>
                <w:color w:val="FF0000"/>
                <w:lang w:val="en-GB"/>
              </w:rPr>
              <w:t xml:space="preserve">Additional information on: </w:t>
            </w:r>
            <w:r>
              <w:rPr>
                <w:color w:val="FF0000"/>
                <w:lang w:val="en-GB"/>
              </w:rPr>
              <w:t xml:space="preserve">Regional coordination; consideration of transboundary impacts; ability of programme to identify major changes in environment and new and emerging issues; </w:t>
            </w:r>
            <w:r w:rsidR="003F0F47">
              <w:rPr>
                <w:color w:val="FF0000"/>
                <w:lang w:val="en-GB"/>
              </w:rPr>
              <w:t>(3a-</w:t>
            </w:r>
            <w:r w:rsidR="00F43788">
              <w:rPr>
                <w:color w:val="FF0000"/>
                <w:lang w:val="en-GB"/>
              </w:rPr>
              <w:t>c</w:t>
            </w:r>
            <w:r w:rsidR="003F0F47">
              <w:rPr>
                <w:color w:val="FF0000"/>
                <w:lang w:val="en-GB"/>
              </w:rPr>
              <w:t>)</w:t>
            </w:r>
          </w:p>
        </w:tc>
      </w:tr>
      <w:tr w:rsidR="00211CBF" w:rsidTr="009B6A62">
        <w:tc>
          <w:tcPr>
            <w:tcW w:w="8330" w:type="dxa"/>
            <w:gridSpan w:val="2"/>
            <w:shd w:val="clear" w:color="auto" w:fill="4F81BD" w:themeFill="accent1"/>
            <w:vAlign w:val="center"/>
          </w:tcPr>
          <w:p w:rsidR="00211CBF" w:rsidRPr="00CF64A9" w:rsidRDefault="00211CBF" w:rsidP="009D64C3">
            <w:pPr>
              <w:pStyle w:val="BodyText"/>
              <w:jc w:val="center"/>
              <w:rPr>
                <w:color w:val="FFFFFF" w:themeColor="background1"/>
                <w:lang w:val="en-GB"/>
              </w:rPr>
            </w:pPr>
            <w:r w:rsidRPr="00CF64A9">
              <w:rPr>
                <w:color w:val="FFFFFF" w:themeColor="background1"/>
                <w:lang w:val="en-GB"/>
              </w:rPr>
              <w:lastRenderedPageBreak/>
              <w:t>2. Monitoring requirements</w:t>
            </w:r>
            <w:r w:rsidR="00BE1EF1" w:rsidRPr="00CF64A9">
              <w:rPr>
                <w:color w:val="FFFFFF" w:themeColor="background1"/>
                <w:lang w:val="en-GB"/>
              </w:rPr>
              <w:t xml:space="preserve"> and purpose</w:t>
            </w:r>
          </w:p>
        </w:tc>
        <w:tc>
          <w:tcPr>
            <w:tcW w:w="5605" w:type="dxa"/>
            <w:shd w:val="clear" w:color="auto" w:fill="4F81BD" w:themeFill="accent1"/>
          </w:tcPr>
          <w:p w:rsidR="00211CBF" w:rsidRPr="00CF64A9" w:rsidRDefault="00211CBF" w:rsidP="009D64C3">
            <w:pPr>
              <w:pStyle w:val="BodyText"/>
              <w:rPr>
                <w:color w:val="FFFFFF" w:themeColor="background1"/>
                <w:lang w:val="en-GB"/>
              </w:rPr>
            </w:pP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2.1 Necessity</w:t>
            </w:r>
          </w:p>
        </w:tc>
        <w:tc>
          <w:tcPr>
            <w:tcW w:w="5670" w:type="dxa"/>
          </w:tcPr>
          <w:p w:rsidR="00211CBF" w:rsidRDefault="00211CBF" w:rsidP="009D64C3">
            <w:pPr>
              <w:pStyle w:val="BodyText"/>
              <w:rPr>
                <w:i/>
                <w:lang w:val="en-GB"/>
              </w:rPr>
            </w:pPr>
            <w:r>
              <w:rPr>
                <w:i/>
                <w:lang w:val="en-GB"/>
              </w:rPr>
              <w:t>Listed below are direct references to the monitoring requirements – EU directives, Black Sea Commission agreements, national plans, research programme requirements, other</w:t>
            </w:r>
            <w:r w:rsidR="00F43788">
              <w:rPr>
                <w:i/>
                <w:lang w:val="en-GB"/>
              </w:rPr>
              <w:t>.</w:t>
            </w:r>
          </w:p>
          <w:p w:rsidR="00F43788" w:rsidRPr="001F24D1" w:rsidRDefault="00F43788" w:rsidP="009D64C3">
            <w:pPr>
              <w:pStyle w:val="BodyText"/>
              <w:rPr>
                <w:i/>
                <w:lang w:val="en-GB"/>
              </w:rPr>
            </w:pPr>
            <w:r>
              <w:rPr>
                <w:i/>
                <w:lang w:val="en-GB"/>
              </w:rPr>
              <w:t xml:space="preserve">Delete/add rows </w:t>
            </w:r>
          </w:p>
        </w:tc>
        <w:tc>
          <w:tcPr>
            <w:tcW w:w="5605" w:type="dxa"/>
          </w:tcPr>
          <w:p w:rsidR="00EB7E8B" w:rsidRDefault="00EB7E8B" w:rsidP="009D64C3">
            <w:pPr>
              <w:pStyle w:val="BodyText"/>
              <w:rPr>
                <w:color w:val="FF0000"/>
                <w:lang w:val="en-GB"/>
              </w:rPr>
            </w:pPr>
            <w:r>
              <w:rPr>
                <w:color w:val="FF0000"/>
                <w:lang w:val="en-GB"/>
              </w:rPr>
              <w:t>The purpose of this section is to give an overview of existing monitoring requirements related to this programme and to help coordinate already existing monitoring</w:t>
            </w:r>
          </w:p>
          <w:p w:rsidR="00211CBF" w:rsidRDefault="00211CBF" w:rsidP="009D64C3">
            <w:pPr>
              <w:pStyle w:val="BodyText"/>
              <w:rPr>
                <w:color w:val="FF0000"/>
                <w:lang w:val="en-GB"/>
              </w:rPr>
            </w:pPr>
            <w:r w:rsidRPr="008C7581">
              <w:rPr>
                <w:color w:val="FF0000"/>
                <w:lang w:val="en-GB"/>
              </w:rPr>
              <w:t>Q8</w:t>
            </w:r>
            <w:r w:rsidR="0030084F">
              <w:rPr>
                <w:color w:val="FF0000"/>
                <w:lang w:val="en-GB"/>
              </w:rPr>
              <w:t>a</w:t>
            </w:r>
            <w:r w:rsidRPr="008C7581">
              <w:rPr>
                <w:color w:val="FF0000"/>
                <w:lang w:val="en-GB"/>
              </w:rPr>
              <w:t>: Existing monitoring programmes deliver data to other directives etc. This part of the monitoring fact sheet helps to give an overview of how and where the specific monitoring is used for many purposes/requirements</w:t>
            </w:r>
            <w:r w:rsidR="003F0F47">
              <w:rPr>
                <w:color w:val="FF0000"/>
                <w:lang w:val="en-GB"/>
              </w:rPr>
              <w:t xml:space="preserve"> (8a)</w:t>
            </w:r>
            <w:r w:rsidR="00F43788">
              <w:rPr>
                <w:color w:val="FF0000"/>
                <w:lang w:val="en-GB"/>
              </w:rPr>
              <w:t xml:space="preserve">. </w:t>
            </w:r>
          </w:p>
          <w:p w:rsidR="00F43788" w:rsidRPr="008C7581" w:rsidRDefault="00F43788" w:rsidP="009D64C3">
            <w:pPr>
              <w:pStyle w:val="BodyText"/>
              <w:rPr>
                <w:color w:val="FF0000"/>
                <w:lang w:val="en-GB"/>
              </w:rPr>
            </w:pPr>
            <w:r>
              <w:rPr>
                <w:color w:val="FF0000"/>
                <w:lang w:val="en-GB"/>
              </w:rPr>
              <w:t xml:space="preserve">State where relevant monitoring is already carried out (or should be/is required) </w:t>
            </w:r>
          </w:p>
        </w:tc>
      </w:tr>
      <w:tr w:rsidR="00211CBF" w:rsidTr="009B6A62">
        <w:tc>
          <w:tcPr>
            <w:tcW w:w="2660" w:type="dxa"/>
          </w:tcPr>
          <w:p w:rsidR="00211CBF" w:rsidRDefault="00211CBF" w:rsidP="009D64C3">
            <w:pPr>
              <w:pStyle w:val="BodyText"/>
              <w:rPr>
                <w:lang w:val="en-GB"/>
              </w:rPr>
            </w:pPr>
            <w:r>
              <w:rPr>
                <w:lang w:val="en-GB"/>
              </w:rPr>
              <w:t>MSFD</w:t>
            </w:r>
          </w:p>
          <w:p w:rsidR="00211CBF" w:rsidRDefault="00211CBF" w:rsidP="009D64C3">
            <w:pPr>
              <w:pStyle w:val="BodyText"/>
              <w:rPr>
                <w:lang w:val="en-GB"/>
              </w:rPr>
            </w:pPr>
            <w:r>
              <w:rPr>
                <w:lang w:val="en-GB"/>
              </w:rPr>
              <w:t>Article 11</w:t>
            </w:r>
          </w:p>
          <w:p w:rsidR="00211CBF" w:rsidRDefault="00211CBF" w:rsidP="009D64C3">
            <w:pPr>
              <w:pStyle w:val="BodyText"/>
              <w:rPr>
                <w:lang w:val="en-GB"/>
              </w:rPr>
            </w:pPr>
            <w:r>
              <w:rPr>
                <w:lang w:val="en-GB"/>
              </w:rPr>
              <w:t xml:space="preserve">Article 8 </w:t>
            </w:r>
          </w:p>
          <w:p w:rsidR="00211CBF" w:rsidRDefault="00BF3F4C" w:rsidP="009D64C3">
            <w:pPr>
              <w:pStyle w:val="BodyText"/>
              <w:rPr>
                <w:lang w:val="en-GB"/>
              </w:rPr>
            </w:pPr>
            <w:r>
              <w:rPr>
                <w:lang w:val="en-GB"/>
              </w:rPr>
              <w:t>Annexe III</w:t>
            </w:r>
          </w:p>
        </w:tc>
        <w:tc>
          <w:tcPr>
            <w:tcW w:w="5670" w:type="dxa"/>
          </w:tcPr>
          <w:p w:rsidR="00211CBF" w:rsidRDefault="00211CBF" w:rsidP="009D64C3">
            <w:pPr>
              <w:pStyle w:val="BodyText"/>
              <w:rPr>
                <w:i/>
                <w:lang w:val="en-GB"/>
              </w:rPr>
            </w:pPr>
            <w:r>
              <w:rPr>
                <w:i/>
                <w:lang w:val="en-GB"/>
              </w:rPr>
              <w:t>Comments</w:t>
            </w:r>
          </w:p>
          <w:p w:rsidR="00935644" w:rsidRPr="009601E5" w:rsidRDefault="00935644" w:rsidP="00935644">
            <w:pPr>
              <w:pStyle w:val="BodyText"/>
              <w:rPr>
                <w:lang w:val="en-GB"/>
              </w:rPr>
            </w:pPr>
            <w:r w:rsidRPr="009601E5">
              <w:rPr>
                <w:lang w:val="en-GB"/>
              </w:rPr>
              <w:t xml:space="preserve">Marine Strategy Framework Directive </w:t>
            </w:r>
            <w:r>
              <w:rPr>
                <w:lang w:val="en-GB"/>
              </w:rPr>
              <w:t>(Directive</w:t>
            </w:r>
            <w:r w:rsidRPr="009601E5">
              <w:rPr>
                <w:lang w:val="en-GB"/>
              </w:rPr>
              <w:t xml:space="preserve"> 2008/56/EC</w:t>
            </w:r>
            <w:r>
              <w:rPr>
                <w:lang w:val="en-GB"/>
              </w:rPr>
              <w:t>)</w:t>
            </w:r>
            <w:r w:rsidRPr="009601E5">
              <w:rPr>
                <w:lang w:val="en-GB"/>
              </w:rPr>
              <w:t>.</w:t>
            </w:r>
          </w:p>
          <w:p w:rsidR="00935644" w:rsidRPr="00F12443" w:rsidRDefault="00935644" w:rsidP="00935644">
            <w:pPr>
              <w:pStyle w:val="Normal1"/>
              <w:spacing w:before="120"/>
              <w:jc w:val="both"/>
              <w:rPr>
                <w:b/>
                <w:lang w:val="en-GB"/>
              </w:rPr>
            </w:pPr>
            <w:r w:rsidRPr="00F12443">
              <w:rPr>
                <w:b/>
                <w:lang w:val="en-GB"/>
              </w:rPr>
              <w:t>Article 11</w:t>
            </w:r>
          </w:p>
          <w:p w:rsidR="00935644" w:rsidRPr="00A86033" w:rsidRDefault="00935644" w:rsidP="00935644">
            <w:pPr>
              <w:pStyle w:val="Normal1"/>
              <w:spacing w:after="120"/>
              <w:jc w:val="both"/>
              <w:rPr>
                <w:lang w:val="en-GB"/>
              </w:rPr>
            </w:pPr>
            <w:r w:rsidRPr="00A86033">
              <w:rPr>
                <w:lang w:val="en-GB"/>
              </w:rPr>
              <w:t xml:space="preserve">Member States shall establish and implement coordinated monitoring programmes for the ongoing assessment of the environmental status of their marine waters on the basis of the indicative lists of elements set out in Annex </w:t>
            </w:r>
            <w:smartTag w:uri="urn:schemas-microsoft-com:office:smarttags" w:element="stockticker">
              <w:r w:rsidRPr="00A86033">
                <w:rPr>
                  <w:lang w:val="en-GB"/>
                </w:rPr>
                <w:t>III</w:t>
              </w:r>
            </w:smartTag>
            <w:r w:rsidRPr="00A86033">
              <w:rPr>
                <w:lang w:val="en-GB"/>
              </w:rPr>
              <w:t xml:space="preserve"> and the list set out in Annex V, and by reference to the environmental targets established pursuant to Article 10.</w:t>
            </w:r>
          </w:p>
          <w:p w:rsidR="00935644" w:rsidRPr="00935644" w:rsidRDefault="00935644" w:rsidP="009D64C3">
            <w:pPr>
              <w:pStyle w:val="BodyText"/>
              <w:rPr>
                <w:b/>
                <w:lang w:val="en-GB"/>
              </w:rPr>
            </w:pPr>
            <w:r w:rsidRPr="00935644">
              <w:rPr>
                <w:b/>
                <w:lang w:val="en-GB"/>
              </w:rPr>
              <w:t>in Annex III, Table II:</w:t>
            </w:r>
          </w:p>
          <w:p w:rsidR="00935644" w:rsidRPr="00935644" w:rsidRDefault="00935644" w:rsidP="009D64C3">
            <w:pPr>
              <w:pStyle w:val="BodyText"/>
              <w:rPr>
                <w:lang w:val="en-GB"/>
              </w:rPr>
            </w:pPr>
            <w:r w:rsidRPr="00A9397D">
              <w:rPr>
                <w:lang w:val="en-GB"/>
              </w:rPr>
              <w:t xml:space="preserve">The following pressures </w:t>
            </w:r>
            <w:r>
              <w:rPr>
                <w:lang w:val="en-GB"/>
              </w:rPr>
              <w:t xml:space="preserve">and impacts shall be monitored: </w:t>
            </w:r>
            <w:r w:rsidRPr="00935644">
              <w:rPr>
                <w:lang w:val="en-GB"/>
              </w:rPr>
              <w:t>Underwater noise (e.g. from shipping,</w:t>
            </w:r>
            <w:r w:rsidR="00CA1A18">
              <w:rPr>
                <w:lang w:val="en-GB"/>
              </w:rPr>
              <w:t xml:space="preserve"> underwater acoustic equipment).</w:t>
            </w:r>
          </w:p>
        </w:tc>
        <w:tc>
          <w:tcPr>
            <w:tcW w:w="5605" w:type="dxa"/>
          </w:tcPr>
          <w:p w:rsidR="00211CBF" w:rsidRPr="008C7581" w:rsidRDefault="00211CBF" w:rsidP="00AA7892">
            <w:pPr>
              <w:pStyle w:val="BodyText"/>
              <w:rPr>
                <w:color w:val="FF0000"/>
                <w:lang w:val="en-GB"/>
              </w:rPr>
            </w:pPr>
            <w:r w:rsidRPr="008C7581">
              <w:rPr>
                <w:color w:val="FF0000"/>
                <w:lang w:val="en-GB"/>
              </w:rPr>
              <w:t>Which parts of MSFD requirements does the programme fulfil?</w:t>
            </w:r>
            <w:r w:rsidR="00AA7892">
              <w:rPr>
                <w:color w:val="FF0000"/>
                <w:lang w:val="en-GB"/>
              </w:rPr>
              <w:t xml:space="preserve"> Refer to the articles and annexes of the Directive</w:t>
            </w:r>
            <w:r w:rsidR="00FC5A79">
              <w:rPr>
                <w:color w:val="FF0000"/>
                <w:lang w:val="en-GB"/>
              </w:rPr>
              <w:t xml:space="preserve"> that require that monitoring is carried out</w:t>
            </w:r>
            <w:r w:rsidR="00AA7892">
              <w:rPr>
                <w:color w:val="FF0000"/>
                <w:lang w:val="en-GB"/>
              </w:rPr>
              <w:t>.</w:t>
            </w:r>
          </w:p>
        </w:tc>
      </w:tr>
      <w:tr w:rsidR="00211CBF" w:rsidTr="009B6A62">
        <w:tc>
          <w:tcPr>
            <w:tcW w:w="2660" w:type="dxa"/>
          </w:tcPr>
          <w:p w:rsidR="00211CBF" w:rsidRDefault="00211CBF" w:rsidP="009D64C3">
            <w:pPr>
              <w:pStyle w:val="BodyText"/>
              <w:rPr>
                <w:lang w:val="en-GB"/>
              </w:rPr>
            </w:pPr>
            <w:r>
              <w:rPr>
                <w:lang w:val="en-GB"/>
              </w:rPr>
              <w:t>Habitat Directive</w:t>
            </w:r>
          </w:p>
          <w:p w:rsidR="00211CBF" w:rsidRDefault="008B0A12" w:rsidP="009D64C3">
            <w:pPr>
              <w:pStyle w:val="BodyText"/>
              <w:rPr>
                <w:lang w:val="en-GB"/>
              </w:rPr>
            </w:pPr>
            <w:r>
              <w:rPr>
                <w:lang w:val="en-GB"/>
              </w:rPr>
              <w:t>Article 11</w:t>
            </w:r>
          </w:p>
        </w:tc>
        <w:tc>
          <w:tcPr>
            <w:tcW w:w="5670" w:type="dxa"/>
          </w:tcPr>
          <w:p w:rsidR="00211CBF" w:rsidRDefault="00211CBF" w:rsidP="009D64C3">
            <w:pPr>
              <w:pStyle w:val="BodyText"/>
              <w:rPr>
                <w:i/>
                <w:lang w:val="en-GB"/>
              </w:rPr>
            </w:pPr>
            <w:r>
              <w:rPr>
                <w:i/>
                <w:lang w:val="en-GB"/>
              </w:rPr>
              <w:t>Comments</w:t>
            </w:r>
          </w:p>
          <w:p w:rsidR="00CA1A18" w:rsidRPr="00A9397D" w:rsidRDefault="00CA1A18" w:rsidP="00CA1A18">
            <w:pPr>
              <w:pStyle w:val="BodyText"/>
              <w:rPr>
                <w:b/>
                <w:iCs/>
                <w:lang w:val="en-GB"/>
              </w:rPr>
            </w:pPr>
            <w:r w:rsidRPr="00A9397D">
              <w:rPr>
                <w:b/>
                <w:iCs/>
                <w:lang w:val="en-GB"/>
              </w:rPr>
              <w:t>Habitats Directive (</w:t>
            </w:r>
            <w:r w:rsidRPr="00A9397D">
              <w:rPr>
                <w:b/>
                <w:bCs/>
                <w:iCs/>
                <w:lang w:val="en-GB"/>
              </w:rPr>
              <w:t>Council Directive 92/43/EEC</w:t>
            </w:r>
            <w:r w:rsidRPr="00A9397D">
              <w:rPr>
                <w:b/>
                <w:iCs/>
                <w:lang w:val="en-GB"/>
              </w:rPr>
              <w:t>)</w:t>
            </w:r>
          </w:p>
          <w:p w:rsidR="00CA1A18" w:rsidRPr="00CA1A18" w:rsidRDefault="00CA1A18" w:rsidP="00CA1A18">
            <w:pPr>
              <w:pStyle w:val="BodyText"/>
              <w:rPr>
                <w:iCs/>
                <w:lang w:val="en-GB"/>
              </w:rPr>
            </w:pPr>
            <w:r w:rsidRPr="00A9397D">
              <w:rPr>
                <w:iCs/>
                <w:lang w:val="en-GB"/>
              </w:rPr>
              <w:t>The HD purpose is conservation means a series of measures required to maintain or restore the natural habitats and the populations of species of wild fauna and flora at a favourable status.</w:t>
            </w:r>
            <w:r>
              <w:rPr>
                <w:iCs/>
                <w:lang w:val="en-GB"/>
              </w:rPr>
              <w:t xml:space="preserve"> Underwater noise can negatively impact the marine animals.</w:t>
            </w:r>
          </w:p>
        </w:tc>
        <w:tc>
          <w:tcPr>
            <w:tcW w:w="5605" w:type="dxa"/>
          </w:tcPr>
          <w:p w:rsidR="00211CBF" w:rsidRDefault="00211CBF" w:rsidP="009D64C3">
            <w:pPr>
              <w:pStyle w:val="BodyText"/>
              <w:rPr>
                <w:color w:val="FF0000"/>
                <w:lang w:val="en-GB"/>
              </w:rPr>
            </w:pPr>
            <w:r w:rsidRPr="008C7581">
              <w:rPr>
                <w:color w:val="FF0000"/>
                <w:lang w:val="en-GB"/>
              </w:rPr>
              <w:t>Which parts of HD requirements does the programme fulfil?</w:t>
            </w:r>
          </w:p>
          <w:p w:rsidR="00F43788" w:rsidRPr="008C7581" w:rsidRDefault="00F43788" w:rsidP="009D64C3">
            <w:pPr>
              <w:pStyle w:val="BodyText"/>
              <w:rPr>
                <w:color w:val="FF0000"/>
                <w:lang w:val="en-GB"/>
              </w:rPr>
            </w:pPr>
          </w:p>
        </w:tc>
      </w:tr>
      <w:tr w:rsidR="00211CBF" w:rsidTr="009B6A62">
        <w:tc>
          <w:tcPr>
            <w:tcW w:w="2660" w:type="dxa"/>
          </w:tcPr>
          <w:p w:rsidR="00211CBF" w:rsidRDefault="00211CBF" w:rsidP="009D64C3">
            <w:pPr>
              <w:pStyle w:val="BodyText"/>
              <w:rPr>
                <w:lang w:val="en-GB"/>
              </w:rPr>
            </w:pPr>
            <w:r>
              <w:rPr>
                <w:lang w:val="en-GB"/>
              </w:rPr>
              <w:t>Black Sea Commission</w:t>
            </w:r>
          </w:p>
          <w:p w:rsidR="00211CBF" w:rsidRDefault="00211CBF" w:rsidP="009D64C3">
            <w:pPr>
              <w:pStyle w:val="BodyText"/>
              <w:rPr>
                <w:lang w:val="en-GB"/>
              </w:rPr>
            </w:pPr>
            <w:r>
              <w:rPr>
                <w:lang w:val="en-GB"/>
              </w:rPr>
              <w:t>Black Sea SAP</w:t>
            </w:r>
          </w:p>
        </w:tc>
        <w:tc>
          <w:tcPr>
            <w:tcW w:w="5670" w:type="dxa"/>
          </w:tcPr>
          <w:p w:rsidR="00211CBF" w:rsidRDefault="00211CBF" w:rsidP="009D64C3">
            <w:pPr>
              <w:pStyle w:val="BodyText"/>
              <w:rPr>
                <w:i/>
                <w:lang w:val="en-GB"/>
              </w:rPr>
            </w:pPr>
            <w:r>
              <w:rPr>
                <w:i/>
                <w:lang w:val="en-GB"/>
              </w:rPr>
              <w:t>Comments</w:t>
            </w:r>
          </w:p>
          <w:p w:rsidR="00CA1A18" w:rsidRPr="00CA1A18" w:rsidRDefault="00CA1A18" w:rsidP="00CA1A18">
            <w:pPr>
              <w:pStyle w:val="BodyText"/>
              <w:rPr>
                <w:lang w:val="en-GB"/>
              </w:rPr>
            </w:pPr>
            <w:r w:rsidRPr="00CA1A18">
              <w:rPr>
                <w:lang w:val="en-GB"/>
              </w:rPr>
              <w:t>Convention on the Protection of the Black Sea Against Pollution</w:t>
            </w:r>
          </w:p>
          <w:p w:rsidR="00CA1A18" w:rsidRPr="00CA1A18" w:rsidRDefault="00CA1A18" w:rsidP="00CA1A18">
            <w:pPr>
              <w:pStyle w:val="BodyText"/>
              <w:rPr>
                <w:lang w:val="en-GB"/>
              </w:rPr>
            </w:pPr>
            <w:r w:rsidRPr="00CA1A18">
              <w:rPr>
                <w:lang w:val="en-GB"/>
              </w:rPr>
              <w:t>Art. 15.</w:t>
            </w:r>
          </w:p>
          <w:p w:rsidR="00CA1A18" w:rsidRPr="00CA1A18" w:rsidRDefault="00CA1A18" w:rsidP="00CA1A18">
            <w:pPr>
              <w:pStyle w:val="BodyText"/>
              <w:rPr>
                <w:lang w:val="en-GB"/>
              </w:rPr>
            </w:pPr>
            <w:r>
              <w:rPr>
                <w:lang w:val="en-GB"/>
              </w:rPr>
              <w:t xml:space="preserve">1. </w:t>
            </w:r>
            <w:r w:rsidRPr="00CA1A18">
              <w:rPr>
                <w:lang w:val="en-GB"/>
              </w:rPr>
              <w:t>The Contracting Parties shall cooperate in conducting scientific research aimed at protecting and preserving the marine environment of the Black Sea and shall undertake, where appropriate, joint programmes of scientific research, and exchange relevant scientific data and information.</w:t>
            </w:r>
          </w:p>
          <w:p w:rsidR="00CA1A18" w:rsidRPr="00CA1A18" w:rsidRDefault="00CA1A18" w:rsidP="00CA1A18">
            <w:pPr>
              <w:pStyle w:val="BodyText"/>
              <w:rPr>
                <w:lang w:val="en-GB"/>
              </w:rPr>
            </w:pPr>
            <w:r w:rsidRPr="00CA1A18">
              <w:rPr>
                <w:lang w:val="en-GB"/>
              </w:rPr>
              <w:t>4.</w:t>
            </w:r>
            <w:r>
              <w:rPr>
                <w:lang w:val="en-GB"/>
              </w:rPr>
              <w:t xml:space="preserve"> </w:t>
            </w:r>
            <w:r w:rsidRPr="00CA1A18">
              <w:rPr>
                <w:lang w:val="en-GB"/>
              </w:rPr>
              <w:t xml:space="preserve">The Contracting Parties shall, inter alia,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w:t>
            </w:r>
            <w:r w:rsidR="00624569" w:rsidRPr="00CA1A18">
              <w:rPr>
                <w:lang w:val="en-GB"/>
              </w:rPr>
              <w:t>analysing</w:t>
            </w:r>
            <w:r w:rsidRPr="00CA1A18">
              <w:rPr>
                <w:lang w:val="en-GB"/>
              </w:rPr>
              <w:t xml:space="preserve"> the risks or effects of pollution of the marine environment of the Black Sea.</w:t>
            </w:r>
          </w:p>
        </w:tc>
        <w:tc>
          <w:tcPr>
            <w:tcW w:w="5605" w:type="dxa"/>
          </w:tcPr>
          <w:p w:rsidR="00211CBF" w:rsidRPr="008C7581" w:rsidRDefault="00211CBF" w:rsidP="00EB7E8B">
            <w:pPr>
              <w:pStyle w:val="BodyText"/>
              <w:rPr>
                <w:color w:val="FF0000"/>
                <w:lang w:val="en-GB"/>
              </w:rPr>
            </w:pPr>
            <w:r w:rsidRPr="008C7581">
              <w:rPr>
                <w:color w:val="FF0000"/>
                <w:lang w:val="en-GB"/>
              </w:rPr>
              <w:t>Does the programme fulfil any formal obligations to the BSC?</w:t>
            </w:r>
          </w:p>
        </w:tc>
      </w:tr>
      <w:tr w:rsidR="008561F7" w:rsidTr="009B6A62">
        <w:tc>
          <w:tcPr>
            <w:tcW w:w="2660" w:type="dxa"/>
          </w:tcPr>
          <w:p w:rsidR="008561F7" w:rsidRPr="00CF64A9" w:rsidRDefault="008561F7" w:rsidP="009D64C3">
            <w:pPr>
              <w:pStyle w:val="BodyText"/>
              <w:rPr>
                <w:color w:val="4F81BD" w:themeColor="accent1"/>
                <w:lang w:val="en-GB"/>
              </w:rPr>
            </w:pPr>
            <w:r w:rsidRPr="00CF64A9">
              <w:rPr>
                <w:color w:val="4F81BD" w:themeColor="accent1"/>
                <w:lang w:val="en-GB"/>
              </w:rPr>
              <w:t>2.2 GES criteria</w:t>
            </w:r>
          </w:p>
        </w:tc>
        <w:tc>
          <w:tcPr>
            <w:tcW w:w="5670" w:type="dxa"/>
          </w:tcPr>
          <w:p w:rsidR="008561F7" w:rsidRDefault="00044781" w:rsidP="009D64C3">
            <w:pPr>
              <w:pStyle w:val="BodyText"/>
              <w:rPr>
                <w:i/>
                <w:lang w:val="en-GB"/>
              </w:rPr>
            </w:pPr>
            <w:r>
              <w:rPr>
                <w:i/>
                <w:lang w:val="en-GB"/>
              </w:rPr>
              <w:t>Li</w:t>
            </w:r>
            <w:r w:rsidRPr="00044781">
              <w:rPr>
                <w:lang w:val="en-GB"/>
              </w:rPr>
              <w:t xml:space="preserve">st </w:t>
            </w:r>
            <w:r>
              <w:rPr>
                <w:i/>
                <w:lang w:val="en-GB"/>
              </w:rPr>
              <w:t xml:space="preserve">relevant GES Criteria and characteristics </w:t>
            </w:r>
            <w:r>
              <w:rPr>
                <w:i/>
                <w:lang w:val="en-GB"/>
              </w:rPr>
              <w:sym w:font="Symbol" w:char="F05B"/>
            </w:r>
            <w:r>
              <w:rPr>
                <w:i/>
                <w:lang w:val="en-GB"/>
              </w:rPr>
              <w:t>indicators</w:t>
            </w:r>
            <w:r>
              <w:rPr>
                <w:i/>
                <w:lang w:val="en-GB"/>
              </w:rPr>
              <w:sym w:font="Symbol" w:char="F05D"/>
            </w:r>
            <w:r>
              <w:rPr>
                <w:i/>
                <w:lang w:val="en-GB"/>
              </w:rPr>
              <w:t xml:space="preserve">  </w:t>
            </w:r>
            <w:r w:rsidRPr="00044781">
              <w:rPr>
                <w:lang w:val="en-GB"/>
              </w:rPr>
              <w:t xml:space="preserve">(see </w:t>
            </w:r>
            <w:r w:rsidRPr="00044781">
              <w:rPr>
                <w:i/>
                <w:lang w:val="en-GB"/>
              </w:rPr>
              <w:t>Commission Decision of 1. September 2010)</w:t>
            </w:r>
          </w:p>
          <w:p w:rsidR="00A27731" w:rsidRPr="00A27731" w:rsidRDefault="00A27731" w:rsidP="00A27731">
            <w:pPr>
              <w:pStyle w:val="BodyText"/>
              <w:rPr>
                <w:lang w:val="en-GB"/>
              </w:rPr>
            </w:pPr>
            <w:r w:rsidRPr="00A27731">
              <w:rPr>
                <w:lang w:val="en-GB"/>
              </w:rPr>
              <w:t>11.1. Distribution in time and place of loud, low and mid frequency impulsive sounds</w:t>
            </w:r>
          </w:p>
          <w:p w:rsidR="00A27731" w:rsidRPr="00A27731" w:rsidRDefault="00A27731" w:rsidP="00A27731">
            <w:pPr>
              <w:pStyle w:val="BodyText"/>
              <w:rPr>
                <w:lang w:val="en-GB"/>
              </w:rPr>
            </w:pPr>
            <w:r w:rsidRPr="00A27731">
              <w:rPr>
                <w:lang w:val="en-GB"/>
              </w:rPr>
              <w:t>—  Proportion of days and their distribution within a calendar year over areas of a determined surface, as well as their spatial distribution, in which anthropogenic sound sources exceed levels that are likely to entail significant impact on marine animals measured as Sound Exposure Level (in dB re 1μPa^2.s) or as peak sound pressure level (in dB re 1μPa peak) at one metre, measured over the frequency band 10 Hz to 10 kHz (11.1.1)</w:t>
            </w:r>
          </w:p>
          <w:p w:rsidR="00A27731" w:rsidRPr="00A27731" w:rsidRDefault="00A27731" w:rsidP="00A27731">
            <w:pPr>
              <w:pStyle w:val="BodyText"/>
              <w:rPr>
                <w:lang w:val="en-GB"/>
              </w:rPr>
            </w:pPr>
            <w:r w:rsidRPr="00A27731">
              <w:rPr>
                <w:lang w:val="en-GB"/>
              </w:rPr>
              <w:t>11.2. Continuous low frequency sound</w:t>
            </w:r>
          </w:p>
          <w:p w:rsidR="00A27731" w:rsidRPr="00A27731" w:rsidRDefault="008E180C" w:rsidP="00A27731">
            <w:pPr>
              <w:pStyle w:val="BodyText"/>
              <w:rPr>
                <w:lang w:val="en-GB"/>
              </w:rPr>
            </w:pPr>
            <w:r w:rsidRPr="00A27731">
              <w:rPr>
                <w:lang w:val="en-GB"/>
              </w:rPr>
              <w:t>— Trends</w:t>
            </w:r>
            <w:r w:rsidR="00A27731" w:rsidRPr="00A27731">
              <w:rPr>
                <w:lang w:val="en-GB"/>
              </w:rPr>
              <w:t xml:space="preserve"> in the ambient noise level within the 1/3 octave bands 63 and 125 Hz (centre frequency) (re 1μΡa RMS; average noise level in these octave bands over a year) measured by observation stations and/or with the use of models if appropriate (11.2.1).</w:t>
            </w:r>
          </w:p>
        </w:tc>
        <w:tc>
          <w:tcPr>
            <w:tcW w:w="5605" w:type="dxa"/>
          </w:tcPr>
          <w:p w:rsidR="008561F7" w:rsidRPr="008561F7" w:rsidRDefault="008561F7" w:rsidP="008561F7">
            <w:pPr>
              <w:pStyle w:val="BodyText"/>
              <w:rPr>
                <w:color w:val="FF0000"/>
                <w:lang w:val="en-GB"/>
              </w:rPr>
            </w:pPr>
            <w:r w:rsidRPr="008561F7">
              <w:rPr>
                <w:color w:val="FF0000"/>
                <w:lang w:val="en-GB"/>
              </w:rPr>
              <w:t xml:space="preserve">Which GES criteria are </w:t>
            </w:r>
            <w:r w:rsidR="006E53B9">
              <w:rPr>
                <w:color w:val="FF0000"/>
                <w:lang w:val="en-GB"/>
              </w:rPr>
              <w:t>addressed/monitored</w:t>
            </w:r>
            <w:r w:rsidRPr="008561F7">
              <w:rPr>
                <w:color w:val="FF0000"/>
                <w:lang w:val="en-GB"/>
              </w:rPr>
              <w:t xml:space="preserve"> by the programme </w:t>
            </w:r>
            <w:r w:rsidR="00044781">
              <w:rPr>
                <w:color w:val="FF0000"/>
                <w:lang w:val="en-GB"/>
              </w:rPr>
              <w:t>(5a)</w:t>
            </w:r>
            <w:proofErr w:type="gramStart"/>
            <w:r w:rsidR="00E250EB">
              <w:rPr>
                <w:color w:val="FF0000"/>
                <w:lang w:val="en-GB"/>
              </w:rPr>
              <w:t>.</w:t>
            </w:r>
            <w:proofErr w:type="gramEnd"/>
            <w:r w:rsidR="00E250EB">
              <w:rPr>
                <w:color w:val="FF0000"/>
                <w:lang w:val="en-GB"/>
              </w:rPr>
              <w:t xml:space="preserve"> Select the relevant criteria</w:t>
            </w:r>
          </w:p>
          <w:p w:rsidR="008561F7" w:rsidRDefault="008561F7" w:rsidP="008561F7">
            <w:pPr>
              <w:pStyle w:val="BodyText"/>
              <w:rPr>
                <w:i/>
                <w:lang w:val="en-GB"/>
              </w:rPr>
            </w:pPr>
            <w:r w:rsidRPr="008561F7">
              <w:rPr>
                <w:color w:val="FF0000"/>
                <w:lang w:val="en-GB"/>
              </w:rPr>
              <w:t xml:space="preserve">Which characteristics </w:t>
            </w:r>
            <w:r w:rsidRPr="008561F7">
              <w:rPr>
                <w:color w:val="FF0000"/>
                <w:lang w:val="en-GB"/>
              </w:rPr>
              <w:sym w:font="Symbol" w:char="F05B"/>
            </w:r>
            <w:r w:rsidRPr="008561F7">
              <w:rPr>
                <w:color w:val="FF0000"/>
                <w:lang w:val="en-GB"/>
              </w:rPr>
              <w:t>indicators</w:t>
            </w:r>
            <w:r w:rsidRPr="008561F7">
              <w:rPr>
                <w:color w:val="FF0000"/>
                <w:lang w:val="en-GB"/>
              </w:rPr>
              <w:sym w:font="Symbol" w:char="F05D"/>
            </w:r>
            <w:r w:rsidRPr="008561F7">
              <w:rPr>
                <w:color w:val="FF0000"/>
                <w:lang w:val="en-GB"/>
              </w:rPr>
              <w:t xml:space="preserve"> are </w:t>
            </w:r>
            <w:r w:rsidR="006E53B9">
              <w:rPr>
                <w:color w:val="FF0000"/>
                <w:lang w:val="en-GB"/>
              </w:rPr>
              <w:t>addressed/monitored</w:t>
            </w:r>
            <w:r w:rsidR="00044781">
              <w:rPr>
                <w:color w:val="FF0000"/>
                <w:lang w:val="en-GB"/>
              </w:rPr>
              <w:t xml:space="preserve"> (5b)</w:t>
            </w:r>
          </w:p>
          <w:p w:rsidR="008561F7" w:rsidRPr="008C7581" w:rsidRDefault="008561F7" w:rsidP="009D64C3">
            <w:pPr>
              <w:pStyle w:val="BodyText"/>
              <w:rPr>
                <w:color w:val="FF0000"/>
                <w:lang w:val="en-GB"/>
              </w:rPr>
            </w:pPr>
          </w:p>
        </w:tc>
      </w:tr>
      <w:tr w:rsidR="00044781" w:rsidTr="009B6A62">
        <w:tc>
          <w:tcPr>
            <w:tcW w:w="2660" w:type="dxa"/>
          </w:tcPr>
          <w:p w:rsidR="00044781" w:rsidRPr="00CF64A9" w:rsidRDefault="00044781" w:rsidP="009D64C3">
            <w:pPr>
              <w:pStyle w:val="BodyText"/>
              <w:rPr>
                <w:color w:val="4F81BD" w:themeColor="accent1"/>
                <w:lang w:val="en-GB"/>
              </w:rPr>
            </w:pPr>
            <w:r w:rsidRPr="00CF64A9">
              <w:rPr>
                <w:color w:val="4F81BD" w:themeColor="accent1"/>
                <w:lang w:val="en-GB"/>
              </w:rPr>
              <w:t>2.3 Features, pressures and impacts</w:t>
            </w:r>
          </w:p>
        </w:tc>
        <w:tc>
          <w:tcPr>
            <w:tcW w:w="5670" w:type="dxa"/>
          </w:tcPr>
          <w:p w:rsidR="00044781" w:rsidRDefault="00044781" w:rsidP="009D64C3">
            <w:pPr>
              <w:pStyle w:val="BodyText"/>
              <w:rPr>
                <w:i/>
                <w:lang w:val="en-GB"/>
              </w:rPr>
            </w:pPr>
            <w:r>
              <w:rPr>
                <w:i/>
                <w:lang w:val="en-GB"/>
              </w:rPr>
              <w:t>List relevant features and pressures from MSFD Annex III</w:t>
            </w:r>
          </w:p>
          <w:p w:rsidR="008E180C" w:rsidRPr="008E180C" w:rsidRDefault="008E180C" w:rsidP="009D64C3">
            <w:pPr>
              <w:pStyle w:val="BodyText"/>
              <w:rPr>
                <w:lang w:val="en-GB"/>
              </w:rPr>
            </w:pPr>
            <w:r w:rsidRPr="00935644">
              <w:rPr>
                <w:lang w:val="en-GB"/>
              </w:rPr>
              <w:t>Underwater noise (e.g. from shipping,</w:t>
            </w:r>
            <w:r>
              <w:rPr>
                <w:lang w:val="en-GB"/>
              </w:rPr>
              <w:t xml:space="preserve"> underwater acoustic equipment).</w:t>
            </w:r>
          </w:p>
          <w:p w:rsidR="006E53B9" w:rsidRDefault="006E53B9" w:rsidP="007A4015">
            <w:pPr>
              <w:pStyle w:val="BodyText"/>
              <w:rPr>
                <w:i/>
                <w:lang w:val="en-GB"/>
              </w:rPr>
            </w:pPr>
            <w:r>
              <w:rPr>
                <w:i/>
                <w:lang w:val="en-GB"/>
              </w:rPr>
              <w:t xml:space="preserve">Refer to section </w:t>
            </w:r>
            <w:r w:rsidR="007A4015">
              <w:rPr>
                <w:i/>
                <w:lang w:val="en-GB"/>
              </w:rPr>
              <w:t>6</w:t>
            </w:r>
            <w:r>
              <w:rPr>
                <w:i/>
                <w:lang w:val="en-GB"/>
              </w:rPr>
              <w:t xml:space="preserve"> regarding gaps and plans</w:t>
            </w:r>
          </w:p>
        </w:tc>
        <w:tc>
          <w:tcPr>
            <w:tcW w:w="5605" w:type="dxa"/>
          </w:tcPr>
          <w:p w:rsidR="00044781" w:rsidRPr="008C7581" w:rsidRDefault="00044781" w:rsidP="009D64C3">
            <w:pPr>
              <w:pStyle w:val="BodyText"/>
              <w:rPr>
                <w:color w:val="FF0000"/>
                <w:lang w:val="en-GB"/>
              </w:rPr>
            </w:pPr>
            <w:r>
              <w:rPr>
                <w:color w:val="FF0000"/>
                <w:lang w:val="en-GB"/>
              </w:rPr>
              <w:t>Which elements of Annex III (ecosystem components, pressures/impacts) are addressed</w:t>
            </w:r>
            <w:r w:rsidR="006E53B9">
              <w:rPr>
                <w:color w:val="FF0000"/>
                <w:lang w:val="en-GB"/>
              </w:rPr>
              <w:t>/monitored</w:t>
            </w:r>
            <w:r>
              <w:rPr>
                <w:color w:val="FF0000"/>
                <w:lang w:val="en-GB"/>
              </w:rPr>
              <w:t xml:space="preserve"> by the programme (5c)</w:t>
            </w:r>
          </w:p>
        </w:tc>
      </w:tr>
      <w:tr w:rsidR="00BE1EF1" w:rsidTr="009B6A62">
        <w:tc>
          <w:tcPr>
            <w:tcW w:w="2660" w:type="dxa"/>
          </w:tcPr>
          <w:p w:rsidR="00BE1EF1" w:rsidRPr="00CF64A9" w:rsidRDefault="00BE1EF1" w:rsidP="009D64C3">
            <w:pPr>
              <w:pStyle w:val="BodyText"/>
              <w:rPr>
                <w:color w:val="4F81BD" w:themeColor="accent1"/>
                <w:lang w:val="en-GB"/>
              </w:rPr>
            </w:pPr>
            <w:r w:rsidRPr="00CF64A9">
              <w:rPr>
                <w:color w:val="4F81BD" w:themeColor="accent1"/>
                <w:lang w:val="en-GB"/>
              </w:rPr>
              <w:t>2.4 GES</w:t>
            </w:r>
          </w:p>
        </w:tc>
        <w:tc>
          <w:tcPr>
            <w:tcW w:w="5670" w:type="dxa"/>
          </w:tcPr>
          <w:p w:rsidR="00BE1EF1" w:rsidRDefault="00BE1EF1" w:rsidP="009D64C3">
            <w:pPr>
              <w:pStyle w:val="BodyText"/>
              <w:rPr>
                <w:i/>
                <w:lang w:val="en-GB"/>
              </w:rPr>
            </w:pPr>
            <w:r>
              <w:rPr>
                <w:i/>
                <w:lang w:val="en-GB"/>
              </w:rPr>
              <w:t>Assessment of GES (GES as defined in the article 9 reporting)</w:t>
            </w:r>
          </w:p>
          <w:p w:rsidR="00B10496" w:rsidRDefault="00B641D1" w:rsidP="00B770D1">
            <w:pPr>
              <w:pStyle w:val="BodyText"/>
              <w:jc w:val="both"/>
              <w:rPr>
                <w:lang w:val="en-GB"/>
              </w:rPr>
            </w:pPr>
            <w:r>
              <w:rPr>
                <w:lang w:val="en-GB"/>
              </w:rPr>
              <w:t xml:space="preserve">GES definition on indicator </w:t>
            </w:r>
            <w:r w:rsidR="00AC5298">
              <w:rPr>
                <w:lang w:val="en-GB"/>
              </w:rPr>
              <w:t>11.1.1</w:t>
            </w:r>
            <w:r w:rsidR="00C1427E">
              <w:rPr>
                <w:lang w:val="en-GB"/>
              </w:rPr>
              <w:t>.</w:t>
            </w:r>
            <w:r w:rsidR="00AC5298">
              <w:rPr>
                <w:lang w:val="en-GB"/>
              </w:rPr>
              <w:t xml:space="preserve"> </w:t>
            </w:r>
            <w:r w:rsidR="00B10496" w:rsidRPr="00B10496">
              <w:rPr>
                <w:lang w:val="en-GB"/>
              </w:rPr>
              <w:t>Human activities introducing loud, low and mid frequency impulsive sounds into the marine environment are managed to the extent that no significant long term adverse effects are incurred at the population level or specifically to vulnerable/threatened species and key functional groups</w:t>
            </w:r>
            <w:r w:rsidR="00715935">
              <w:rPr>
                <w:lang w:val="en-GB"/>
              </w:rPr>
              <w:t xml:space="preserve"> (relevant UK GES definition)</w:t>
            </w:r>
            <w:r w:rsidR="00B10496" w:rsidRPr="00B10496">
              <w:rPr>
                <w:lang w:val="en-GB"/>
              </w:rPr>
              <w:t>.</w:t>
            </w:r>
          </w:p>
          <w:p w:rsidR="006E53B9" w:rsidRPr="008E180C" w:rsidRDefault="00B641D1" w:rsidP="00B770D1">
            <w:pPr>
              <w:pStyle w:val="BodyText"/>
              <w:jc w:val="both"/>
              <w:rPr>
                <w:lang w:val="en-GB"/>
              </w:rPr>
            </w:pPr>
            <w:r>
              <w:rPr>
                <w:lang w:val="en-GB"/>
              </w:rPr>
              <w:t xml:space="preserve">GES definition on indicator </w:t>
            </w:r>
            <w:r w:rsidR="00AC5298">
              <w:rPr>
                <w:lang w:val="en-GB"/>
              </w:rPr>
              <w:t>11.1.2</w:t>
            </w:r>
            <w:r w:rsidR="00C1427E">
              <w:rPr>
                <w:lang w:val="en-GB"/>
              </w:rPr>
              <w:t>.</w:t>
            </w:r>
            <w:r w:rsidR="00AC5298">
              <w:rPr>
                <w:lang w:val="en-GB"/>
              </w:rPr>
              <w:t xml:space="preserve"> </w:t>
            </w:r>
            <w:r w:rsidR="00B10496" w:rsidRPr="00B10496">
              <w:rPr>
                <w:lang w:val="en-GB"/>
              </w:rPr>
              <w:t>Continuous low frequency sound inputs do not pose a significant risk to marine life at the population level, or specifically to vulnerable/threatened species and key functional groups e.g. through the masking of biologically significant sounds and behavioural reactions</w:t>
            </w:r>
            <w:r w:rsidR="00715935">
              <w:rPr>
                <w:lang w:val="en-GB"/>
              </w:rPr>
              <w:t xml:space="preserve"> </w:t>
            </w:r>
            <w:r w:rsidR="00715935">
              <w:rPr>
                <w:lang w:val="en-GB"/>
              </w:rPr>
              <w:t>(relevant UK GES definition)</w:t>
            </w:r>
            <w:r w:rsidR="00C27AAC">
              <w:rPr>
                <w:lang w:val="en-GB"/>
              </w:rPr>
              <w:t>.</w:t>
            </w:r>
          </w:p>
        </w:tc>
        <w:tc>
          <w:tcPr>
            <w:tcW w:w="5605" w:type="dxa"/>
          </w:tcPr>
          <w:p w:rsidR="00BE1EF1" w:rsidRDefault="009E1164" w:rsidP="009E1164">
            <w:pPr>
              <w:pStyle w:val="BodyText"/>
              <w:rPr>
                <w:color w:val="FF0000"/>
                <w:lang w:val="en-GB"/>
              </w:rPr>
            </w:pPr>
            <w:r>
              <w:rPr>
                <w:color w:val="FF0000"/>
                <w:lang w:val="en-GB"/>
              </w:rPr>
              <w:t>State the definition of GES reported for the relevant descriptor and d</w:t>
            </w:r>
            <w:r w:rsidR="00BE1EF1">
              <w:rPr>
                <w:color w:val="FF0000"/>
                <w:lang w:val="en-GB"/>
              </w:rPr>
              <w:t>escribe how the programme: addresses assessment needs for the relevant descriptor; contributes to determining distance from GES and trends in status; addresses natural and climatic variability; responds to risk of not achieving GES (5f)</w:t>
            </w:r>
          </w:p>
        </w:tc>
      </w:tr>
      <w:tr w:rsidR="00211CBF" w:rsidTr="009B6A62">
        <w:tc>
          <w:tcPr>
            <w:tcW w:w="2660" w:type="dxa"/>
          </w:tcPr>
          <w:p w:rsidR="00211CBF" w:rsidRPr="00CF64A9" w:rsidRDefault="00211CBF" w:rsidP="009D64C3">
            <w:pPr>
              <w:pStyle w:val="BodyText"/>
              <w:rPr>
                <w:color w:val="4F81BD" w:themeColor="accent1"/>
                <w:lang w:val="en-GB"/>
              </w:rPr>
            </w:pPr>
            <w:r w:rsidRPr="00CF64A9">
              <w:rPr>
                <w:color w:val="4F81BD" w:themeColor="accent1"/>
                <w:lang w:val="en-GB"/>
              </w:rPr>
              <w:t>2.</w:t>
            </w:r>
            <w:r w:rsidR="00BE1EF1" w:rsidRPr="00CF64A9">
              <w:rPr>
                <w:color w:val="4F81BD" w:themeColor="accent1"/>
                <w:lang w:val="en-GB"/>
              </w:rPr>
              <w:t>5</w:t>
            </w:r>
            <w:r w:rsidRPr="00CF64A9">
              <w:rPr>
                <w:color w:val="4F81BD" w:themeColor="accent1"/>
                <w:lang w:val="en-GB"/>
              </w:rPr>
              <w:t xml:space="preserve"> Environmental targets</w:t>
            </w:r>
          </w:p>
          <w:p w:rsidR="00211CBF" w:rsidRPr="00DD0BD7" w:rsidRDefault="00211CBF" w:rsidP="009D64C3">
            <w:pPr>
              <w:pStyle w:val="BodyText"/>
              <w:rPr>
                <w:lang w:val="en-GB"/>
              </w:rPr>
            </w:pPr>
            <w:r w:rsidRPr="00DD0BD7">
              <w:rPr>
                <w:lang w:val="en-GB"/>
              </w:rPr>
              <w:t>MSFD</w:t>
            </w:r>
          </w:p>
          <w:p w:rsidR="00211CBF" w:rsidRPr="00DD0BD7" w:rsidRDefault="00211CBF" w:rsidP="009D64C3">
            <w:pPr>
              <w:pStyle w:val="BodyText"/>
              <w:rPr>
                <w:lang w:val="en-GB"/>
              </w:rPr>
            </w:pPr>
            <w:r w:rsidRPr="00DD0BD7">
              <w:rPr>
                <w:lang w:val="en-GB"/>
              </w:rPr>
              <w:t>HD</w:t>
            </w:r>
          </w:p>
          <w:p w:rsidR="00211CBF" w:rsidRPr="00DD0BD7" w:rsidRDefault="00211CBF" w:rsidP="009D64C3">
            <w:pPr>
              <w:pStyle w:val="BodyText"/>
              <w:rPr>
                <w:lang w:val="en-GB"/>
              </w:rPr>
            </w:pPr>
            <w:r w:rsidRPr="00DD0BD7">
              <w:rPr>
                <w:lang w:val="en-GB"/>
              </w:rPr>
              <w:t>BD</w:t>
            </w:r>
          </w:p>
          <w:p w:rsidR="00211CBF" w:rsidRPr="00DD0BD7" w:rsidRDefault="00211CBF" w:rsidP="009D64C3">
            <w:pPr>
              <w:pStyle w:val="BodyText"/>
              <w:rPr>
                <w:lang w:val="en-GB"/>
              </w:rPr>
            </w:pPr>
            <w:r w:rsidRPr="00DD0BD7">
              <w:rPr>
                <w:lang w:val="en-GB"/>
              </w:rPr>
              <w:t>WFD</w:t>
            </w:r>
          </w:p>
          <w:p w:rsidR="00211CBF" w:rsidRPr="00CF64A9" w:rsidRDefault="00211CBF" w:rsidP="009D64C3">
            <w:pPr>
              <w:pStyle w:val="BodyText"/>
              <w:rPr>
                <w:color w:val="4F81BD" w:themeColor="accent1"/>
                <w:lang w:val="en-GB"/>
              </w:rPr>
            </w:pPr>
            <w:r w:rsidRPr="00DD0BD7">
              <w:rPr>
                <w:lang w:val="en-GB"/>
              </w:rPr>
              <w:t>BSC</w:t>
            </w:r>
          </w:p>
        </w:tc>
        <w:tc>
          <w:tcPr>
            <w:tcW w:w="5670" w:type="dxa"/>
          </w:tcPr>
          <w:p w:rsidR="006E53B9" w:rsidRDefault="00211CBF" w:rsidP="006E53B9">
            <w:pPr>
              <w:pStyle w:val="BodyText"/>
              <w:rPr>
                <w:i/>
                <w:lang w:val="en-GB"/>
              </w:rPr>
            </w:pPr>
            <w:r>
              <w:rPr>
                <w:i/>
                <w:lang w:val="en-GB"/>
              </w:rPr>
              <w:t xml:space="preserve">Relevant </w:t>
            </w:r>
            <w:r w:rsidR="009E1164">
              <w:rPr>
                <w:i/>
                <w:lang w:val="en-GB"/>
              </w:rPr>
              <w:t xml:space="preserve">MSFD </w:t>
            </w:r>
            <w:r>
              <w:rPr>
                <w:i/>
                <w:lang w:val="en-GB"/>
              </w:rPr>
              <w:t>targets</w:t>
            </w:r>
            <w:r w:rsidR="006E53B9">
              <w:rPr>
                <w:i/>
                <w:lang w:val="en-GB"/>
              </w:rPr>
              <w:t xml:space="preserve"> defined in the article 10 reporting</w:t>
            </w:r>
          </w:p>
          <w:p w:rsidR="00211CBF" w:rsidRDefault="006E53B9" w:rsidP="006E53B9">
            <w:pPr>
              <w:pStyle w:val="BodyText"/>
              <w:rPr>
                <w:i/>
                <w:lang w:val="en-GB"/>
              </w:rPr>
            </w:pPr>
            <w:r>
              <w:rPr>
                <w:i/>
                <w:lang w:val="en-GB"/>
              </w:rPr>
              <w:t xml:space="preserve">State </w:t>
            </w:r>
            <w:r w:rsidR="009E1164">
              <w:rPr>
                <w:i/>
                <w:lang w:val="en-GB"/>
              </w:rPr>
              <w:t xml:space="preserve">relevant </w:t>
            </w:r>
            <w:r>
              <w:rPr>
                <w:i/>
                <w:lang w:val="en-GB"/>
              </w:rPr>
              <w:t xml:space="preserve">targets </w:t>
            </w:r>
            <w:r w:rsidR="009E1164">
              <w:rPr>
                <w:i/>
                <w:lang w:val="en-GB"/>
              </w:rPr>
              <w:t xml:space="preserve">from other obligations (see section 2.1) that are </w:t>
            </w:r>
            <w:r>
              <w:rPr>
                <w:i/>
                <w:lang w:val="en-GB"/>
              </w:rPr>
              <w:t>addressed by the monitoring</w:t>
            </w:r>
          </w:p>
          <w:p w:rsidR="008E180C" w:rsidRPr="00925AD2" w:rsidRDefault="00587077" w:rsidP="006E53B9">
            <w:pPr>
              <w:pStyle w:val="BodyText"/>
              <w:rPr>
                <w:b/>
                <w:lang w:val="en-GB"/>
              </w:rPr>
            </w:pPr>
            <w:r w:rsidRPr="00925AD2">
              <w:rPr>
                <w:b/>
                <w:lang w:val="en-GB"/>
              </w:rPr>
              <w:t>Marine Strategy Framework Directive</w:t>
            </w:r>
          </w:p>
          <w:p w:rsidR="008E180C" w:rsidRDefault="007E733F" w:rsidP="008E180C">
            <w:pPr>
              <w:pStyle w:val="BodyText"/>
              <w:rPr>
                <w:lang w:val="en-GB"/>
              </w:rPr>
            </w:pPr>
            <w:r>
              <w:rPr>
                <w:lang w:val="en-GB"/>
              </w:rPr>
              <w:t>11.1.1 Target</w:t>
            </w:r>
            <w:r w:rsidR="008E180C" w:rsidRPr="007E733F">
              <w:rPr>
                <w:lang w:val="en-GB"/>
              </w:rPr>
              <w:t>: To establish a “noise registry” to record, assess, and manage the distribution and timing of anthropogenic sound sources measured over the frequency band 10 Hz to 10 kHz, exceeding the energy source level 183 dB re 1 μPa² m² s; or the zero to peak source level of 224 dB re 1 μPa² m² over the entire area</w:t>
            </w:r>
            <w:r w:rsidR="00F32F27">
              <w:rPr>
                <w:lang w:val="en-GB"/>
              </w:rPr>
              <w:t xml:space="preserve"> of the Bulgarian marine waters</w:t>
            </w:r>
            <w:r w:rsidR="008E180C" w:rsidRPr="007E733F">
              <w:rPr>
                <w:lang w:val="en-GB"/>
              </w:rPr>
              <w:t>.</w:t>
            </w:r>
          </w:p>
          <w:p w:rsidR="00F32F27" w:rsidRDefault="007E733F" w:rsidP="008E180C">
            <w:pPr>
              <w:pStyle w:val="BodyText"/>
              <w:rPr>
                <w:lang w:val="en-GB"/>
              </w:rPr>
            </w:pPr>
            <w:r>
              <w:rPr>
                <w:lang w:val="en-GB"/>
              </w:rPr>
              <w:t>11.1.2 Target:</w:t>
            </w:r>
            <w:r w:rsidR="00F32F27">
              <w:rPr>
                <w:lang w:val="en-GB"/>
              </w:rPr>
              <w:t xml:space="preserve"> </w:t>
            </w:r>
            <w:r w:rsidR="00F32F27" w:rsidRPr="00F32F27">
              <w:rPr>
                <w:lang w:val="en-GB"/>
              </w:rPr>
              <w:t>Surveillance indicator to monitor trends in the ambient noise level within the 1/3 octave bands 63 and 125 Hz (centre frequency) (re 1μPa RMS; average noise level in these octave bands over a year) measured by observation stations.</w:t>
            </w:r>
          </w:p>
          <w:p w:rsidR="00565AA3" w:rsidRPr="00925AD2" w:rsidRDefault="00587077" w:rsidP="00565AA3">
            <w:pPr>
              <w:pStyle w:val="BodyText"/>
              <w:rPr>
                <w:b/>
                <w:lang w:val="en-GB"/>
              </w:rPr>
            </w:pPr>
            <w:r w:rsidRPr="00925AD2">
              <w:rPr>
                <w:b/>
                <w:lang w:val="en-GB"/>
              </w:rPr>
              <w:t>Habitats Directive</w:t>
            </w:r>
          </w:p>
          <w:p w:rsidR="00565AA3" w:rsidRPr="007E733F" w:rsidRDefault="00565AA3" w:rsidP="00565AA3">
            <w:pPr>
              <w:pStyle w:val="BodyText"/>
              <w:jc w:val="both"/>
              <w:rPr>
                <w:lang w:val="en-GB"/>
              </w:rPr>
            </w:pPr>
            <w:r>
              <w:rPr>
                <w:lang w:val="en-GB"/>
              </w:rPr>
              <w:t>E</w:t>
            </w:r>
            <w:r w:rsidRPr="00B54BB6">
              <w:rPr>
                <w:lang w:val="en-GB"/>
              </w:rPr>
              <w:t>nsuring bio-diversity through the conservation of natural habitats and of wild fauna and flora in the European territory of the Member States to which the Treaty applies.</w:t>
            </w:r>
          </w:p>
        </w:tc>
        <w:tc>
          <w:tcPr>
            <w:tcW w:w="5605" w:type="dxa"/>
          </w:tcPr>
          <w:p w:rsidR="009E1164" w:rsidRDefault="00EB6771" w:rsidP="009D64C3">
            <w:pPr>
              <w:pStyle w:val="BodyText"/>
              <w:rPr>
                <w:color w:val="FF0000"/>
                <w:lang w:val="en-GB"/>
              </w:rPr>
            </w:pPr>
            <w:r>
              <w:rPr>
                <w:color w:val="FF0000"/>
                <w:lang w:val="en-GB"/>
              </w:rPr>
              <w:t xml:space="preserve">Q6: </w:t>
            </w:r>
            <w:r w:rsidR="009E1164">
              <w:rPr>
                <w:color w:val="FF0000"/>
                <w:lang w:val="en-GB"/>
              </w:rPr>
              <w:t xml:space="preserve">State the targets addressed by the monitoring. </w:t>
            </w:r>
          </w:p>
          <w:p w:rsidR="00211CBF" w:rsidRDefault="009E1164" w:rsidP="009D64C3">
            <w:pPr>
              <w:pStyle w:val="BodyText"/>
              <w:rPr>
                <w:color w:val="FF0000"/>
                <w:lang w:val="en-GB"/>
              </w:rPr>
            </w:pPr>
            <w:r>
              <w:rPr>
                <w:color w:val="FF0000"/>
                <w:lang w:val="en-GB"/>
              </w:rPr>
              <w:t>W</w:t>
            </w:r>
            <w:r w:rsidR="00211CBF" w:rsidRPr="008C7581">
              <w:rPr>
                <w:color w:val="FF0000"/>
                <w:lang w:val="en-GB"/>
              </w:rPr>
              <w:t>hich</w:t>
            </w:r>
            <w:r w:rsidR="00AA7892">
              <w:rPr>
                <w:color w:val="FF0000"/>
                <w:lang w:val="en-GB"/>
              </w:rPr>
              <w:t xml:space="preserve"> reported</w:t>
            </w:r>
            <w:r w:rsidR="00211CBF" w:rsidRPr="008C7581">
              <w:rPr>
                <w:color w:val="FF0000"/>
                <w:lang w:val="en-GB"/>
              </w:rPr>
              <w:t xml:space="preserve"> targets are addressed</w:t>
            </w:r>
            <w:r w:rsidR="005F3C4E">
              <w:rPr>
                <w:color w:val="FF0000"/>
                <w:lang w:val="en-GB"/>
              </w:rPr>
              <w:t xml:space="preserve"> (6a)</w:t>
            </w:r>
            <w:r w:rsidR="00211CBF" w:rsidRPr="008C7581">
              <w:rPr>
                <w:color w:val="FF0000"/>
                <w:lang w:val="en-GB"/>
              </w:rPr>
              <w:t>?</w:t>
            </w:r>
          </w:p>
          <w:p w:rsidR="00E11F74" w:rsidRDefault="009E1164" w:rsidP="00E11F74">
            <w:pPr>
              <w:pStyle w:val="BodyText"/>
              <w:rPr>
                <w:color w:val="FF0000"/>
                <w:lang w:val="en-GB"/>
              </w:rPr>
            </w:pPr>
            <w:r>
              <w:rPr>
                <w:color w:val="FF0000"/>
                <w:lang w:val="en-GB"/>
              </w:rPr>
              <w:t xml:space="preserve">Will the programme provide adequate data to assess progress towards </w:t>
            </w:r>
            <w:r w:rsidR="00E11F74">
              <w:rPr>
                <w:color w:val="FF0000"/>
                <w:lang w:val="en-GB"/>
              </w:rPr>
              <w:t>achievement of target and will the collected data enable updating of targets (6b-c)?</w:t>
            </w:r>
          </w:p>
          <w:p w:rsidR="00E11F74" w:rsidRDefault="00E11F74" w:rsidP="00E11F74">
            <w:pPr>
              <w:pStyle w:val="BodyText"/>
              <w:rPr>
                <w:color w:val="FF0000"/>
                <w:lang w:val="en-GB"/>
              </w:rPr>
            </w:pPr>
            <w:r>
              <w:rPr>
                <w:color w:val="FF0000"/>
                <w:lang w:val="en-GB"/>
              </w:rPr>
              <w:t>Explain how the programme will contribute to the assessment of progress with targets (6d)</w:t>
            </w:r>
          </w:p>
          <w:p w:rsidR="005F3C4E" w:rsidRPr="008C7581" w:rsidRDefault="005F3C4E" w:rsidP="00E11F74">
            <w:pPr>
              <w:pStyle w:val="BodyText"/>
              <w:rPr>
                <w:color w:val="FF0000"/>
                <w:lang w:val="en-GB"/>
              </w:rPr>
            </w:pPr>
            <w:r>
              <w:rPr>
                <w:color w:val="FF0000"/>
                <w:lang w:val="en-GB"/>
              </w:rPr>
              <w:t>Add targets relevant to other directives and commitments</w:t>
            </w:r>
          </w:p>
        </w:tc>
      </w:tr>
      <w:tr w:rsidR="00211CBF" w:rsidTr="009B6A62">
        <w:tc>
          <w:tcPr>
            <w:tcW w:w="2660" w:type="dxa"/>
            <w:tcBorders>
              <w:bottom w:val="single" w:sz="4" w:space="0" w:color="auto"/>
            </w:tcBorders>
          </w:tcPr>
          <w:p w:rsidR="00211CBF" w:rsidRPr="00CF64A9" w:rsidRDefault="00211CBF" w:rsidP="00BE1EF1">
            <w:pPr>
              <w:pStyle w:val="BodyText"/>
              <w:rPr>
                <w:color w:val="4F81BD" w:themeColor="accent1"/>
                <w:lang w:val="en-GB"/>
              </w:rPr>
            </w:pPr>
            <w:r w:rsidRPr="00CF64A9">
              <w:rPr>
                <w:color w:val="4F81BD" w:themeColor="accent1"/>
                <w:lang w:val="en-GB"/>
              </w:rPr>
              <w:t>2.</w:t>
            </w:r>
            <w:r w:rsidR="00BE1EF1" w:rsidRPr="00CF64A9">
              <w:rPr>
                <w:color w:val="4F81BD" w:themeColor="accent1"/>
                <w:lang w:val="en-GB"/>
              </w:rPr>
              <w:t>6</w:t>
            </w:r>
            <w:r w:rsidRPr="00CF64A9">
              <w:rPr>
                <w:color w:val="4F81BD" w:themeColor="accent1"/>
                <w:lang w:val="en-GB"/>
              </w:rPr>
              <w:t xml:space="preserve"> Spatial allocation</w:t>
            </w:r>
          </w:p>
        </w:tc>
        <w:tc>
          <w:tcPr>
            <w:tcW w:w="5670" w:type="dxa"/>
            <w:tcBorders>
              <w:bottom w:val="single" w:sz="4" w:space="0" w:color="auto"/>
            </w:tcBorders>
          </w:tcPr>
          <w:p w:rsidR="00211CBF" w:rsidRPr="00C002FB" w:rsidRDefault="00211CBF" w:rsidP="009D64C3">
            <w:pPr>
              <w:pStyle w:val="BodyText"/>
              <w:rPr>
                <w:i/>
                <w:lang w:val="en-GB"/>
              </w:rPr>
            </w:pPr>
            <w:r w:rsidRPr="00C002FB">
              <w:rPr>
                <w:i/>
                <w:lang w:val="en-GB"/>
              </w:rPr>
              <w:t xml:space="preserve">Table of </w:t>
            </w:r>
            <w:r>
              <w:rPr>
                <w:i/>
                <w:lang w:val="en-GB"/>
              </w:rPr>
              <w:t>where monitoring is required</w:t>
            </w:r>
          </w:p>
          <w:tbl>
            <w:tblPr>
              <w:tblStyle w:val="TableGrid"/>
              <w:tblpPr w:leftFromText="141" w:rightFromText="141" w:vertAnchor="page" w:horzAnchor="margin" w:tblpY="526"/>
              <w:tblOverlap w:val="never"/>
              <w:tblW w:w="0" w:type="auto"/>
              <w:tblLayout w:type="fixed"/>
              <w:tblLook w:val="04A0" w:firstRow="1" w:lastRow="0" w:firstColumn="1" w:lastColumn="0" w:noHBand="0" w:noVBand="1"/>
            </w:tblPr>
            <w:tblGrid>
              <w:gridCol w:w="851"/>
              <w:gridCol w:w="534"/>
              <w:gridCol w:w="1015"/>
              <w:gridCol w:w="1269"/>
              <w:gridCol w:w="1667"/>
            </w:tblGrid>
            <w:tr w:rsidR="00211CBF" w:rsidTr="009B6A62">
              <w:tc>
                <w:tcPr>
                  <w:tcW w:w="851" w:type="dxa"/>
                </w:tcPr>
                <w:p w:rsidR="00211CBF" w:rsidRDefault="00211CBF" w:rsidP="008F3318">
                  <w:pPr>
                    <w:pStyle w:val="BodyText"/>
                    <w:jc w:val="center"/>
                    <w:rPr>
                      <w:lang w:val="en-GB"/>
                    </w:rPr>
                  </w:pPr>
                </w:p>
              </w:tc>
              <w:tc>
                <w:tcPr>
                  <w:tcW w:w="534" w:type="dxa"/>
                </w:tcPr>
                <w:p w:rsidR="00211CBF" w:rsidRDefault="00211CBF" w:rsidP="008F3318">
                  <w:pPr>
                    <w:pStyle w:val="BodyText"/>
                    <w:jc w:val="center"/>
                    <w:rPr>
                      <w:lang w:val="en-GB"/>
                    </w:rPr>
                  </w:pPr>
                  <w:r>
                    <w:rPr>
                      <w:lang w:val="en-GB"/>
                    </w:rPr>
                    <w:t>EEZ</w:t>
                  </w:r>
                </w:p>
              </w:tc>
              <w:tc>
                <w:tcPr>
                  <w:tcW w:w="1015" w:type="dxa"/>
                </w:tcPr>
                <w:p w:rsidR="00211CBF" w:rsidRDefault="00211CBF" w:rsidP="008F3318">
                  <w:pPr>
                    <w:pStyle w:val="BodyText"/>
                    <w:jc w:val="center"/>
                    <w:rPr>
                      <w:lang w:val="en-GB"/>
                    </w:rPr>
                  </w:pPr>
                  <w:r>
                    <w:rPr>
                      <w:lang w:val="en-GB"/>
                    </w:rPr>
                    <w:t>12-nm zone</w:t>
                  </w:r>
                </w:p>
              </w:tc>
              <w:tc>
                <w:tcPr>
                  <w:tcW w:w="1269" w:type="dxa"/>
                </w:tcPr>
                <w:p w:rsidR="00211CBF" w:rsidRDefault="00211CBF" w:rsidP="008F3318">
                  <w:pPr>
                    <w:pStyle w:val="BodyText"/>
                    <w:jc w:val="center"/>
                    <w:rPr>
                      <w:lang w:val="en-GB"/>
                    </w:rPr>
                  </w:pPr>
                  <w:r>
                    <w:rPr>
                      <w:lang w:val="en-GB"/>
                    </w:rPr>
                    <w:t>Coastal waters</w:t>
                  </w:r>
                </w:p>
              </w:tc>
              <w:tc>
                <w:tcPr>
                  <w:tcW w:w="1667" w:type="dxa"/>
                </w:tcPr>
                <w:p w:rsidR="00211CBF" w:rsidRDefault="00211CBF" w:rsidP="008F3318">
                  <w:pPr>
                    <w:pStyle w:val="BodyText"/>
                    <w:jc w:val="center"/>
                    <w:rPr>
                      <w:lang w:val="en-GB"/>
                    </w:rPr>
                  </w:pPr>
                  <w:r>
                    <w:rPr>
                      <w:lang w:val="en-GB"/>
                    </w:rPr>
                    <w:t>Transitional waters</w:t>
                  </w:r>
                </w:p>
              </w:tc>
            </w:tr>
            <w:tr w:rsidR="00211CBF" w:rsidTr="009B6A62">
              <w:tc>
                <w:tcPr>
                  <w:tcW w:w="851" w:type="dxa"/>
                </w:tcPr>
                <w:p w:rsidR="00211CBF" w:rsidRDefault="00211CBF" w:rsidP="008F3318">
                  <w:pPr>
                    <w:pStyle w:val="BodyText"/>
                    <w:jc w:val="center"/>
                    <w:rPr>
                      <w:lang w:val="en-GB"/>
                    </w:rPr>
                  </w:pPr>
                  <w:r>
                    <w:rPr>
                      <w:lang w:val="en-GB"/>
                    </w:rPr>
                    <w:t>MSFD</w:t>
                  </w:r>
                </w:p>
              </w:tc>
              <w:tc>
                <w:tcPr>
                  <w:tcW w:w="534" w:type="dxa"/>
                </w:tcPr>
                <w:p w:rsidR="00211CBF" w:rsidRDefault="00010910" w:rsidP="008F3318">
                  <w:pPr>
                    <w:pStyle w:val="BodyText"/>
                    <w:jc w:val="center"/>
                    <w:rPr>
                      <w:lang w:val="en-GB"/>
                    </w:rPr>
                  </w:pPr>
                  <w:r>
                    <w:rPr>
                      <w:lang w:val="en-GB"/>
                    </w:rPr>
                    <w:t>x</w:t>
                  </w:r>
                </w:p>
              </w:tc>
              <w:tc>
                <w:tcPr>
                  <w:tcW w:w="1015" w:type="dxa"/>
                </w:tcPr>
                <w:p w:rsidR="00211CBF" w:rsidRDefault="00010910" w:rsidP="008F3318">
                  <w:pPr>
                    <w:pStyle w:val="BodyText"/>
                    <w:jc w:val="center"/>
                    <w:rPr>
                      <w:lang w:val="en-GB"/>
                    </w:rPr>
                  </w:pPr>
                  <w:r>
                    <w:rPr>
                      <w:lang w:val="en-GB"/>
                    </w:rPr>
                    <w:t>x</w:t>
                  </w:r>
                </w:p>
              </w:tc>
              <w:tc>
                <w:tcPr>
                  <w:tcW w:w="1269" w:type="dxa"/>
                </w:tcPr>
                <w:p w:rsidR="00211CBF" w:rsidRDefault="00010910" w:rsidP="008F3318">
                  <w:pPr>
                    <w:pStyle w:val="BodyText"/>
                    <w:jc w:val="center"/>
                    <w:rPr>
                      <w:lang w:val="en-GB"/>
                    </w:rPr>
                  </w:pPr>
                  <w:r>
                    <w:rPr>
                      <w:lang w:val="en-GB"/>
                    </w:rPr>
                    <w:t>x</w:t>
                  </w:r>
                </w:p>
              </w:tc>
              <w:tc>
                <w:tcPr>
                  <w:tcW w:w="1667" w:type="dxa"/>
                </w:tcPr>
                <w:p w:rsidR="00211CBF" w:rsidRDefault="00010910" w:rsidP="008F3318">
                  <w:pPr>
                    <w:pStyle w:val="BodyText"/>
                    <w:jc w:val="center"/>
                    <w:rPr>
                      <w:lang w:val="en-GB"/>
                    </w:rPr>
                  </w:pPr>
                  <w:r>
                    <w:rPr>
                      <w:lang w:val="en-GB"/>
                    </w:rPr>
                    <w:t>-</w:t>
                  </w:r>
                </w:p>
              </w:tc>
            </w:tr>
            <w:tr w:rsidR="00211CBF" w:rsidTr="009B6A62">
              <w:tc>
                <w:tcPr>
                  <w:tcW w:w="851" w:type="dxa"/>
                </w:tcPr>
                <w:p w:rsidR="00211CBF" w:rsidRDefault="00211CBF" w:rsidP="008F3318">
                  <w:pPr>
                    <w:pStyle w:val="BodyText"/>
                    <w:jc w:val="center"/>
                    <w:rPr>
                      <w:lang w:val="en-GB"/>
                    </w:rPr>
                  </w:pPr>
                  <w:r>
                    <w:rPr>
                      <w:lang w:val="en-GB"/>
                    </w:rPr>
                    <w:t>HD</w:t>
                  </w:r>
                </w:p>
              </w:tc>
              <w:tc>
                <w:tcPr>
                  <w:tcW w:w="534" w:type="dxa"/>
                </w:tcPr>
                <w:p w:rsidR="00211CBF" w:rsidRDefault="00010910" w:rsidP="008F3318">
                  <w:pPr>
                    <w:pStyle w:val="BodyText"/>
                    <w:jc w:val="center"/>
                    <w:rPr>
                      <w:lang w:val="en-GB"/>
                    </w:rPr>
                  </w:pPr>
                  <w:r>
                    <w:rPr>
                      <w:lang w:val="en-GB"/>
                    </w:rPr>
                    <w:t>x</w:t>
                  </w:r>
                </w:p>
              </w:tc>
              <w:tc>
                <w:tcPr>
                  <w:tcW w:w="1015" w:type="dxa"/>
                </w:tcPr>
                <w:p w:rsidR="00211CBF" w:rsidRDefault="00010910" w:rsidP="008F3318">
                  <w:pPr>
                    <w:pStyle w:val="BodyText"/>
                    <w:jc w:val="center"/>
                    <w:rPr>
                      <w:lang w:val="en-GB"/>
                    </w:rPr>
                  </w:pPr>
                  <w:r>
                    <w:rPr>
                      <w:lang w:val="en-GB"/>
                    </w:rPr>
                    <w:t>x</w:t>
                  </w:r>
                </w:p>
              </w:tc>
              <w:tc>
                <w:tcPr>
                  <w:tcW w:w="1269" w:type="dxa"/>
                </w:tcPr>
                <w:p w:rsidR="00211CBF" w:rsidRDefault="00010910" w:rsidP="008F3318">
                  <w:pPr>
                    <w:pStyle w:val="BodyText"/>
                    <w:jc w:val="center"/>
                    <w:rPr>
                      <w:lang w:val="en-GB"/>
                    </w:rPr>
                  </w:pPr>
                  <w:r>
                    <w:rPr>
                      <w:lang w:val="en-GB"/>
                    </w:rPr>
                    <w:t>x</w:t>
                  </w:r>
                </w:p>
              </w:tc>
              <w:tc>
                <w:tcPr>
                  <w:tcW w:w="1667" w:type="dxa"/>
                </w:tcPr>
                <w:p w:rsidR="00211CBF" w:rsidRDefault="00010910" w:rsidP="008F3318">
                  <w:pPr>
                    <w:pStyle w:val="BodyText"/>
                    <w:jc w:val="center"/>
                    <w:rPr>
                      <w:lang w:val="en-GB"/>
                    </w:rPr>
                  </w:pPr>
                  <w:r>
                    <w:rPr>
                      <w:lang w:val="en-GB"/>
                    </w:rPr>
                    <w:t>x</w:t>
                  </w:r>
                </w:p>
              </w:tc>
            </w:tr>
          </w:tbl>
          <w:p w:rsidR="00211CBF" w:rsidRDefault="00211CBF" w:rsidP="009D64C3">
            <w:pPr>
              <w:pStyle w:val="BodyText"/>
              <w:rPr>
                <w:lang w:val="en-GB"/>
              </w:rPr>
            </w:pPr>
          </w:p>
        </w:tc>
        <w:tc>
          <w:tcPr>
            <w:tcW w:w="5605" w:type="dxa"/>
            <w:tcBorders>
              <w:bottom w:val="single" w:sz="4" w:space="0" w:color="auto"/>
            </w:tcBorders>
          </w:tcPr>
          <w:p w:rsidR="00211CBF" w:rsidRPr="008C7581" w:rsidRDefault="00211CBF" w:rsidP="009D64C3">
            <w:pPr>
              <w:pStyle w:val="BodyText"/>
              <w:rPr>
                <w:color w:val="FF0000"/>
                <w:lang w:val="en-GB"/>
              </w:rPr>
            </w:pPr>
            <w:r w:rsidRPr="008C7581">
              <w:rPr>
                <w:color w:val="FF0000"/>
                <w:lang w:val="en-GB"/>
              </w:rPr>
              <w:t>Q4: Geographical coverage by reference to the 4 zones in table 1 of the "concept paper"</w:t>
            </w:r>
            <w:r w:rsidR="00AA7892">
              <w:rPr>
                <w:color w:val="FF0000"/>
                <w:lang w:val="en-GB"/>
              </w:rPr>
              <w:t xml:space="preserve"> </w:t>
            </w:r>
            <w:r w:rsidR="00AA7892" w:rsidRPr="006570AE">
              <w:rPr>
                <w:color w:val="FF0000"/>
                <w:lang w:val="en-GB"/>
              </w:rPr>
              <w:t>(4i)</w:t>
            </w:r>
          </w:p>
        </w:tc>
      </w:tr>
      <w:tr w:rsidR="00CF64A9" w:rsidRPr="00CF64A9" w:rsidTr="009B6A62">
        <w:tc>
          <w:tcPr>
            <w:tcW w:w="8330" w:type="dxa"/>
            <w:gridSpan w:val="2"/>
            <w:shd w:val="clear" w:color="auto" w:fill="4F81BD" w:themeFill="accent1"/>
            <w:vAlign w:val="center"/>
          </w:tcPr>
          <w:p w:rsidR="00211CBF" w:rsidRPr="00CF64A9" w:rsidRDefault="00211CBF" w:rsidP="009D64C3">
            <w:pPr>
              <w:pStyle w:val="BodyText"/>
              <w:jc w:val="center"/>
              <w:rPr>
                <w:b/>
                <w:color w:val="FFFFFF" w:themeColor="background1"/>
                <w:lang w:val="en-GB"/>
              </w:rPr>
            </w:pPr>
            <w:r w:rsidRPr="00CF64A9">
              <w:rPr>
                <w:b/>
                <w:color w:val="FFFFFF" w:themeColor="background1"/>
                <w:lang w:val="en-GB"/>
              </w:rPr>
              <w:t>3 Monitoring concept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AA7892" w:rsidTr="009B6A62">
        <w:tc>
          <w:tcPr>
            <w:tcW w:w="2660" w:type="dxa"/>
          </w:tcPr>
          <w:p w:rsidR="00AA7892" w:rsidRPr="00CF64A9" w:rsidRDefault="00AA7892" w:rsidP="00AA7892">
            <w:pPr>
              <w:pStyle w:val="BodyText"/>
              <w:rPr>
                <w:color w:val="4F81BD" w:themeColor="accent1"/>
                <w:lang w:val="en-GB"/>
              </w:rPr>
            </w:pPr>
            <w:r w:rsidRPr="00CF64A9">
              <w:rPr>
                <w:color w:val="4F81BD" w:themeColor="accent1"/>
                <w:lang w:val="en-GB"/>
              </w:rPr>
              <w:t xml:space="preserve">3.1 General description of relevant </w:t>
            </w:r>
            <w:proofErr w:type="spellStart"/>
            <w:r w:rsidRPr="00CF64A9">
              <w:rPr>
                <w:color w:val="4F81BD" w:themeColor="accent1"/>
                <w:lang w:val="en-GB"/>
              </w:rPr>
              <w:t>subprogrammes</w:t>
            </w:r>
            <w:proofErr w:type="spellEnd"/>
            <w:r w:rsidR="003B6803" w:rsidRPr="00CF64A9">
              <w:rPr>
                <w:color w:val="4F81BD" w:themeColor="accent1"/>
                <w:lang w:val="en-GB"/>
              </w:rPr>
              <w:t xml:space="preserve"> in monitoring programme</w:t>
            </w:r>
          </w:p>
        </w:tc>
        <w:tc>
          <w:tcPr>
            <w:tcW w:w="5670" w:type="dxa"/>
          </w:tcPr>
          <w:p w:rsidR="00AA7892" w:rsidRDefault="00D10710" w:rsidP="009D64C3">
            <w:pPr>
              <w:pStyle w:val="BodyText"/>
              <w:rPr>
                <w:lang w:val="en-GB"/>
              </w:rPr>
            </w:pPr>
            <w:r w:rsidRPr="00D10710">
              <w:rPr>
                <w:lang w:val="en-GB"/>
              </w:rPr>
              <w:t xml:space="preserve">List </w:t>
            </w:r>
            <w:proofErr w:type="spellStart"/>
            <w:r w:rsidRPr="00D10710">
              <w:rPr>
                <w:lang w:val="en-GB"/>
              </w:rPr>
              <w:t>subprogrammes</w:t>
            </w:r>
            <w:proofErr w:type="spellEnd"/>
            <w:r w:rsidRPr="00D10710">
              <w:rPr>
                <w:lang w:val="en-GB"/>
              </w:rPr>
              <w:t xml:space="preserve"> monitored under this programme</w:t>
            </w:r>
            <w:r>
              <w:rPr>
                <w:lang w:val="en-GB"/>
              </w:rPr>
              <w:t xml:space="preserve"> (only general description)</w:t>
            </w:r>
          </w:p>
          <w:p w:rsidR="007D4D60" w:rsidRPr="007D4D60" w:rsidRDefault="007D4D60" w:rsidP="007D4D60">
            <w:pPr>
              <w:pStyle w:val="BodyText"/>
              <w:rPr>
                <w:lang w:val="en-GB"/>
              </w:rPr>
            </w:pPr>
            <w:r w:rsidRPr="007D4D60">
              <w:rPr>
                <w:lang w:val="en-GB"/>
              </w:rPr>
              <w:t>Acute underwater noise - distribution, frequency and levels</w:t>
            </w:r>
          </w:p>
          <w:p w:rsidR="00B641D1" w:rsidRPr="007D4D60" w:rsidRDefault="007D4D60" w:rsidP="007D4D60">
            <w:pPr>
              <w:pStyle w:val="BodyText"/>
              <w:rPr>
                <w:lang w:val="en-GB"/>
              </w:rPr>
            </w:pPr>
            <w:r w:rsidRPr="007D4D60">
              <w:rPr>
                <w:lang w:val="en-GB"/>
              </w:rPr>
              <w:t>Diffuse underwater noise - distribution, frequency and levels</w:t>
            </w:r>
          </w:p>
        </w:tc>
        <w:tc>
          <w:tcPr>
            <w:tcW w:w="5605" w:type="dxa"/>
          </w:tcPr>
          <w:p w:rsidR="00AA7892" w:rsidRPr="00D10710" w:rsidRDefault="00D10710" w:rsidP="00052080">
            <w:pPr>
              <w:pStyle w:val="BodyText"/>
              <w:rPr>
                <w:color w:val="FF0000"/>
                <w:lang w:val="en-GB"/>
              </w:rPr>
            </w:pPr>
            <w:r w:rsidRPr="00D10710">
              <w:rPr>
                <w:color w:val="FF0000"/>
                <w:lang w:val="en-GB"/>
              </w:rPr>
              <w:t xml:space="preserve">Use list In document </w:t>
            </w:r>
            <w:r w:rsidR="00D83EEE" w:rsidRPr="00D83EEE">
              <w:rPr>
                <w:color w:val="FF0000"/>
                <w:lang w:val="en-US"/>
              </w:rPr>
              <w:t>DIKE_9-2014-03_Art11ReportingPackage.doc</w:t>
            </w:r>
            <w:r w:rsidR="00052080">
              <w:rPr>
                <w:color w:val="FF0000"/>
                <w:lang w:val="en-US"/>
              </w:rPr>
              <w:t xml:space="preserve"> and </w:t>
            </w:r>
            <w:r w:rsidR="00052080" w:rsidRPr="00D83EEE">
              <w:rPr>
                <w:color w:val="FF0000"/>
                <w:lang w:val="en-GB"/>
              </w:rPr>
              <w:t xml:space="preserve">BS-CBE </w:t>
            </w:r>
            <w:proofErr w:type="spellStart"/>
            <w:r w:rsidR="00052080" w:rsidRPr="00D83EEE">
              <w:rPr>
                <w:color w:val="FF0000"/>
                <w:lang w:val="en-GB"/>
              </w:rPr>
              <w:t>Jan_MFS</w:t>
            </w:r>
            <w:proofErr w:type="spellEnd"/>
            <w:r w:rsidR="00052080" w:rsidRPr="00D83EEE">
              <w:rPr>
                <w:color w:val="FF0000"/>
                <w:lang w:val="en-GB"/>
              </w:rPr>
              <w:t xml:space="preserve"> </w:t>
            </w:r>
            <w:proofErr w:type="spellStart"/>
            <w:proofErr w:type="gramStart"/>
            <w:r w:rsidR="00052080" w:rsidRPr="00D83EEE">
              <w:rPr>
                <w:color w:val="FF0000"/>
                <w:lang w:val="en-GB"/>
              </w:rPr>
              <w:t>Pgm</w:t>
            </w:r>
            <w:proofErr w:type="spellEnd"/>
            <w:r w:rsidR="00052080" w:rsidRPr="00D83EEE">
              <w:rPr>
                <w:color w:val="FF0000"/>
                <w:lang w:val="en-GB"/>
              </w:rPr>
              <w:t xml:space="preserve">  Subpgm</w:t>
            </w:r>
            <w:proofErr w:type="gramEnd"/>
            <w:r w:rsidR="00052080" w:rsidRPr="00D83EEE">
              <w:rPr>
                <w:color w:val="FF0000"/>
                <w:lang w:val="en-GB"/>
              </w:rPr>
              <w:t>_list_rev</w:t>
            </w:r>
            <w:r w:rsidR="00052080">
              <w:rPr>
                <w:color w:val="FF0000"/>
                <w:lang w:val="en-GB"/>
              </w:rPr>
              <w:t>.xls</w:t>
            </w:r>
            <w:r w:rsidR="00E11F74">
              <w:rPr>
                <w:color w:val="FF0000"/>
                <w:lang w:val="en-US"/>
              </w:rPr>
              <w:t xml:space="preserve"> </w:t>
            </w:r>
            <w:r w:rsidRPr="00D10710">
              <w:rPr>
                <w:color w:val="FF0000"/>
                <w:lang w:val="en-GB"/>
              </w:rPr>
              <w:t>for subprogramme names. New ones may be added if necessary</w:t>
            </w:r>
            <w:r w:rsidR="00052080">
              <w:rPr>
                <w:color w:val="FF0000"/>
                <w:lang w:val="en-GB"/>
              </w:rPr>
              <w:t>. U</w:t>
            </w:r>
            <w:r w:rsidRPr="00D10710">
              <w:rPr>
                <w:color w:val="FF0000"/>
                <w:lang w:val="en-GB"/>
              </w:rPr>
              <w:t xml:space="preserve">se </w:t>
            </w:r>
            <w:r w:rsidR="00D83EEE" w:rsidRPr="00D83EEE">
              <w:rPr>
                <w:color w:val="FF0000"/>
                <w:lang w:val="en-GB"/>
              </w:rPr>
              <w:t xml:space="preserve">BS-CBE </w:t>
            </w:r>
            <w:proofErr w:type="spellStart"/>
            <w:r w:rsidR="00D83EEE" w:rsidRPr="00D83EEE">
              <w:rPr>
                <w:color w:val="FF0000"/>
                <w:lang w:val="en-GB"/>
              </w:rPr>
              <w:t>Jan_MFS</w:t>
            </w:r>
            <w:proofErr w:type="spellEnd"/>
            <w:r w:rsidR="00D83EEE" w:rsidRPr="00D83EEE">
              <w:rPr>
                <w:color w:val="FF0000"/>
                <w:lang w:val="en-GB"/>
              </w:rPr>
              <w:t xml:space="preserve"> </w:t>
            </w:r>
            <w:proofErr w:type="spellStart"/>
            <w:r w:rsidR="00D83EEE" w:rsidRPr="00D83EEE">
              <w:rPr>
                <w:color w:val="FF0000"/>
                <w:lang w:val="en-GB"/>
              </w:rPr>
              <w:t>Pgm</w:t>
            </w:r>
            <w:proofErr w:type="spellEnd"/>
            <w:r w:rsidR="00D83EEE" w:rsidRPr="00D83EEE">
              <w:rPr>
                <w:color w:val="FF0000"/>
                <w:lang w:val="en-GB"/>
              </w:rPr>
              <w:t xml:space="preserve">  Subpgm_list_rev</w:t>
            </w:r>
            <w:r w:rsidR="00FA0976">
              <w:rPr>
                <w:color w:val="FF0000"/>
                <w:lang w:val="en-GB"/>
              </w:rPr>
              <w:t>.xls</w:t>
            </w:r>
            <w:r w:rsidRPr="00D10710">
              <w:rPr>
                <w:color w:val="FF0000"/>
                <w:lang w:val="en-GB"/>
              </w:rPr>
              <w:t xml:space="preserve"> to see/check parameters measured in subprogramme</w:t>
            </w:r>
          </w:p>
        </w:tc>
      </w:tr>
      <w:tr w:rsidR="00211CBF" w:rsidTr="009B6A62">
        <w:tc>
          <w:tcPr>
            <w:tcW w:w="2660" w:type="dxa"/>
          </w:tcPr>
          <w:p w:rsidR="00211CBF" w:rsidRPr="00CF64A9" w:rsidRDefault="00211CBF" w:rsidP="00AA7892">
            <w:pPr>
              <w:pStyle w:val="BodyText"/>
              <w:rPr>
                <w:color w:val="4F81BD" w:themeColor="accent1"/>
                <w:lang w:val="en-GB"/>
              </w:rPr>
            </w:pPr>
            <w:r w:rsidRPr="00CF64A9">
              <w:rPr>
                <w:color w:val="4F81BD" w:themeColor="accent1"/>
                <w:lang w:val="en-GB"/>
              </w:rPr>
              <w:t>3.</w:t>
            </w:r>
            <w:r w:rsidR="00AA7892" w:rsidRPr="00CF64A9">
              <w:rPr>
                <w:color w:val="4F81BD" w:themeColor="accent1"/>
                <w:lang w:val="en-GB"/>
              </w:rPr>
              <w:t>2</w:t>
            </w:r>
            <w:r w:rsidRPr="00CF64A9">
              <w:rPr>
                <w:color w:val="4F81BD" w:themeColor="accent1"/>
                <w:lang w:val="en-GB"/>
              </w:rPr>
              <w:t xml:space="preserve"> Description of monitoring network</w:t>
            </w:r>
          </w:p>
        </w:tc>
        <w:tc>
          <w:tcPr>
            <w:tcW w:w="5670" w:type="dxa"/>
          </w:tcPr>
          <w:p w:rsidR="00211CBF" w:rsidRPr="00C002FB" w:rsidRDefault="00211CBF" w:rsidP="009D64C3">
            <w:pPr>
              <w:pStyle w:val="BodyText"/>
              <w:rPr>
                <w:i/>
                <w:lang w:val="en-GB"/>
              </w:rPr>
            </w:pPr>
            <w:r w:rsidRPr="00C002FB">
              <w:rPr>
                <w:i/>
                <w:lang w:val="en-GB"/>
              </w:rPr>
              <w:t>Description + maps</w:t>
            </w:r>
            <w:r w:rsidR="003B02C3">
              <w:rPr>
                <w:i/>
                <w:lang w:val="en-GB"/>
              </w:rPr>
              <w:t xml:space="preserve"> (describing </w:t>
            </w:r>
            <w:r w:rsidR="007A4015">
              <w:rPr>
                <w:i/>
                <w:lang w:val="en-GB"/>
              </w:rPr>
              <w:t>the spatial resolution of the entire programme)</w:t>
            </w:r>
          </w:p>
          <w:p w:rsidR="00211CBF" w:rsidRDefault="00235272" w:rsidP="007D4D60">
            <w:pPr>
              <w:pStyle w:val="BodyText"/>
              <w:rPr>
                <w:lang w:val="en-GB"/>
              </w:rPr>
            </w:pPr>
            <w:r>
              <w:rPr>
                <w:lang w:val="en-GB"/>
              </w:rPr>
              <w:t>In Bulgaria, there is no monitoring network established for underwater noise.</w:t>
            </w:r>
          </w:p>
          <w:p w:rsidR="007D4D60" w:rsidRDefault="007D4D60" w:rsidP="007D4D60">
            <w:pPr>
              <w:pStyle w:val="BodyText"/>
              <w:rPr>
                <w:lang w:val="en-GB"/>
              </w:rPr>
            </w:pPr>
            <w:r>
              <w:rPr>
                <w:lang w:val="en-GB"/>
              </w:rPr>
              <w:t>For acute sounds, like pile diving</w:t>
            </w:r>
            <w:r w:rsidR="00BF5F20">
              <w:rPr>
                <w:lang w:val="en-GB"/>
              </w:rPr>
              <w:t xml:space="preserve"> and dredging</w:t>
            </w:r>
            <w:r>
              <w:rPr>
                <w:lang w:val="en-GB"/>
              </w:rPr>
              <w:t>, a regulation requiring the investor to record the impulsive sounds by using a hydrophone is a practical solution for plans for gathering monitoring data. Similar approach can be applied for monitoring of ambient noise.</w:t>
            </w:r>
          </w:p>
        </w:tc>
        <w:tc>
          <w:tcPr>
            <w:tcW w:w="5605" w:type="dxa"/>
          </w:tcPr>
          <w:p w:rsidR="00211CBF" w:rsidRPr="008C7581" w:rsidRDefault="001A33D7" w:rsidP="001A33D7">
            <w:pPr>
              <w:pStyle w:val="BodyText"/>
              <w:rPr>
                <w:color w:val="FF0000"/>
                <w:lang w:val="en-GB"/>
              </w:rPr>
            </w:pPr>
            <w:r>
              <w:rPr>
                <w:color w:val="FF0000"/>
                <w:lang w:val="en-GB"/>
              </w:rPr>
              <w:t>S</w:t>
            </w:r>
            <w:r w:rsidR="00211CBF" w:rsidRPr="008C7581">
              <w:rPr>
                <w:color w:val="FF0000"/>
                <w:lang w:val="en-GB"/>
              </w:rPr>
              <w:t>patial r</w:t>
            </w:r>
            <w:r>
              <w:rPr>
                <w:color w:val="FF0000"/>
                <w:lang w:val="en-GB"/>
              </w:rPr>
              <w:t xml:space="preserve">esolution (density op sampling). Show sampling network on map. Describe the rationale for the geographical scope of the programme </w:t>
            </w:r>
            <w:r w:rsidRPr="009E1EB9">
              <w:rPr>
                <w:color w:val="FF0000"/>
                <w:lang w:val="en-GB"/>
              </w:rPr>
              <w:t>(</w:t>
            </w:r>
            <w:r w:rsidR="007A4015">
              <w:rPr>
                <w:color w:val="FF0000"/>
                <w:lang w:val="en-GB"/>
              </w:rPr>
              <w:t>"</w:t>
            </w:r>
            <w:r w:rsidRPr="009E1EB9">
              <w:rPr>
                <w:color w:val="FF0000"/>
                <w:lang w:val="en-GB"/>
              </w:rPr>
              <w:t>4j</w:t>
            </w:r>
            <w:r w:rsidR="007A4015">
              <w:rPr>
                <w:color w:val="FF0000"/>
                <w:lang w:val="en-GB"/>
              </w:rPr>
              <w:t>"</w:t>
            </w:r>
            <w:r w:rsidRPr="009E1EB9">
              <w:rPr>
                <w:color w:val="FF0000"/>
                <w:lang w:val="en-GB"/>
              </w:rPr>
              <w:t>)</w:t>
            </w:r>
          </w:p>
        </w:tc>
      </w:tr>
      <w:tr w:rsidR="00211CBF" w:rsidTr="009B6A62">
        <w:tc>
          <w:tcPr>
            <w:tcW w:w="2660" w:type="dxa"/>
          </w:tcPr>
          <w:p w:rsidR="00211CBF" w:rsidRPr="00CF64A9" w:rsidRDefault="00211CBF" w:rsidP="0002459C">
            <w:pPr>
              <w:pStyle w:val="BodyText"/>
              <w:rPr>
                <w:color w:val="4F81BD" w:themeColor="accent1"/>
                <w:lang w:val="en-GB"/>
              </w:rPr>
            </w:pPr>
            <w:r w:rsidRPr="00CF64A9">
              <w:rPr>
                <w:color w:val="4F81BD" w:themeColor="accent1"/>
                <w:lang w:val="en-GB"/>
              </w:rPr>
              <w:t>3.</w:t>
            </w:r>
            <w:r w:rsidR="0002459C">
              <w:rPr>
                <w:color w:val="4F81BD" w:themeColor="accent1"/>
                <w:lang w:val="en-GB"/>
              </w:rPr>
              <w:t>3</w:t>
            </w:r>
            <w:r w:rsidR="0002459C" w:rsidRPr="00CF64A9">
              <w:rPr>
                <w:color w:val="4F81BD" w:themeColor="accent1"/>
                <w:lang w:val="en-GB"/>
              </w:rPr>
              <w:t xml:space="preserve"> </w:t>
            </w:r>
            <w:r w:rsidRPr="00CF64A9">
              <w:rPr>
                <w:color w:val="4F81BD" w:themeColor="accent1"/>
                <w:lang w:val="en-GB"/>
              </w:rPr>
              <w:t>Threats, activities and measures</w:t>
            </w:r>
          </w:p>
        </w:tc>
        <w:tc>
          <w:tcPr>
            <w:tcW w:w="5670" w:type="dxa"/>
          </w:tcPr>
          <w:p w:rsidR="00211CBF" w:rsidRDefault="00211CBF" w:rsidP="009D64C3">
            <w:pPr>
              <w:pStyle w:val="BodyText"/>
              <w:rPr>
                <w:i/>
                <w:lang w:val="en-GB"/>
              </w:rPr>
            </w:pPr>
            <w:r>
              <w:rPr>
                <w:i/>
                <w:lang w:val="en-GB"/>
              </w:rPr>
              <w:t>Which threats are identified</w:t>
            </w:r>
          </w:p>
          <w:p w:rsidR="00A71DFF" w:rsidRDefault="00A71DFF" w:rsidP="009D64C3">
            <w:pPr>
              <w:pStyle w:val="BodyText"/>
              <w:rPr>
                <w:lang w:val="en-GB"/>
              </w:rPr>
            </w:pPr>
            <w:r>
              <w:rPr>
                <w:lang w:val="en-GB"/>
              </w:rPr>
              <w:t xml:space="preserve">Deterioration of </w:t>
            </w:r>
            <w:r w:rsidR="00D5763C">
              <w:rPr>
                <w:lang w:val="en-GB"/>
              </w:rPr>
              <w:t xml:space="preserve">the populations of marine animals </w:t>
            </w:r>
            <w:r>
              <w:rPr>
                <w:lang w:val="en-GB"/>
              </w:rPr>
              <w:t>due to changes in communication, behaviour, spatial distribution and death of marine animals.</w:t>
            </w:r>
          </w:p>
          <w:p w:rsidR="00545AD0" w:rsidRPr="00545AD0" w:rsidRDefault="00545AD0" w:rsidP="009D64C3">
            <w:pPr>
              <w:pStyle w:val="BodyText"/>
              <w:rPr>
                <w:i/>
                <w:lang w:val="en-GB"/>
              </w:rPr>
            </w:pPr>
          </w:p>
          <w:p w:rsidR="00211CBF" w:rsidRDefault="00211CBF" w:rsidP="009D64C3">
            <w:pPr>
              <w:pStyle w:val="BodyText"/>
              <w:rPr>
                <w:i/>
                <w:lang w:val="en-GB"/>
              </w:rPr>
            </w:pPr>
            <w:r>
              <w:rPr>
                <w:i/>
                <w:lang w:val="en-GB"/>
              </w:rPr>
              <w:t>Which human activities will be measured by the programme</w:t>
            </w:r>
          </w:p>
          <w:p w:rsidR="00A71DFF" w:rsidRPr="00A71DFF" w:rsidRDefault="00A71DFF" w:rsidP="00545AD0">
            <w:pPr>
              <w:pStyle w:val="BodyText"/>
              <w:numPr>
                <w:ilvl w:val="0"/>
                <w:numId w:val="1"/>
              </w:numPr>
              <w:rPr>
                <w:lang w:val="en-GB"/>
              </w:rPr>
            </w:pPr>
            <w:r w:rsidRPr="00A71DFF">
              <w:rPr>
                <w:lang w:val="en-GB"/>
              </w:rPr>
              <w:t>Marine hydrocarbon extraction (oil and gas)</w:t>
            </w:r>
          </w:p>
          <w:p w:rsidR="00A71DFF" w:rsidRPr="00A71DFF" w:rsidRDefault="00A71DFF" w:rsidP="00545AD0">
            <w:pPr>
              <w:pStyle w:val="BodyText"/>
              <w:numPr>
                <w:ilvl w:val="0"/>
                <w:numId w:val="1"/>
              </w:numPr>
              <w:rPr>
                <w:lang w:val="en-GB"/>
              </w:rPr>
            </w:pPr>
            <w:r w:rsidRPr="00A71DFF">
              <w:rPr>
                <w:lang w:val="en-GB"/>
              </w:rPr>
              <w:t>Dredging</w:t>
            </w:r>
          </w:p>
          <w:p w:rsidR="00A71DFF" w:rsidRDefault="00A71DFF" w:rsidP="00545AD0">
            <w:pPr>
              <w:pStyle w:val="BodyText"/>
              <w:numPr>
                <w:ilvl w:val="0"/>
                <w:numId w:val="1"/>
              </w:numPr>
              <w:rPr>
                <w:lang w:val="en-GB"/>
              </w:rPr>
            </w:pPr>
            <w:r w:rsidRPr="00A71DFF">
              <w:rPr>
                <w:lang w:val="en-GB"/>
              </w:rPr>
              <w:t>Submarine cable and pipeline operations</w:t>
            </w:r>
          </w:p>
          <w:p w:rsidR="009B56AD" w:rsidRPr="00A71DFF" w:rsidRDefault="009B56AD" w:rsidP="00545AD0">
            <w:pPr>
              <w:pStyle w:val="BodyText"/>
              <w:numPr>
                <w:ilvl w:val="0"/>
                <w:numId w:val="1"/>
              </w:numPr>
              <w:rPr>
                <w:lang w:val="en-GB"/>
              </w:rPr>
            </w:pPr>
            <w:r>
              <w:rPr>
                <w:lang w:val="en-GB"/>
              </w:rPr>
              <w:t>Oil and gas</w:t>
            </w:r>
          </w:p>
          <w:p w:rsidR="00A71DFF" w:rsidRPr="00A71DFF" w:rsidRDefault="00A71DFF" w:rsidP="00545AD0">
            <w:pPr>
              <w:pStyle w:val="BodyText"/>
              <w:numPr>
                <w:ilvl w:val="0"/>
                <w:numId w:val="1"/>
              </w:numPr>
              <w:rPr>
                <w:lang w:val="en-GB"/>
              </w:rPr>
            </w:pPr>
            <w:r w:rsidRPr="00A71DFF">
              <w:rPr>
                <w:lang w:val="en-GB"/>
              </w:rPr>
              <w:t>Placement and operation of offshore structures (other than for energy production)</w:t>
            </w:r>
          </w:p>
          <w:p w:rsidR="00A71DFF" w:rsidRPr="00A71DFF" w:rsidRDefault="00A71DFF" w:rsidP="00545AD0">
            <w:pPr>
              <w:pStyle w:val="BodyText"/>
              <w:numPr>
                <w:ilvl w:val="0"/>
                <w:numId w:val="1"/>
              </w:numPr>
              <w:rPr>
                <w:lang w:val="en-GB"/>
              </w:rPr>
            </w:pPr>
            <w:r w:rsidRPr="00A71DFF">
              <w:rPr>
                <w:lang w:val="en-GB"/>
              </w:rPr>
              <w:t>Marine research, survey and educational activities</w:t>
            </w:r>
          </w:p>
          <w:p w:rsidR="00A71DFF" w:rsidRDefault="00A71DFF" w:rsidP="00545AD0">
            <w:pPr>
              <w:pStyle w:val="BodyText"/>
              <w:numPr>
                <w:ilvl w:val="0"/>
                <w:numId w:val="1"/>
              </w:numPr>
              <w:rPr>
                <w:lang w:val="en-GB"/>
              </w:rPr>
            </w:pPr>
            <w:r w:rsidRPr="00A71DFF">
              <w:rPr>
                <w:lang w:val="en-GB"/>
              </w:rPr>
              <w:t>Shipping</w:t>
            </w:r>
          </w:p>
          <w:p w:rsidR="00545AD0" w:rsidRDefault="00545AD0" w:rsidP="00545AD0">
            <w:pPr>
              <w:pStyle w:val="BodyText"/>
              <w:rPr>
                <w:lang w:val="en-GB"/>
              </w:rPr>
            </w:pPr>
            <w:r w:rsidRPr="00545AD0">
              <w:rPr>
                <w:lang w:val="en-GB"/>
              </w:rPr>
              <w:t>D</w:t>
            </w:r>
            <w:r w:rsidRPr="00545AD0">
              <w:rPr>
                <w:lang w:val="en-GB"/>
              </w:rPr>
              <w:t>escribe the nature of activity or pressure (7b)</w:t>
            </w:r>
          </w:p>
          <w:p w:rsidR="00545AD0" w:rsidRPr="00A71DFF" w:rsidRDefault="00545AD0" w:rsidP="00545AD0">
            <w:pPr>
              <w:pStyle w:val="BodyText"/>
              <w:numPr>
                <w:ilvl w:val="0"/>
                <w:numId w:val="1"/>
              </w:numPr>
              <w:rPr>
                <w:lang w:val="en-GB"/>
              </w:rPr>
            </w:pPr>
            <w:r w:rsidRPr="00A71DFF">
              <w:rPr>
                <w:lang w:val="en-GB"/>
              </w:rPr>
              <w:t>Marine hydrocarbon extraction (oil and gas)</w:t>
            </w:r>
            <w:bookmarkStart w:id="0" w:name="_GoBack"/>
            <w:bookmarkEnd w:id="0"/>
          </w:p>
          <w:p w:rsidR="00545AD0" w:rsidRPr="00A71DFF" w:rsidRDefault="00545AD0" w:rsidP="00545AD0">
            <w:pPr>
              <w:pStyle w:val="BodyText"/>
              <w:numPr>
                <w:ilvl w:val="0"/>
                <w:numId w:val="1"/>
              </w:numPr>
              <w:rPr>
                <w:lang w:val="en-GB"/>
              </w:rPr>
            </w:pPr>
            <w:r w:rsidRPr="00A71DFF">
              <w:rPr>
                <w:lang w:val="en-GB"/>
              </w:rPr>
              <w:t>Dredging</w:t>
            </w:r>
          </w:p>
          <w:p w:rsidR="00545AD0" w:rsidRDefault="00545AD0" w:rsidP="00545AD0">
            <w:pPr>
              <w:pStyle w:val="BodyText"/>
              <w:numPr>
                <w:ilvl w:val="0"/>
                <w:numId w:val="1"/>
              </w:numPr>
              <w:rPr>
                <w:lang w:val="en-GB"/>
              </w:rPr>
            </w:pPr>
            <w:r w:rsidRPr="00A71DFF">
              <w:rPr>
                <w:lang w:val="en-GB"/>
              </w:rPr>
              <w:t>Submarine cable and pipeline operations</w:t>
            </w:r>
          </w:p>
          <w:p w:rsidR="00545AD0" w:rsidRPr="00A71DFF" w:rsidRDefault="00545AD0" w:rsidP="00545AD0">
            <w:pPr>
              <w:pStyle w:val="BodyText"/>
              <w:numPr>
                <w:ilvl w:val="0"/>
                <w:numId w:val="1"/>
              </w:numPr>
              <w:rPr>
                <w:lang w:val="en-GB"/>
              </w:rPr>
            </w:pPr>
            <w:r>
              <w:rPr>
                <w:lang w:val="en-GB"/>
              </w:rPr>
              <w:t>Oil and gas</w:t>
            </w:r>
          </w:p>
          <w:p w:rsidR="00545AD0" w:rsidRPr="00A71DFF" w:rsidRDefault="00545AD0" w:rsidP="00545AD0">
            <w:pPr>
              <w:pStyle w:val="BodyText"/>
              <w:numPr>
                <w:ilvl w:val="0"/>
                <w:numId w:val="1"/>
              </w:numPr>
              <w:rPr>
                <w:lang w:val="en-GB"/>
              </w:rPr>
            </w:pPr>
            <w:r w:rsidRPr="00A71DFF">
              <w:rPr>
                <w:lang w:val="en-GB"/>
              </w:rPr>
              <w:t>Placement and operation of offshore structures (other than for energy production)</w:t>
            </w:r>
          </w:p>
          <w:p w:rsidR="00545AD0" w:rsidRPr="00A71DFF" w:rsidRDefault="00545AD0" w:rsidP="00545AD0">
            <w:pPr>
              <w:pStyle w:val="BodyText"/>
              <w:numPr>
                <w:ilvl w:val="0"/>
                <w:numId w:val="1"/>
              </w:numPr>
              <w:rPr>
                <w:lang w:val="en-GB"/>
              </w:rPr>
            </w:pPr>
            <w:r w:rsidRPr="00A71DFF">
              <w:rPr>
                <w:lang w:val="en-GB"/>
              </w:rPr>
              <w:t>Marine research, survey and educational activities</w:t>
            </w:r>
          </w:p>
          <w:p w:rsidR="00545AD0" w:rsidRPr="00545AD0" w:rsidRDefault="00545AD0" w:rsidP="00545AD0">
            <w:pPr>
              <w:pStyle w:val="BodyText"/>
              <w:numPr>
                <w:ilvl w:val="0"/>
                <w:numId w:val="1"/>
              </w:numPr>
              <w:rPr>
                <w:lang w:val="en-GB"/>
              </w:rPr>
            </w:pPr>
            <w:r w:rsidRPr="00A71DFF">
              <w:rPr>
                <w:lang w:val="en-GB"/>
              </w:rPr>
              <w:t>Shipping</w:t>
            </w:r>
          </w:p>
          <w:p w:rsidR="00211CBF" w:rsidRDefault="00211CBF" w:rsidP="00A71DFF">
            <w:pPr>
              <w:pStyle w:val="BodyText"/>
              <w:rPr>
                <w:i/>
                <w:lang w:val="en-GB"/>
              </w:rPr>
            </w:pPr>
            <w:r>
              <w:rPr>
                <w:i/>
                <w:lang w:val="en-GB"/>
              </w:rPr>
              <w:t>Which measures will be measured by the programme</w:t>
            </w:r>
          </w:p>
        </w:tc>
        <w:tc>
          <w:tcPr>
            <w:tcW w:w="5605" w:type="dxa"/>
          </w:tcPr>
          <w:p w:rsidR="00211CBF" w:rsidRPr="008C7581" w:rsidRDefault="00211CBF" w:rsidP="006A7F79">
            <w:pPr>
              <w:pStyle w:val="BodyText"/>
              <w:rPr>
                <w:color w:val="FF0000"/>
                <w:lang w:val="en-GB"/>
              </w:rPr>
            </w:pPr>
            <w:r w:rsidRPr="008C7581">
              <w:rPr>
                <w:color w:val="FF0000"/>
                <w:lang w:val="en-GB"/>
              </w:rPr>
              <w:t>Q7: Relevant activities</w:t>
            </w:r>
            <w:r w:rsidR="00616EEA">
              <w:rPr>
                <w:color w:val="FF0000"/>
                <w:lang w:val="en-GB"/>
              </w:rPr>
              <w:t xml:space="preserve"> (7a)</w:t>
            </w:r>
            <w:r w:rsidRPr="008C7581">
              <w:rPr>
                <w:color w:val="FF0000"/>
                <w:lang w:val="en-GB"/>
              </w:rPr>
              <w:t xml:space="preserve">; </w:t>
            </w:r>
            <w:r w:rsidR="00EB6771">
              <w:rPr>
                <w:color w:val="FF0000"/>
                <w:lang w:val="en-GB"/>
              </w:rPr>
              <w:t xml:space="preserve">describe the </w:t>
            </w:r>
            <w:r w:rsidRPr="008C7581">
              <w:rPr>
                <w:color w:val="FF0000"/>
                <w:lang w:val="en-GB"/>
              </w:rPr>
              <w:t>nature of activity or pressure</w:t>
            </w:r>
            <w:r w:rsidR="00616EEA">
              <w:rPr>
                <w:color w:val="FF0000"/>
                <w:lang w:val="en-GB"/>
              </w:rPr>
              <w:t xml:space="preserve"> (7b)</w:t>
            </w:r>
            <w:r w:rsidRPr="008C7581">
              <w:rPr>
                <w:color w:val="FF0000"/>
                <w:lang w:val="en-GB"/>
              </w:rPr>
              <w:t xml:space="preserve">; relevant </w:t>
            </w:r>
            <w:r w:rsidR="00EB6771">
              <w:rPr>
                <w:color w:val="FF0000"/>
                <w:lang w:val="en-GB"/>
              </w:rPr>
              <w:t xml:space="preserve">existing </w:t>
            </w:r>
            <w:r w:rsidRPr="008C7581">
              <w:rPr>
                <w:color w:val="FF0000"/>
                <w:lang w:val="en-GB"/>
              </w:rPr>
              <w:t>measures</w:t>
            </w:r>
            <w:r w:rsidR="006A7F79">
              <w:rPr>
                <w:color w:val="FF0000"/>
                <w:lang w:val="en-GB"/>
              </w:rPr>
              <w:t xml:space="preserve"> (if any)</w:t>
            </w:r>
            <w:r w:rsidR="00616EEA">
              <w:rPr>
                <w:color w:val="FF0000"/>
                <w:lang w:val="en-GB"/>
              </w:rPr>
              <w:t xml:space="preserve"> (7c)</w:t>
            </w:r>
            <w:r w:rsidRPr="008C7581">
              <w:rPr>
                <w:color w:val="FF0000"/>
                <w:lang w:val="en-GB"/>
              </w:rPr>
              <w:t xml:space="preserve">; how are </w:t>
            </w:r>
            <w:r w:rsidR="00EB6771">
              <w:rPr>
                <w:color w:val="FF0000"/>
                <w:lang w:val="en-GB"/>
              </w:rPr>
              <w:t xml:space="preserve">existing </w:t>
            </w:r>
            <w:r w:rsidRPr="008C7581">
              <w:rPr>
                <w:color w:val="FF0000"/>
                <w:lang w:val="en-GB"/>
              </w:rPr>
              <w:t>measures monitored</w:t>
            </w:r>
            <w:r w:rsidR="00616EEA">
              <w:rPr>
                <w:color w:val="FF0000"/>
                <w:lang w:val="en-GB"/>
              </w:rPr>
              <w:t xml:space="preserve"> (7d)</w:t>
            </w:r>
          </w:p>
        </w:tc>
      </w:tr>
      <w:tr w:rsidR="00211CBF" w:rsidTr="009B6A62">
        <w:tc>
          <w:tcPr>
            <w:tcW w:w="2660" w:type="dxa"/>
          </w:tcPr>
          <w:p w:rsidR="00211CBF" w:rsidRPr="00CF64A9" w:rsidRDefault="00211CBF" w:rsidP="0002459C">
            <w:pPr>
              <w:pStyle w:val="BodyText"/>
              <w:rPr>
                <w:color w:val="4F81BD" w:themeColor="accent1"/>
                <w:lang w:val="en-GB"/>
              </w:rPr>
            </w:pPr>
            <w:r w:rsidRPr="00CF64A9">
              <w:rPr>
                <w:color w:val="4F81BD" w:themeColor="accent1"/>
                <w:lang w:val="en-GB"/>
              </w:rPr>
              <w:t>3.</w:t>
            </w:r>
            <w:r w:rsidR="0002459C">
              <w:rPr>
                <w:color w:val="4F81BD" w:themeColor="accent1"/>
                <w:lang w:val="en-GB"/>
              </w:rPr>
              <w:t>4</w:t>
            </w:r>
            <w:r w:rsidR="0002459C" w:rsidRPr="00CF64A9">
              <w:rPr>
                <w:color w:val="4F81BD" w:themeColor="accent1"/>
                <w:lang w:val="en-GB"/>
              </w:rPr>
              <w:t xml:space="preserve"> </w:t>
            </w:r>
            <w:r w:rsidRPr="00CF64A9">
              <w:rPr>
                <w:color w:val="4F81BD" w:themeColor="accent1"/>
                <w:lang w:val="en-GB"/>
              </w:rPr>
              <w:t>Data management</w:t>
            </w:r>
          </w:p>
        </w:tc>
        <w:tc>
          <w:tcPr>
            <w:tcW w:w="5670" w:type="dxa"/>
          </w:tcPr>
          <w:p w:rsidR="00211CBF" w:rsidRDefault="00211CBF" w:rsidP="009D64C3">
            <w:pPr>
              <w:pStyle w:val="BodyText"/>
              <w:rPr>
                <w:i/>
                <w:lang w:val="en-GB"/>
              </w:rPr>
            </w:pPr>
            <w:r>
              <w:rPr>
                <w:i/>
                <w:lang w:val="en-GB"/>
              </w:rPr>
              <w:t>How and where are data managed? How and where can data be accessed?</w:t>
            </w:r>
            <w:r w:rsidR="00D10710">
              <w:rPr>
                <w:i/>
                <w:lang w:val="en-GB"/>
              </w:rPr>
              <w:t xml:space="preserve"> (General description – programme level)</w:t>
            </w:r>
          </w:p>
          <w:p w:rsidR="00BF5F20" w:rsidRPr="00BF5F20" w:rsidRDefault="00BF5F20" w:rsidP="009D64C3">
            <w:pPr>
              <w:pStyle w:val="BodyText"/>
              <w:rPr>
                <w:lang w:val="en-GB"/>
              </w:rPr>
            </w:pPr>
          </w:p>
        </w:tc>
        <w:tc>
          <w:tcPr>
            <w:tcW w:w="5605" w:type="dxa"/>
          </w:tcPr>
          <w:p w:rsidR="00211CBF" w:rsidRPr="008C7581" w:rsidRDefault="00211CBF" w:rsidP="009D64C3">
            <w:pPr>
              <w:pStyle w:val="BodyText"/>
              <w:rPr>
                <w:color w:val="FF0000"/>
                <w:lang w:val="en-GB"/>
              </w:rPr>
            </w:pPr>
            <w:r w:rsidRPr="008C7581">
              <w:rPr>
                <w:color w:val="FF0000"/>
                <w:lang w:val="en-GB"/>
              </w:rPr>
              <w:t>Q10</w:t>
            </w:r>
            <w:r>
              <w:rPr>
                <w:color w:val="FF0000"/>
                <w:lang w:val="en-GB"/>
              </w:rPr>
              <w:t xml:space="preserve"> (+Q3)</w:t>
            </w:r>
            <w:r w:rsidRPr="008C7581">
              <w:rPr>
                <w:color w:val="FF0000"/>
                <w:lang w:val="en-GB"/>
              </w:rPr>
              <w:t>: Access to data; use rights; INSPIRE standards; when will data become available; updates when; how will data be made available to the EEA</w:t>
            </w:r>
          </w:p>
        </w:tc>
      </w:tr>
      <w:tr w:rsidR="00211CBF" w:rsidTr="009B6A62">
        <w:tc>
          <w:tcPr>
            <w:tcW w:w="8330" w:type="dxa"/>
            <w:gridSpan w:val="2"/>
            <w:shd w:val="clear" w:color="auto" w:fill="4F81BD" w:themeFill="accent1"/>
            <w:vAlign w:val="center"/>
          </w:tcPr>
          <w:p w:rsidR="00211CBF" w:rsidRPr="00CF64A9" w:rsidRDefault="00211CBF" w:rsidP="009D64C3">
            <w:pPr>
              <w:pStyle w:val="BodyText"/>
              <w:jc w:val="center"/>
              <w:rPr>
                <w:b/>
                <w:i/>
                <w:color w:val="FFFFFF" w:themeColor="background1"/>
                <w:lang w:val="en-GB"/>
              </w:rPr>
            </w:pPr>
            <w:r w:rsidRPr="00CF64A9">
              <w:rPr>
                <w:b/>
                <w:color w:val="FFFFFF" w:themeColor="background1"/>
                <w:lang w:val="en-GB"/>
              </w:rPr>
              <w:t>4. Assessment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B6A62">
        <w:tc>
          <w:tcPr>
            <w:tcW w:w="2660" w:type="dxa"/>
          </w:tcPr>
          <w:p w:rsidR="00211CBF" w:rsidRPr="00CF64A9" w:rsidRDefault="006A7F79" w:rsidP="006A7F79">
            <w:pPr>
              <w:pStyle w:val="BodyText"/>
              <w:rPr>
                <w:color w:val="4F81BD" w:themeColor="accent1"/>
                <w:lang w:val="en-GB"/>
              </w:rPr>
            </w:pPr>
            <w:r>
              <w:rPr>
                <w:color w:val="4F81BD" w:themeColor="accent1"/>
                <w:lang w:val="en-GB"/>
              </w:rPr>
              <w:t>4.1 Assessments</w:t>
            </w:r>
          </w:p>
        </w:tc>
        <w:tc>
          <w:tcPr>
            <w:tcW w:w="5670" w:type="dxa"/>
          </w:tcPr>
          <w:p w:rsidR="006A7F79" w:rsidRDefault="00211CBF" w:rsidP="006A7F79">
            <w:pPr>
              <w:pStyle w:val="BodyText"/>
              <w:rPr>
                <w:i/>
                <w:lang w:val="en-GB"/>
              </w:rPr>
            </w:pPr>
            <w:r>
              <w:rPr>
                <w:i/>
                <w:lang w:val="en-GB"/>
              </w:rPr>
              <w:t xml:space="preserve">Existing assessments </w:t>
            </w:r>
          </w:p>
          <w:p w:rsidR="0002459C" w:rsidRDefault="006A7F79" w:rsidP="009D64C3">
            <w:pPr>
              <w:pStyle w:val="BodyText"/>
              <w:rPr>
                <w:i/>
                <w:lang w:val="en-GB"/>
              </w:rPr>
            </w:pPr>
            <w:r>
              <w:rPr>
                <w:i/>
                <w:lang w:val="en-GB"/>
              </w:rPr>
              <w:t>Provide information about or URL links to existing assessments (</w:t>
            </w:r>
            <w:r w:rsidR="00EE7362">
              <w:rPr>
                <w:i/>
                <w:lang w:val="en-GB"/>
              </w:rPr>
              <w:t>e.g.</w:t>
            </w:r>
            <w:r>
              <w:rPr>
                <w:i/>
                <w:lang w:val="en-GB"/>
              </w:rPr>
              <w:t xml:space="preserve"> Initial Assessment)</w:t>
            </w:r>
          </w:p>
          <w:p w:rsidR="00BF5F20" w:rsidRPr="00BF5F20" w:rsidRDefault="00BF5F20" w:rsidP="003B0988">
            <w:pPr>
              <w:pStyle w:val="BodyText"/>
              <w:rPr>
                <w:lang w:val="en-GB"/>
              </w:rPr>
            </w:pPr>
            <w:r>
              <w:rPr>
                <w:lang w:val="en-GB"/>
              </w:rPr>
              <w:t>Underwater noise has not been addressed in the Bulgarian MSFD Article 8, 9 and 10 reporting. Relevant information is currently available under the Environmental Assessment Impact South</w:t>
            </w:r>
            <w:r w:rsidR="003B0988">
              <w:rPr>
                <w:lang w:val="en-GB"/>
              </w:rPr>
              <w:t xml:space="preserve"> S</w:t>
            </w:r>
            <w:r>
              <w:rPr>
                <w:lang w:val="en-GB"/>
              </w:rPr>
              <w:t xml:space="preserve">tream </w:t>
            </w:r>
            <w:r>
              <w:rPr>
                <w:lang w:val="en-GB"/>
              </w:rPr>
              <w:t>Project</w:t>
            </w:r>
            <w:r w:rsidR="009B6A62">
              <w:rPr>
                <w:lang w:val="en-GB"/>
              </w:rPr>
              <w:t xml:space="preserve"> (</w:t>
            </w:r>
            <w:hyperlink r:id="rId12" w:history="1">
              <w:r w:rsidR="00E76AE0" w:rsidRPr="00E76AE0">
                <w:rPr>
                  <w:rStyle w:val="Hyperlink"/>
                  <w:lang w:val="en-GB"/>
                </w:rPr>
                <w:t>http://www.south-stream-offshore.com/media/documents/</w:t>
              </w:r>
            </w:hyperlink>
            <w:r w:rsidR="00E76AE0">
              <w:rPr>
                <w:lang w:val="en-GB"/>
              </w:rPr>
              <w:t>, retrieved 30.6.2014</w:t>
            </w:r>
            <w:r w:rsidR="0044532A">
              <w:rPr>
                <w:lang w:val="en-GB"/>
              </w:rPr>
              <w:t xml:space="preserve">. The report gives noise thresholds for acute and ambient noise, modelling of noise distribution in the marine environment and analysis of noise impact from single and multiple </w:t>
            </w:r>
            <w:r w:rsidR="00FD5F6D">
              <w:rPr>
                <w:lang w:val="en-GB"/>
              </w:rPr>
              <w:t>exposures</w:t>
            </w:r>
            <w:r w:rsidR="00EA3221">
              <w:rPr>
                <w:lang w:val="en-GB"/>
              </w:rPr>
              <w:t xml:space="preserve"> during different project activities</w:t>
            </w:r>
            <w:r w:rsidR="0044532A">
              <w:rPr>
                <w:lang w:val="en-GB"/>
              </w:rPr>
              <w:t>.</w:t>
            </w:r>
          </w:p>
        </w:tc>
        <w:tc>
          <w:tcPr>
            <w:tcW w:w="5605" w:type="dxa"/>
          </w:tcPr>
          <w:p w:rsidR="00211CBF" w:rsidRPr="008C7581" w:rsidRDefault="006A0DFD" w:rsidP="009D64C3">
            <w:pPr>
              <w:pStyle w:val="BodyText"/>
              <w:rPr>
                <w:color w:val="FF0000"/>
                <w:lang w:val="en-GB"/>
              </w:rPr>
            </w:pPr>
            <w:r>
              <w:rPr>
                <w:color w:val="FF0000"/>
                <w:lang w:val="en-GB"/>
              </w:rPr>
              <w:t xml:space="preserve">This is for information purpose only. Where can stakeholders </w:t>
            </w:r>
            <w:proofErr w:type="spellStart"/>
            <w:r>
              <w:rPr>
                <w:color w:val="FF0000"/>
                <w:lang w:val="en-GB"/>
              </w:rPr>
              <w:t>etc</w:t>
            </w:r>
            <w:proofErr w:type="spellEnd"/>
            <w:r>
              <w:rPr>
                <w:color w:val="FF0000"/>
                <w:lang w:val="en-GB"/>
              </w:rPr>
              <w:t xml:space="preserve"> find existing assessments on issues relevant to the programme </w:t>
            </w:r>
          </w:p>
        </w:tc>
      </w:tr>
      <w:tr w:rsidR="00211CBF" w:rsidTr="009B6A62">
        <w:tc>
          <w:tcPr>
            <w:tcW w:w="2660" w:type="dxa"/>
          </w:tcPr>
          <w:p w:rsidR="00211CBF" w:rsidRPr="00CF64A9" w:rsidRDefault="00211CBF" w:rsidP="00FA0976">
            <w:pPr>
              <w:pStyle w:val="BodyText"/>
              <w:rPr>
                <w:color w:val="4F81BD" w:themeColor="accent1"/>
                <w:lang w:val="en-GB"/>
              </w:rPr>
            </w:pPr>
            <w:r w:rsidRPr="00CF64A9">
              <w:rPr>
                <w:color w:val="4F81BD" w:themeColor="accent1"/>
                <w:lang w:val="en-GB"/>
              </w:rPr>
              <w:t>4.2 Assessment of GES</w:t>
            </w:r>
          </w:p>
        </w:tc>
        <w:tc>
          <w:tcPr>
            <w:tcW w:w="5670" w:type="dxa"/>
          </w:tcPr>
          <w:p w:rsidR="00211CBF" w:rsidRDefault="006A7F79" w:rsidP="006A7F79">
            <w:pPr>
              <w:pStyle w:val="BodyText"/>
              <w:rPr>
                <w:i/>
                <w:lang w:val="en-GB"/>
              </w:rPr>
            </w:pPr>
            <w:r>
              <w:rPr>
                <w:i/>
                <w:lang w:val="en-GB"/>
              </w:rPr>
              <w:t xml:space="preserve">Will </w:t>
            </w:r>
            <w:r w:rsidR="00211CBF">
              <w:rPr>
                <w:i/>
                <w:lang w:val="en-GB"/>
              </w:rPr>
              <w:t>assessment of GES</w:t>
            </w:r>
            <w:r>
              <w:rPr>
                <w:i/>
                <w:lang w:val="en-GB"/>
              </w:rPr>
              <w:t xml:space="preserve"> be carried out by the programme</w:t>
            </w:r>
          </w:p>
          <w:p w:rsidR="00D62B0D" w:rsidRPr="00D62B0D" w:rsidRDefault="00D62B0D" w:rsidP="00E37C58">
            <w:pPr>
              <w:pStyle w:val="BodyText"/>
              <w:rPr>
                <w:lang w:val="en-GB"/>
              </w:rPr>
            </w:pPr>
            <w:r>
              <w:rPr>
                <w:lang w:val="en-GB"/>
              </w:rPr>
              <w:t>There is no existing monitoring programme for assessment of the environmental status on Descriptor 11 and the distance from GES.</w:t>
            </w:r>
            <w:r w:rsidR="00E1099A">
              <w:rPr>
                <w:lang w:val="en-GB"/>
              </w:rPr>
              <w:t xml:space="preserve"> The programme will be adequate if designed in accordance with the MSFD requirements. Refer to Section 6 for plans to make the programme adequate.</w:t>
            </w:r>
          </w:p>
        </w:tc>
        <w:tc>
          <w:tcPr>
            <w:tcW w:w="5605" w:type="dxa"/>
          </w:tcPr>
          <w:p w:rsidR="006A7F79" w:rsidRPr="008C7581" w:rsidRDefault="00211CBF" w:rsidP="007A4015">
            <w:pPr>
              <w:pStyle w:val="BodyText"/>
              <w:rPr>
                <w:color w:val="FF0000"/>
                <w:lang w:val="en-GB"/>
              </w:rPr>
            </w:pPr>
            <w:r w:rsidRPr="008C7581">
              <w:rPr>
                <w:color w:val="FF0000"/>
                <w:lang w:val="en-GB"/>
              </w:rPr>
              <w:t>Q5: Will the programme enable periodic assessment of environmental status and distance to and progress towards GES</w:t>
            </w:r>
            <w:r w:rsidR="00616EEA">
              <w:rPr>
                <w:color w:val="FF0000"/>
                <w:lang w:val="en-GB"/>
              </w:rPr>
              <w:t xml:space="preserve"> (5d)</w:t>
            </w:r>
            <w:r w:rsidR="006A7F79">
              <w:rPr>
                <w:color w:val="FF0000"/>
                <w:lang w:val="en-GB"/>
              </w:rPr>
              <w:t xml:space="preserve">. Describe how and refer to section </w:t>
            </w:r>
            <w:r w:rsidR="007A4015">
              <w:rPr>
                <w:color w:val="FF0000"/>
                <w:lang w:val="en-GB"/>
              </w:rPr>
              <w:t>6</w:t>
            </w:r>
            <w:r w:rsidR="006A7F79">
              <w:rPr>
                <w:color w:val="FF0000"/>
                <w:lang w:val="en-GB"/>
              </w:rPr>
              <w:t xml:space="preserve"> to describe if programme is not considered fully adequate.</w:t>
            </w:r>
          </w:p>
        </w:tc>
      </w:tr>
      <w:tr w:rsidR="00211CBF" w:rsidTr="009B6A62">
        <w:tc>
          <w:tcPr>
            <w:tcW w:w="8330" w:type="dxa"/>
            <w:gridSpan w:val="2"/>
            <w:shd w:val="clear" w:color="auto" w:fill="4F81BD" w:themeFill="accent1"/>
            <w:vAlign w:val="center"/>
          </w:tcPr>
          <w:p w:rsidR="00211CBF" w:rsidRPr="00CF64A9" w:rsidRDefault="00FA0976" w:rsidP="009D64C3">
            <w:pPr>
              <w:pStyle w:val="BodyText"/>
              <w:jc w:val="center"/>
              <w:rPr>
                <w:b/>
                <w:color w:val="FFFFFF" w:themeColor="background1"/>
                <w:lang w:val="en-GB"/>
              </w:rPr>
            </w:pPr>
            <w:r>
              <w:rPr>
                <w:b/>
                <w:color w:val="FFFFFF" w:themeColor="background1"/>
                <w:lang w:val="en-GB"/>
              </w:rPr>
              <w:t>5</w:t>
            </w:r>
            <w:r w:rsidR="00211CBF" w:rsidRPr="00CF64A9">
              <w:rPr>
                <w:b/>
                <w:color w:val="FFFFFF" w:themeColor="background1"/>
                <w:lang w:val="en-GB"/>
              </w:rPr>
              <w:t xml:space="preserve">. </w:t>
            </w:r>
            <w:r w:rsidR="00BE58FF" w:rsidRPr="00CF64A9">
              <w:rPr>
                <w:b/>
                <w:color w:val="FFFFFF" w:themeColor="background1"/>
                <w:lang w:val="en-GB"/>
              </w:rPr>
              <w:t>Literature</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B6A62">
        <w:tc>
          <w:tcPr>
            <w:tcW w:w="2660" w:type="dxa"/>
          </w:tcPr>
          <w:p w:rsidR="00211CBF" w:rsidRDefault="00211CBF" w:rsidP="009D64C3">
            <w:pPr>
              <w:pStyle w:val="BodyText"/>
              <w:rPr>
                <w:lang w:val="en-GB"/>
              </w:rPr>
            </w:pPr>
          </w:p>
        </w:tc>
        <w:tc>
          <w:tcPr>
            <w:tcW w:w="5670" w:type="dxa"/>
          </w:tcPr>
          <w:p w:rsidR="00211CBF" w:rsidRDefault="00211CBF" w:rsidP="009D64C3">
            <w:pPr>
              <w:pStyle w:val="BodyText"/>
              <w:rPr>
                <w:i/>
                <w:lang w:val="en-GB"/>
              </w:rPr>
            </w:pPr>
            <w:r>
              <w:rPr>
                <w:i/>
                <w:lang w:val="en-GB"/>
              </w:rPr>
              <w:t xml:space="preserve">List of relevant </w:t>
            </w:r>
            <w:r w:rsidR="00BE58FF">
              <w:rPr>
                <w:i/>
                <w:lang w:val="en-GB"/>
              </w:rPr>
              <w:t>literature</w:t>
            </w:r>
          </w:p>
          <w:p w:rsidR="00A9219B" w:rsidRPr="00D806F7" w:rsidRDefault="00A9219B" w:rsidP="00A9219B">
            <w:pPr>
              <w:pStyle w:val="BodyText"/>
              <w:rPr>
                <w:lang w:val="en-GB"/>
              </w:rPr>
            </w:pPr>
            <w:proofErr w:type="spellStart"/>
            <w:r w:rsidRPr="00D806F7">
              <w:rPr>
                <w:lang w:val="en-GB"/>
              </w:rPr>
              <w:t>Zampoukas</w:t>
            </w:r>
            <w:proofErr w:type="spellEnd"/>
            <w:r w:rsidRPr="00D806F7">
              <w:rPr>
                <w:lang w:val="en-GB"/>
              </w:rPr>
              <w:t xml:space="preserve">, N., H. </w:t>
            </w:r>
            <w:proofErr w:type="spellStart"/>
            <w:r w:rsidRPr="00D806F7">
              <w:rPr>
                <w:lang w:val="en-GB"/>
              </w:rPr>
              <w:t>Piha</w:t>
            </w:r>
            <w:proofErr w:type="spellEnd"/>
            <w:r w:rsidRPr="00D806F7">
              <w:rPr>
                <w:lang w:val="en-GB"/>
              </w:rPr>
              <w:t xml:space="preserve">, 2011. Review of Methodological Standards Related to the Marine Strategy Framework Directive Criteria on Good Environmental Status. Publications Office of the European Union, 53 pp. Web: </w:t>
            </w:r>
            <w:hyperlink r:id="rId13" w:history="1">
              <w:r w:rsidRPr="00D806F7">
                <w:rPr>
                  <w:rStyle w:val="Hyperlink"/>
                  <w:rFonts w:cs="Arial Unicode MS"/>
                  <w:lang w:val="en-GB"/>
                </w:rPr>
                <w:t>http://publications.jrc.ec.europa.eu/repository/handle/111111111/16069</w:t>
              </w:r>
            </w:hyperlink>
          </w:p>
          <w:p w:rsidR="00A9219B" w:rsidRPr="00F521B8" w:rsidRDefault="00A9219B" w:rsidP="00A9219B">
            <w:pPr>
              <w:pStyle w:val="BodyText"/>
              <w:rPr>
                <w:lang w:val="en-GB"/>
              </w:rPr>
            </w:pPr>
            <w:proofErr w:type="spellStart"/>
            <w:r w:rsidRPr="00A9219B">
              <w:t>Zampoukas</w:t>
            </w:r>
            <w:proofErr w:type="spellEnd"/>
            <w:r w:rsidRPr="00A9219B">
              <w:t xml:space="preserve">, N., A. </w:t>
            </w:r>
            <w:proofErr w:type="spellStart"/>
            <w:r w:rsidRPr="00A9219B">
              <w:t>Palialexis</w:t>
            </w:r>
            <w:proofErr w:type="spellEnd"/>
            <w:r w:rsidRPr="00A9219B">
              <w:t xml:space="preserve">, A. </w:t>
            </w:r>
            <w:proofErr w:type="spellStart"/>
            <w:r w:rsidRPr="00A9219B">
              <w:t>Duffek</w:t>
            </w:r>
            <w:proofErr w:type="spellEnd"/>
            <w:r w:rsidRPr="00A9219B">
              <w:t xml:space="preserve">, J. Graveland, G. </w:t>
            </w:r>
            <w:proofErr w:type="spellStart"/>
            <w:r w:rsidRPr="00A9219B">
              <w:t>Giorgi</w:t>
            </w:r>
            <w:proofErr w:type="spellEnd"/>
            <w:r w:rsidRPr="00A9219B">
              <w:t xml:space="preserve">, C. Hagebro, G. Hanke, S. Korpinen, M. </w:t>
            </w:r>
            <w:proofErr w:type="gramStart"/>
            <w:r w:rsidRPr="00A9219B">
              <w:t>Tasker,  V</w:t>
            </w:r>
            <w:proofErr w:type="gramEnd"/>
            <w:r w:rsidRPr="00A9219B">
              <w:t xml:space="preserve">. </w:t>
            </w:r>
            <w:proofErr w:type="spellStart"/>
            <w:r w:rsidRPr="00A9219B">
              <w:t>Tornero</w:t>
            </w:r>
            <w:proofErr w:type="spellEnd"/>
            <w:r w:rsidRPr="00A9219B">
              <w:t xml:space="preserve">, V. </w:t>
            </w:r>
            <w:proofErr w:type="spellStart"/>
            <w:r w:rsidRPr="00A9219B">
              <w:t>Abaza</w:t>
            </w:r>
            <w:proofErr w:type="spellEnd"/>
            <w:r w:rsidRPr="00A9219B">
              <w:t xml:space="preserve">, P. </w:t>
            </w:r>
            <w:proofErr w:type="spellStart"/>
            <w:r w:rsidRPr="00A9219B">
              <w:t>Battaglia</w:t>
            </w:r>
            <w:proofErr w:type="spellEnd"/>
            <w:r w:rsidRPr="00A9219B">
              <w:t xml:space="preserve">, M. </w:t>
            </w:r>
            <w:proofErr w:type="spellStart"/>
            <w:r w:rsidRPr="00A9219B">
              <w:t>Caparis</w:t>
            </w:r>
            <w:proofErr w:type="spellEnd"/>
            <w:r w:rsidRPr="00A9219B">
              <w:t xml:space="preserve">, R. </w:t>
            </w:r>
            <w:proofErr w:type="spellStart"/>
            <w:r w:rsidRPr="00A9219B">
              <w:t>Dekeling</w:t>
            </w:r>
            <w:proofErr w:type="spellEnd"/>
            <w:r w:rsidRPr="00A9219B">
              <w:t xml:space="preserve">, M. Frias Vega, M. </w:t>
            </w:r>
            <w:proofErr w:type="spellStart"/>
            <w:r w:rsidRPr="00A9219B">
              <w:t>Haarich</w:t>
            </w:r>
            <w:proofErr w:type="spellEnd"/>
            <w:r w:rsidRPr="00A9219B">
              <w:t xml:space="preserve">, S. </w:t>
            </w:r>
            <w:proofErr w:type="spellStart"/>
            <w:r w:rsidRPr="00A9219B">
              <w:t>Katsanevakis</w:t>
            </w:r>
            <w:proofErr w:type="spellEnd"/>
            <w:r w:rsidRPr="00A9219B">
              <w:t xml:space="preserve">, H. Klein, W. </w:t>
            </w:r>
            <w:proofErr w:type="spellStart"/>
            <w:r w:rsidRPr="00A9219B">
              <w:t>Krzyminski</w:t>
            </w:r>
            <w:proofErr w:type="spellEnd"/>
            <w:r w:rsidRPr="00A9219B">
              <w:t xml:space="preserve">, M. </w:t>
            </w:r>
            <w:proofErr w:type="spellStart"/>
            <w:r w:rsidRPr="00A9219B">
              <w:t>Laamanen</w:t>
            </w:r>
            <w:proofErr w:type="spellEnd"/>
            <w:r w:rsidRPr="00A9219B">
              <w:t xml:space="preserve">, J.C. Le </w:t>
            </w:r>
            <w:proofErr w:type="spellStart"/>
            <w:r w:rsidRPr="00A9219B">
              <w:t>Gac</w:t>
            </w:r>
            <w:proofErr w:type="spellEnd"/>
            <w:r w:rsidRPr="00A9219B">
              <w:t xml:space="preserve">, J.M. </w:t>
            </w:r>
            <w:proofErr w:type="spellStart"/>
            <w:r w:rsidRPr="00A9219B">
              <w:t>Leppanen</w:t>
            </w:r>
            <w:proofErr w:type="spellEnd"/>
            <w:r w:rsidRPr="00A9219B">
              <w:t xml:space="preserve">, U. </w:t>
            </w:r>
            <w:proofErr w:type="spellStart"/>
            <w:r w:rsidRPr="00A9219B">
              <w:t>Lips</w:t>
            </w:r>
            <w:proofErr w:type="spellEnd"/>
            <w:r w:rsidRPr="00A9219B">
              <w:t xml:space="preserve">, T. Maes, E. </w:t>
            </w:r>
            <w:proofErr w:type="spellStart"/>
            <w:r w:rsidRPr="00A9219B">
              <w:t>Magaletti</w:t>
            </w:r>
            <w:proofErr w:type="spellEnd"/>
            <w:r w:rsidRPr="00A9219B">
              <w:t xml:space="preserve">, S. Malcolm, J.M. </w:t>
            </w:r>
            <w:proofErr w:type="spellStart"/>
            <w:r w:rsidRPr="00A9219B">
              <w:t>Marques</w:t>
            </w:r>
            <w:proofErr w:type="spellEnd"/>
            <w:r w:rsidRPr="00A9219B">
              <w:t xml:space="preserve">, O. Mihail, R. </w:t>
            </w:r>
            <w:proofErr w:type="spellStart"/>
            <w:r w:rsidRPr="00A9219B">
              <w:t>Moxon</w:t>
            </w:r>
            <w:proofErr w:type="spellEnd"/>
            <w:r w:rsidRPr="00A9219B">
              <w:t xml:space="preserve">, C. O'Brien, P. </w:t>
            </w:r>
            <w:proofErr w:type="spellStart"/>
            <w:r w:rsidRPr="00A9219B">
              <w:t>Panagiotidis</w:t>
            </w:r>
            <w:proofErr w:type="spellEnd"/>
            <w:r w:rsidRPr="00A9219B">
              <w:t xml:space="preserve">, M. </w:t>
            </w:r>
            <w:proofErr w:type="spellStart"/>
            <w:r w:rsidRPr="00A9219B">
              <w:t>Penna</w:t>
            </w:r>
            <w:proofErr w:type="spellEnd"/>
            <w:r w:rsidRPr="00A9219B">
              <w:t xml:space="preserve">, C. </w:t>
            </w:r>
            <w:proofErr w:type="spellStart"/>
            <w:r w:rsidRPr="00A9219B">
              <w:t>Piroddi</w:t>
            </w:r>
            <w:proofErr w:type="spellEnd"/>
            <w:r w:rsidRPr="00A9219B">
              <w:t xml:space="preserve">, W.N. Probst, S. </w:t>
            </w:r>
            <w:proofErr w:type="spellStart"/>
            <w:r w:rsidRPr="00A9219B">
              <w:t>Raicevich</w:t>
            </w:r>
            <w:proofErr w:type="spellEnd"/>
            <w:r w:rsidRPr="00A9219B">
              <w:t xml:space="preserve">, B. </w:t>
            </w:r>
            <w:proofErr w:type="spellStart"/>
            <w:r w:rsidRPr="00A9219B">
              <w:t>Trabucco</w:t>
            </w:r>
            <w:proofErr w:type="spellEnd"/>
            <w:r w:rsidRPr="00A9219B">
              <w:t xml:space="preserve">, L. </w:t>
            </w:r>
            <w:proofErr w:type="spellStart"/>
            <w:r w:rsidRPr="00A9219B">
              <w:t>Tunesi</w:t>
            </w:r>
            <w:proofErr w:type="spellEnd"/>
            <w:r w:rsidRPr="00A9219B">
              <w:t xml:space="preserve">, S. van der </w:t>
            </w:r>
            <w:proofErr w:type="spellStart"/>
            <w:r w:rsidRPr="00A9219B">
              <w:t>Graaf</w:t>
            </w:r>
            <w:proofErr w:type="spellEnd"/>
            <w:r w:rsidRPr="00A9219B">
              <w:t xml:space="preserve">, A. Weiss, A.S. </w:t>
            </w:r>
            <w:proofErr w:type="spellStart"/>
            <w:r w:rsidRPr="00A9219B">
              <w:t>Wernersson</w:t>
            </w:r>
            <w:proofErr w:type="spellEnd"/>
            <w:r w:rsidRPr="00A9219B">
              <w:t xml:space="preserve">, W. </w:t>
            </w:r>
            <w:proofErr w:type="spellStart"/>
            <w:r w:rsidRPr="00A9219B">
              <w:t>Zevenboom</w:t>
            </w:r>
            <w:proofErr w:type="spellEnd"/>
            <w:r w:rsidRPr="00A9219B">
              <w:t xml:space="preserve">, 2014. </w:t>
            </w:r>
            <w:r w:rsidRPr="00F521B8">
              <w:rPr>
                <w:lang w:val="en-GB"/>
              </w:rPr>
              <w:t>Technical guidance on monitoring for the Marine Strategy Framework Directive. Joint Research Centre – Institute for Environment and Sustainability. 166 p.</w:t>
            </w:r>
          </w:p>
          <w:p w:rsidR="00A9219B" w:rsidRPr="00A9219B" w:rsidRDefault="00A9219B" w:rsidP="00A9219B">
            <w:pPr>
              <w:pStyle w:val="BodyText"/>
              <w:rPr>
                <w:color w:val="0000FF" w:themeColor="hyperlink"/>
                <w:u w:val="single"/>
                <w:lang w:val="en-GB"/>
              </w:rPr>
            </w:pPr>
            <w:proofErr w:type="spellStart"/>
            <w:r w:rsidRPr="00F521B8">
              <w:rPr>
                <w:lang w:val="en-GB"/>
              </w:rPr>
              <w:t>Zampoukas</w:t>
            </w:r>
            <w:proofErr w:type="spellEnd"/>
            <w:r w:rsidRPr="00F521B8">
              <w:rPr>
                <w:lang w:val="en-GB"/>
              </w:rPr>
              <w:t xml:space="preserve">, N., H. </w:t>
            </w:r>
            <w:proofErr w:type="spellStart"/>
            <w:r w:rsidRPr="00F521B8">
              <w:rPr>
                <w:lang w:val="en-GB"/>
              </w:rPr>
              <w:t>Piha</w:t>
            </w:r>
            <w:proofErr w:type="spellEnd"/>
            <w:r w:rsidRPr="00F521B8">
              <w:rPr>
                <w:lang w:val="en-GB"/>
              </w:rPr>
              <w:t xml:space="preserve">, E. </w:t>
            </w:r>
            <w:proofErr w:type="spellStart"/>
            <w:r w:rsidRPr="00F521B8">
              <w:rPr>
                <w:lang w:val="en-GB"/>
              </w:rPr>
              <w:t>Bigagli</w:t>
            </w:r>
            <w:proofErr w:type="spellEnd"/>
            <w:r w:rsidRPr="00F521B8">
              <w:rPr>
                <w:lang w:val="en-GB"/>
              </w:rPr>
              <w:t xml:space="preserve">, N. </w:t>
            </w:r>
            <w:proofErr w:type="spellStart"/>
            <w:r w:rsidRPr="00F521B8">
              <w:rPr>
                <w:lang w:val="en-GB"/>
              </w:rPr>
              <w:t>Hoepffner</w:t>
            </w:r>
            <w:proofErr w:type="spellEnd"/>
            <w:r w:rsidRPr="00F521B8">
              <w:rPr>
                <w:lang w:val="en-GB"/>
              </w:rPr>
              <w:t xml:space="preserve">, G. </w:t>
            </w:r>
            <w:proofErr w:type="spellStart"/>
            <w:r w:rsidRPr="00F521B8">
              <w:rPr>
                <w:lang w:val="en-GB"/>
              </w:rPr>
              <w:t>Hanke</w:t>
            </w:r>
            <w:proofErr w:type="spellEnd"/>
            <w:r w:rsidRPr="00F521B8">
              <w:rPr>
                <w:lang w:val="en-GB"/>
              </w:rPr>
              <w:t xml:space="preserve">, A. Cardoso, 2012. Monitoring for the Marine Strategy Framework Directive: Requirements and Options. Publications Office of the European Union, 42 pp. Web: </w:t>
            </w:r>
            <w:hyperlink r:id="rId14" w:history="1">
              <w:r w:rsidRPr="00F521B8">
                <w:rPr>
                  <w:rStyle w:val="Hyperlink"/>
                  <w:lang w:val="en-GB"/>
                </w:rPr>
                <w:t>http://publications.jrc.ec.europa.eu/repository/handle/111111111/23169</w:t>
              </w:r>
            </w:hyperlink>
          </w:p>
          <w:p w:rsidR="005207E8" w:rsidRDefault="005207E8" w:rsidP="005207E8">
            <w:pPr>
              <w:pStyle w:val="BodyText"/>
              <w:rPr>
                <w:lang w:val="en-GB"/>
              </w:rPr>
            </w:pPr>
            <w:r w:rsidRPr="005207E8">
              <w:rPr>
                <w:lang w:val="en-GB"/>
              </w:rPr>
              <w:t>ANSI S12.7-1986, “Methods for measurement of impulse noise”, Issued by the American N</w:t>
            </w:r>
            <w:r>
              <w:rPr>
                <w:lang w:val="en-GB"/>
              </w:rPr>
              <w:t xml:space="preserve">ational Standards Institute, 20, </w:t>
            </w:r>
            <w:r w:rsidRPr="005207E8">
              <w:rPr>
                <w:lang w:val="en-GB"/>
              </w:rPr>
              <w:t>February 1986</w:t>
            </w:r>
          </w:p>
          <w:p w:rsidR="00975614" w:rsidRPr="005207E8" w:rsidRDefault="00975614" w:rsidP="00975614">
            <w:pPr>
              <w:pStyle w:val="BodyText"/>
              <w:rPr>
                <w:lang w:val="en-GB"/>
              </w:rPr>
            </w:pPr>
            <w:r w:rsidRPr="00975614">
              <w:rPr>
                <w:lang w:val="en-GB"/>
              </w:rPr>
              <w:t xml:space="preserve">South Stream Environmental Impact Assessment. Annex </w:t>
            </w:r>
            <w:r>
              <w:rPr>
                <w:lang w:val="en-GB"/>
              </w:rPr>
              <w:t>9.8.1</w:t>
            </w:r>
            <w:r w:rsidRPr="00975614">
              <w:rPr>
                <w:lang w:val="en-GB"/>
              </w:rPr>
              <w:t>: Impact assessment of the underwater noise during the construction and exploitation of the "South</w:t>
            </w:r>
            <w:r>
              <w:rPr>
                <w:lang w:val="en-GB"/>
              </w:rPr>
              <w:t xml:space="preserve"> </w:t>
            </w:r>
            <w:r w:rsidRPr="00975614">
              <w:rPr>
                <w:lang w:val="en-GB"/>
              </w:rPr>
              <w:t>Stream" pipeline in the Bulgarian sector of the Black Sea.</w:t>
            </w:r>
            <w:r>
              <w:rPr>
                <w:lang w:val="en-GB"/>
              </w:rPr>
              <w:t xml:space="preserve"> Site: </w:t>
            </w:r>
            <w:hyperlink r:id="rId15" w:history="1">
              <w:r w:rsidRPr="002F1FDC">
                <w:rPr>
                  <w:rStyle w:val="Hyperlink"/>
                  <w:lang w:val="en-GB"/>
                </w:rPr>
                <w:t>http://www.south-stream-offshore.com/media/documents/pdf/en/2013/11/ssttbv_tom-8-3_en_20131118.pdf</w:t>
              </w:r>
            </w:hyperlink>
            <w:r>
              <w:rPr>
                <w:lang w:val="en-GB"/>
              </w:rPr>
              <w:t>, Retrieved: 30.6.2014.</w:t>
            </w:r>
          </w:p>
        </w:tc>
        <w:tc>
          <w:tcPr>
            <w:tcW w:w="5605" w:type="dxa"/>
          </w:tcPr>
          <w:p w:rsidR="00211CBF" w:rsidRPr="008C7581" w:rsidRDefault="00211CBF" w:rsidP="009D64C3">
            <w:pPr>
              <w:pStyle w:val="BodyText"/>
              <w:spacing w:line="276" w:lineRule="auto"/>
              <w:rPr>
                <w:color w:val="FF0000"/>
                <w:lang w:val="en-GB"/>
              </w:rPr>
            </w:pPr>
          </w:p>
        </w:tc>
      </w:tr>
      <w:tr w:rsidR="00211CBF" w:rsidTr="009B6A62">
        <w:tc>
          <w:tcPr>
            <w:tcW w:w="8330" w:type="dxa"/>
            <w:gridSpan w:val="2"/>
            <w:shd w:val="clear" w:color="auto" w:fill="4F81BD" w:themeFill="accent1"/>
            <w:vAlign w:val="center"/>
          </w:tcPr>
          <w:p w:rsidR="00211CBF" w:rsidRPr="00CF64A9" w:rsidRDefault="007A4015" w:rsidP="009D64C3">
            <w:pPr>
              <w:pStyle w:val="BodyText"/>
              <w:jc w:val="center"/>
              <w:rPr>
                <w:b/>
                <w:color w:val="FFFFFF" w:themeColor="background1"/>
                <w:lang w:val="en-GB"/>
              </w:rPr>
            </w:pPr>
            <w:r>
              <w:rPr>
                <w:b/>
                <w:color w:val="FFFFFF" w:themeColor="background1"/>
                <w:lang w:val="en-GB"/>
              </w:rPr>
              <w:t>6</w:t>
            </w:r>
            <w:r w:rsidR="00211CBF" w:rsidRPr="00CF64A9">
              <w:rPr>
                <w:b/>
                <w:color w:val="FFFFFF" w:themeColor="background1"/>
                <w:lang w:val="en-GB"/>
              </w:rPr>
              <w:t>. Activities required to implement the concept</w:t>
            </w:r>
          </w:p>
        </w:tc>
        <w:tc>
          <w:tcPr>
            <w:tcW w:w="5605" w:type="dxa"/>
            <w:shd w:val="clear" w:color="auto" w:fill="4F81BD" w:themeFill="accent1"/>
          </w:tcPr>
          <w:p w:rsidR="00211CBF" w:rsidRPr="00CF64A9" w:rsidRDefault="00211CBF" w:rsidP="009D64C3">
            <w:pPr>
              <w:pStyle w:val="BodyText"/>
              <w:rPr>
                <w:b/>
                <w:color w:val="FFFFFF" w:themeColor="background1"/>
                <w:lang w:val="en-GB"/>
              </w:rPr>
            </w:pPr>
          </w:p>
        </w:tc>
      </w:tr>
      <w:tr w:rsidR="00211CBF" w:rsidTr="009B6A62">
        <w:tc>
          <w:tcPr>
            <w:tcW w:w="2660" w:type="dxa"/>
          </w:tcPr>
          <w:p w:rsidR="00211CBF" w:rsidRPr="00CF64A9" w:rsidRDefault="007A4015" w:rsidP="009D64C3">
            <w:pPr>
              <w:pStyle w:val="BodyText"/>
              <w:rPr>
                <w:color w:val="4F81BD" w:themeColor="accent1"/>
                <w:lang w:val="en-GB"/>
              </w:rPr>
            </w:pPr>
            <w:r>
              <w:rPr>
                <w:color w:val="4F81BD" w:themeColor="accent1"/>
                <w:lang w:val="en-GB"/>
              </w:rPr>
              <w:t>6</w:t>
            </w:r>
            <w:r w:rsidR="00211CBF" w:rsidRPr="00CF64A9">
              <w:rPr>
                <w:color w:val="4F81BD" w:themeColor="accent1"/>
                <w:lang w:val="en-GB"/>
              </w:rPr>
              <w:t>.1 Changes to the current monitoring programme</w:t>
            </w:r>
          </w:p>
        </w:tc>
        <w:tc>
          <w:tcPr>
            <w:tcW w:w="5670" w:type="dxa"/>
          </w:tcPr>
          <w:p w:rsidR="00211CBF" w:rsidRDefault="00211CBF" w:rsidP="009D64C3">
            <w:pPr>
              <w:pStyle w:val="BodyText"/>
              <w:rPr>
                <w:i/>
                <w:lang w:val="en-GB"/>
              </w:rPr>
            </w:pPr>
            <w:r>
              <w:rPr>
                <w:i/>
                <w:lang w:val="en-GB"/>
              </w:rPr>
              <w:t>Necessary changes and recommendations</w:t>
            </w:r>
          </w:p>
          <w:p w:rsidR="005C3220" w:rsidRPr="004222FC" w:rsidRDefault="005C3220" w:rsidP="009D64C3">
            <w:pPr>
              <w:pStyle w:val="BodyText"/>
              <w:rPr>
                <w:i/>
                <w:lang w:val="en-GB"/>
              </w:rPr>
            </w:pPr>
            <w:r>
              <w:rPr>
                <w:i/>
                <w:lang w:val="en-GB"/>
              </w:rPr>
              <w:t xml:space="preserve">Describe </w:t>
            </w:r>
            <w:r w:rsidRPr="005C3220">
              <w:rPr>
                <w:i/>
                <w:u w:val="single"/>
                <w:lang w:val="en-GB"/>
              </w:rPr>
              <w:t>necessary</w:t>
            </w:r>
            <w:r>
              <w:rPr>
                <w:i/>
                <w:lang w:val="en-GB"/>
              </w:rPr>
              <w:t xml:space="preserve"> changes for the programme to cover the requirements of MSFD</w:t>
            </w:r>
            <w:r w:rsidR="00012D73">
              <w:rPr>
                <w:i/>
                <w:lang w:val="en-GB"/>
              </w:rPr>
              <w:t>. Description in general terms.</w:t>
            </w:r>
          </w:p>
        </w:tc>
        <w:tc>
          <w:tcPr>
            <w:tcW w:w="5605" w:type="dxa"/>
          </w:tcPr>
          <w:p w:rsidR="00211CBF" w:rsidRPr="008C7581" w:rsidRDefault="00211CBF" w:rsidP="009D64C3">
            <w:pPr>
              <w:pStyle w:val="BodyText"/>
              <w:rPr>
                <w:color w:val="FF0000"/>
                <w:lang w:val="en-GB"/>
              </w:rPr>
            </w:pPr>
            <w:r w:rsidRPr="008C7581">
              <w:rPr>
                <w:color w:val="FF0000"/>
                <w:lang w:val="en-GB"/>
              </w:rPr>
              <w:t>Which changes are necessary to the current</w:t>
            </w:r>
            <w:r w:rsidR="005C3220">
              <w:rPr>
                <w:color w:val="FF0000"/>
                <w:lang w:val="en-GB"/>
              </w:rPr>
              <w:t xml:space="preserve">/existing </w:t>
            </w:r>
            <w:r w:rsidRPr="008C7581">
              <w:rPr>
                <w:color w:val="FF0000"/>
                <w:lang w:val="en-GB"/>
              </w:rPr>
              <w:t xml:space="preserve"> monitoring programme to secure adequacy with regards to MSFD (</w:t>
            </w:r>
            <w:r w:rsidR="00EE7362">
              <w:rPr>
                <w:color w:val="FF0000"/>
                <w:lang w:val="en-GB"/>
              </w:rPr>
              <w:t>e.g.</w:t>
            </w:r>
            <w:r w:rsidRPr="008C7581">
              <w:rPr>
                <w:color w:val="FF0000"/>
                <w:lang w:val="en-GB"/>
              </w:rPr>
              <w:t xml:space="preserve"> changes in monitoring network)</w:t>
            </w:r>
          </w:p>
          <w:p w:rsidR="00211CBF" w:rsidRPr="008C7581" w:rsidRDefault="00211CBF" w:rsidP="009D64C3">
            <w:pPr>
              <w:pStyle w:val="BodyText"/>
              <w:rPr>
                <w:color w:val="FF0000"/>
                <w:lang w:val="en-GB"/>
              </w:rPr>
            </w:pPr>
            <w:r w:rsidRPr="008C7581">
              <w:rPr>
                <w:color w:val="FF0000"/>
                <w:lang w:val="en-GB"/>
              </w:rPr>
              <w:t>Q7: Will the programme provide necessary data and information to enable identification of relevant activities</w:t>
            </w:r>
            <w:r w:rsidR="005C3220">
              <w:rPr>
                <w:color w:val="FF0000"/>
                <w:lang w:val="en-GB"/>
              </w:rPr>
              <w:t>/pressures that are causing environmental degradation</w:t>
            </w:r>
            <w:r w:rsidRPr="008C7581">
              <w:rPr>
                <w:color w:val="FF0000"/>
                <w:lang w:val="en-GB"/>
              </w:rPr>
              <w:t xml:space="preserve"> and </w:t>
            </w:r>
            <w:r w:rsidR="005C3220">
              <w:rPr>
                <w:color w:val="FF0000"/>
                <w:lang w:val="en-GB"/>
              </w:rPr>
              <w:t xml:space="preserve">will the programme identify </w:t>
            </w:r>
            <w:r w:rsidRPr="008C7581">
              <w:rPr>
                <w:color w:val="FF0000"/>
                <w:lang w:val="en-GB"/>
              </w:rPr>
              <w:t xml:space="preserve">suitable </w:t>
            </w:r>
            <w:r w:rsidR="005C3220">
              <w:rPr>
                <w:color w:val="FF0000"/>
                <w:lang w:val="en-GB"/>
              </w:rPr>
              <w:t xml:space="preserve">new </w:t>
            </w:r>
            <w:r w:rsidRPr="008C7581">
              <w:rPr>
                <w:color w:val="FF0000"/>
                <w:lang w:val="en-GB"/>
              </w:rPr>
              <w:t>measures</w:t>
            </w:r>
            <w:r w:rsidR="005C3220">
              <w:rPr>
                <w:color w:val="FF0000"/>
                <w:lang w:val="en-GB"/>
              </w:rPr>
              <w:t xml:space="preserve"> and the effectiveness of existing measures</w:t>
            </w:r>
            <w:r w:rsidR="00616EEA">
              <w:rPr>
                <w:color w:val="FF0000"/>
                <w:lang w:val="en-GB"/>
              </w:rPr>
              <w:t xml:space="preserve"> (7e)</w:t>
            </w:r>
          </w:p>
        </w:tc>
      </w:tr>
      <w:tr w:rsidR="007A4015" w:rsidTr="009B6A62">
        <w:tc>
          <w:tcPr>
            <w:tcW w:w="2660" w:type="dxa"/>
          </w:tcPr>
          <w:p w:rsidR="007A4015" w:rsidRDefault="006A0DFD" w:rsidP="00012D73">
            <w:pPr>
              <w:pStyle w:val="BodyText"/>
              <w:rPr>
                <w:color w:val="4F81BD" w:themeColor="accent1"/>
                <w:lang w:val="en-GB"/>
              </w:rPr>
            </w:pPr>
            <w:r>
              <w:rPr>
                <w:color w:val="4F81BD" w:themeColor="accent1"/>
                <w:lang w:val="en-GB"/>
              </w:rPr>
              <w:t>6.</w:t>
            </w:r>
            <w:r w:rsidR="00012D73">
              <w:rPr>
                <w:color w:val="4F81BD" w:themeColor="accent1"/>
                <w:lang w:val="en-GB"/>
              </w:rPr>
              <w:t>2</w:t>
            </w:r>
            <w:r>
              <w:rPr>
                <w:color w:val="4F81BD" w:themeColor="accent1"/>
                <w:lang w:val="en-GB"/>
              </w:rPr>
              <w:t xml:space="preserve"> Gaps: GES information </w:t>
            </w:r>
          </w:p>
        </w:tc>
        <w:tc>
          <w:tcPr>
            <w:tcW w:w="5670" w:type="dxa"/>
          </w:tcPr>
          <w:p w:rsidR="008802E5" w:rsidRPr="008802E5" w:rsidRDefault="006A0DFD" w:rsidP="006A0DFD">
            <w:pPr>
              <w:pStyle w:val="BodyText"/>
              <w:rPr>
                <w:i/>
                <w:lang w:val="en-GB"/>
              </w:rPr>
            </w:pPr>
            <w:r>
              <w:rPr>
                <w:i/>
                <w:lang w:val="en-GB"/>
              </w:rPr>
              <w:t xml:space="preserve">If not yet adequate for data and information needs to assess GES, describe when the programme will be considered fully </w:t>
            </w:r>
            <w:r w:rsidR="008802E5">
              <w:rPr>
                <w:i/>
                <w:lang w:val="en-GB"/>
              </w:rPr>
              <w:t>adequate</w:t>
            </w:r>
          </w:p>
        </w:tc>
        <w:tc>
          <w:tcPr>
            <w:tcW w:w="5605" w:type="dxa"/>
          </w:tcPr>
          <w:p w:rsidR="007A4015" w:rsidRPr="006A0DFD" w:rsidRDefault="00A9184B" w:rsidP="00A9184B">
            <w:pPr>
              <w:pStyle w:val="BodyText"/>
              <w:rPr>
                <w:color w:val="FF0000"/>
                <w:lang w:val="en-GB"/>
              </w:rPr>
            </w:pPr>
            <w:r>
              <w:rPr>
                <w:color w:val="FF0000"/>
                <w:lang w:val="en-GB"/>
              </w:rPr>
              <w:t>Select when the programme is expected to be a</w:t>
            </w:r>
            <w:r w:rsidR="006A0DFD" w:rsidRPr="006A0DFD">
              <w:rPr>
                <w:color w:val="FF0000"/>
                <w:lang w:val="en-GB"/>
              </w:rPr>
              <w:t>dequate</w:t>
            </w:r>
            <w:r>
              <w:rPr>
                <w:color w:val="FF0000"/>
                <w:lang w:val="en-GB"/>
              </w:rPr>
              <w:t>: I</w:t>
            </w:r>
            <w:r w:rsidR="006A0DFD" w:rsidRPr="006A0DFD">
              <w:rPr>
                <w:color w:val="FF0000"/>
                <w:lang w:val="en-GB"/>
              </w:rPr>
              <w:t>n 2014; in time for next assessment in 2018; in time for updating of monitoring programme in 2020; later than 2020</w:t>
            </w:r>
            <w:r>
              <w:rPr>
                <w:color w:val="FF0000"/>
                <w:lang w:val="en-GB"/>
              </w:rPr>
              <w:t xml:space="preserve"> (5g)</w:t>
            </w:r>
          </w:p>
        </w:tc>
      </w:tr>
      <w:tr w:rsidR="007A4015" w:rsidTr="009B6A62">
        <w:tc>
          <w:tcPr>
            <w:tcW w:w="2660" w:type="dxa"/>
          </w:tcPr>
          <w:p w:rsidR="007A4015"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3</w:t>
            </w:r>
            <w:r>
              <w:rPr>
                <w:color w:val="4F81BD" w:themeColor="accent1"/>
                <w:lang w:val="en-GB"/>
              </w:rPr>
              <w:t xml:space="preserve"> Plans: Plans for GES information</w:t>
            </w:r>
          </w:p>
        </w:tc>
        <w:tc>
          <w:tcPr>
            <w:tcW w:w="5670" w:type="dxa"/>
          </w:tcPr>
          <w:p w:rsidR="007A4015" w:rsidRDefault="00A9184B" w:rsidP="005C3220">
            <w:pPr>
              <w:pStyle w:val="BodyText"/>
              <w:rPr>
                <w:i/>
                <w:lang w:val="en-GB"/>
              </w:rPr>
            </w:pPr>
            <w:r>
              <w:rPr>
                <w:i/>
                <w:lang w:val="en-GB"/>
              </w:rPr>
              <w:t>If the programme is not considered fully adequate for data and information needs to assess GES, describe what plans are in place to make it fully adequate (</w:t>
            </w:r>
            <w:r w:rsidR="008802E5">
              <w:rPr>
                <w:i/>
                <w:lang w:val="en-GB"/>
              </w:rPr>
              <w:t>e.g.</w:t>
            </w:r>
            <w:r>
              <w:rPr>
                <w:i/>
                <w:lang w:val="en-GB"/>
              </w:rPr>
              <w:t xml:space="preserve"> to fill gaps in data methods, understanding or capacity)</w:t>
            </w:r>
            <w:r w:rsidR="00012D73">
              <w:rPr>
                <w:i/>
                <w:lang w:val="en-GB"/>
              </w:rPr>
              <w:t>. Describe timeframe, priorities and obstacles.</w:t>
            </w:r>
          </w:p>
          <w:p w:rsidR="008802E5" w:rsidRPr="00D806F7" w:rsidRDefault="008802E5" w:rsidP="008802E5">
            <w:pPr>
              <w:pStyle w:val="Normal1"/>
              <w:spacing w:after="120"/>
              <w:rPr>
                <w:lang w:val="en-GB"/>
              </w:rPr>
            </w:pPr>
            <w:r w:rsidRPr="00D806F7">
              <w:rPr>
                <w:b/>
                <w:lang w:val="en-GB"/>
              </w:rPr>
              <w:t>General recommendations:</w:t>
            </w:r>
          </w:p>
          <w:p w:rsidR="008802E5" w:rsidRPr="00D806F7" w:rsidRDefault="008802E5" w:rsidP="008802E5">
            <w:pPr>
              <w:pStyle w:val="Normal1"/>
              <w:spacing w:after="120"/>
              <w:rPr>
                <w:lang w:val="en-GB"/>
              </w:rPr>
            </w:pPr>
            <w:r w:rsidRPr="00D806F7">
              <w:rPr>
                <w:b/>
                <w:lang w:val="en-GB"/>
              </w:rPr>
              <w:t>Spatial scope of the monitoring programme</w:t>
            </w:r>
            <w:r w:rsidRPr="00D806F7">
              <w:rPr>
                <w:lang w:val="en-GB"/>
              </w:rPr>
              <w:t>. Expand the current monitoring network to provide data for the pressure from the drivers (human activities and natural changes), state and impact in the coastal waters, territorial waters and exclusive economic zone, according to the requirements of the Marine Strategy Framework Directive.</w:t>
            </w:r>
          </w:p>
          <w:p w:rsidR="008802E5" w:rsidRPr="00D806F7" w:rsidRDefault="008802E5" w:rsidP="008802E5">
            <w:pPr>
              <w:pStyle w:val="Normal1"/>
              <w:spacing w:after="120"/>
              <w:rPr>
                <w:lang w:val="en-GB"/>
              </w:rPr>
            </w:pPr>
            <w:r w:rsidRPr="00D806F7">
              <w:rPr>
                <w:b/>
                <w:lang w:val="en-GB"/>
              </w:rPr>
              <w:t>Design a monitoring programme</w:t>
            </w:r>
            <w:r w:rsidR="00E37C58">
              <w:rPr>
                <w:b/>
                <w:lang w:val="en-GB"/>
              </w:rPr>
              <w:t xml:space="preserve"> in line with MSFD</w:t>
            </w:r>
            <w:r w:rsidRPr="00D806F7">
              <w:rPr>
                <w:lang w:val="en-GB"/>
              </w:rPr>
              <w:t xml:space="preserve">. </w:t>
            </w:r>
            <w:r w:rsidR="00E37C58">
              <w:rPr>
                <w:lang w:val="en-GB"/>
              </w:rPr>
              <w:t xml:space="preserve">To design </w:t>
            </w:r>
            <w:r w:rsidR="00A9429A">
              <w:rPr>
                <w:lang w:val="en-GB"/>
              </w:rPr>
              <w:t>an adequate monitoring programme, the requirements of the “</w:t>
            </w:r>
            <w:r w:rsidR="00A9429A" w:rsidRPr="00F521B8">
              <w:rPr>
                <w:lang w:val="en-GB"/>
              </w:rPr>
              <w:t>Technical guidance on monitoring for the Marine Strategy Framework Directive</w:t>
            </w:r>
            <w:r w:rsidR="00A9429A">
              <w:rPr>
                <w:lang w:val="en-GB"/>
              </w:rPr>
              <w:t>” (</w:t>
            </w:r>
            <w:proofErr w:type="spellStart"/>
            <w:r w:rsidR="00A9429A">
              <w:rPr>
                <w:lang w:val="en-GB"/>
              </w:rPr>
              <w:t>Zampoukas</w:t>
            </w:r>
            <w:proofErr w:type="spellEnd"/>
            <w:r w:rsidR="00A9429A">
              <w:rPr>
                <w:lang w:val="en-GB"/>
              </w:rPr>
              <w:t xml:space="preserve"> et al., 2014) should be taken into account</w:t>
            </w:r>
            <w:r w:rsidR="008F5D4E">
              <w:rPr>
                <w:lang w:val="en-GB"/>
              </w:rPr>
              <w:t>.</w:t>
            </w:r>
          </w:p>
          <w:p w:rsidR="008802E5" w:rsidRPr="00D806F7" w:rsidRDefault="008802E5" w:rsidP="008802E5">
            <w:pPr>
              <w:pStyle w:val="Normal1"/>
              <w:spacing w:after="120"/>
              <w:rPr>
                <w:b/>
                <w:lang w:val="en-GB"/>
              </w:rPr>
            </w:pPr>
            <w:r w:rsidRPr="00D806F7">
              <w:rPr>
                <w:b/>
                <w:lang w:val="en-GB"/>
              </w:rPr>
              <w:t>Programme-specific requirements</w:t>
            </w:r>
          </w:p>
          <w:p w:rsidR="008802E5" w:rsidRDefault="008802E5" w:rsidP="008802E5">
            <w:pPr>
              <w:pStyle w:val="BodyText"/>
              <w:rPr>
                <w:lang w:val="en-GB"/>
              </w:rPr>
            </w:pPr>
            <w:r w:rsidRPr="00D806F7">
              <w:rPr>
                <w:lang w:val="en-GB"/>
              </w:rPr>
              <w:t xml:space="preserve">Start in 2015 (if not already started in 2014) the implementation of coordinated with Romania </w:t>
            </w:r>
            <w:r w:rsidR="00477EBE">
              <w:rPr>
                <w:lang w:val="en-GB"/>
              </w:rPr>
              <w:t xml:space="preserve">a pilot </w:t>
            </w:r>
            <w:r w:rsidRPr="00D806F7">
              <w:rPr>
                <w:lang w:val="en-GB"/>
              </w:rPr>
              <w:t>monit</w:t>
            </w:r>
            <w:r w:rsidR="00477EBE">
              <w:rPr>
                <w:lang w:val="en-GB"/>
              </w:rPr>
              <w:t>oring programme on Descriptor D11</w:t>
            </w:r>
            <w:r w:rsidRPr="00D806F7">
              <w:rPr>
                <w:lang w:val="en-GB"/>
              </w:rPr>
              <w:t xml:space="preserve"> </w:t>
            </w:r>
            <w:r w:rsidR="00477EBE">
              <w:rPr>
                <w:lang w:val="en-GB"/>
              </w:rPr>
              <w:t>–</w:t>
            </w:r>
            <w:r w:rsidRPr="00D806F7">
              <w:rPr>
                <w:lang w:val="en-GB"/>
              </w:rPr>
              <w:t xml:space="preserve"> </w:t>
            </w:r>
            <w:r w:rsidR="00477EBE">
              <w:rPr>
                <w:lang w:val="en-GB"/>
              </w:rPr>
              <w:t>Underwater noise</w:t>
            </w:r>
            <w:r w:rsidRPr="00D806F7">
              <w:rPr>
                <w:lang w:val="en-GB"/>
              </w:rPr>
              <w:t xml:space="preserve">, to provide information on the distance from </w:t>
            </w:r>
            <w:smartTag w:uri="urn:schemas-microsoft-com:office:smarttags" w:element="stockticker">
              <w:r w:rsidRPr="00D806F7">
                <w:rPr>
                  <w:lang w:val="en-GB"/>
                </w:rPr>
                <w:t>GES</w:t>
              </w:r>
            </w:smartTag>
            <w:r w:rsidRPr="00D806F7">
              <w:rPr>
                <w:lang w:val="en-GB"/>
              </w:rPr>
              <w:t xml:space="preserve"> and update the </w:t>
            </w:r>
            <w:smartTag w:uri="urn:schemas-microsoft-com:office:smarttags" w:element="stockticker">
              <w:r w:rsidRPr="00D806F7">
                <w:rPr>
                  <w:lang w:val="en-GB"/>
                </w:rPr>
                <w:t>GES</w:t>
              </w:r>
            </w:smartTag>
            <w:r w:rsidRPr="00D806F7">
              <w:rPr>
                <w:lang w:val="en-GB"/>
              </w:rPr>
              <w:t xml:space="preserve"> definition, if necessary, for the next </w:t>
            </w:r>
            <w:r>
              <w:rPr>
                <w:lang w:val="en-GB"/>
              </w:rPr>
              <w:t xml:space="preserve">Article 8 reporting on assessment of environmental status and  Article </w:t>
            </w:r>
            <w:r w:rsidRPr="00D806F7">
              <w:rPr>
                <w:lang w:val="en-GB"/>
              </w:rPr>
              <w:t xml:space="preserve">9 reporting </w:t>
            </w:r>
            <w:r>
              <w:rPr>
                <w:lang w:val="en-GB"/>
              </w:rPr>
              <w:t xml:space="preserve">on </w:t>
            </w:r>
            <w:smartTag w:uri="urn:schemas-microsoft-com:office:smarttags" w:element="stockticker">
              <w:r>
                <w:rPr>
                  <w:lang w:val="en-GB"/>
                </w:rPr>
                <w:t>GES</w:t>
              </w:r>
            </w:smartTag>
            <w:r>
              <w:rPr>
                <w:lang w:val="en-GB"/>
              </w:rPr>
              <w:t xml:space="preserve"> </w:t>
            </w:r>
            <w:r w:rsidRPr="00D806F7">
              <w:rPr>
                <w:lang w:val="en-GB"/>
              </w:rPr>
              <w:t>in 2018</w:t>
            </w:r>
            <w:r>
              <w:rPr>
                <w:lang w:val="en-GB"/>
              </w:rPr>
              <w:t>.</w:t>
            </w:r>
          </w:p>
          <w:p w:rsidR="008802E5" w:rsidRDefault="008802E5" w:rsidP="008802E5">
            <w:pPr>
              <w:pStyle w:val="BodyText"/>
              <w:rPr>
                <w:lang w:val="en-GB"/>
              </w:rPr>
            </w:pPr>
            <w:r>
              <w:rPr>
                <w:b/>
                <w:lang w:val="en-GB"/>
              </w:rPr>
              <w:t>Bulgaria and Romania should r</w:t>
            </w:r>
            <w:r w:rsidRPr="00D806F7">
              <w:rPr>
                <w:b/>
                <w:lang w:val="en-GB"/>
              </w:rPr>
              <w:t>evise and further develop together</w:t>
            </w:r>
            <w:r w:rsidRPr="00D806F7">
              <w:rPr>
                <w:lang w:val="en-GB"/>
              </w:rPr>
              <w:t xml:space="preserve"> coherent </w:t>
            </w:r>
            <w:smartTag w:uri="urn:schemas-microsoft-com:office:smarttags" w:element="stockticker">
              <w:r w:rsidRPr="00D806F7">
                <w:rPr>
                  <w:lang w:val="en-GB"/>
                </w:rPr>
                <w:t>GES</w:t>
              </w:r>
            </w:smartTag>
            <w:r w:rsidRPr="00D806F7">
              <w:rPr>
                <w:lang w:val="en-GB"/>
              </w:rPr>
              <w:t xml:space="preserve"> definitions and assessment m</w:t>
            </w:r>
            <w:r>
              <w:rPr>
                <w:lang w:val="en-GB"/>
              </w:rPr>
              <w:t xml:space="preserve">ethods for their marine waters, </w:t>
            </w:r>
            <w:r w:rsidRPr="00D806F7">
              <w:rPr>
                <w:lang w:val="en-GB"/>
              </w:rPr>
              <w:t>taking into account the assessment and the recommendations of the Commission</w:t>
            </w:r>
            <w:r w:rsidR="003343A1">
              <w:rPr>
                <w:lang w:val="en-GB"/>
              </w:rPr>
              <w:t>, as much as possible, in 2014.</w:t>
            </w:r>
          </w:p>
          <w:p w:rsidR="008467B3" w:rsidRPr="00D806F7" w:rsidRDefault="003B240F" w:rsidP="008802E5">
            <w:pPr>
              <w:pStyle w:val="BodyText"/>
              <w:rPr>
                <w:lang w:val="en-GB"/>
              </w:rPr>
            </w:pPr>
            <w:r w:rsidRPr="003B240F">
              <w:rPr>
                <w:b/>
                <w:lang w:val="en-GB"/>
              </w:rPr>
              <w:t xml:space="preserve">Creating a </w:t>
            </w:r>
            <w:r>
              <w:rPr>
                <w:b/>
                <w:lang w:val="en-GB"/>
              </w:rPr>
              <w:t>noise</w:t>
            </w:r>
            <w:r w:rsidRPr="003B240F">
              <w:rPr>
                <w:b/>
                <w:lang w:val="en-GB"/>
              </w:rPr>
              <w:t xml:space="preserve"> register</w:t>
            </w:r>
            <w:r>
              <w:rPr>
                <w:lang w:val="en-GB"/>
              </w:rPr>
              <w:t>. Passing a national regulation requiring the maritime industry to record impulsive sounds and provide those data. The Bulgarian competent authorities</w:t>
            </w:r>
            <w:r w:rsidR="008467B3">
              <w:rPr>
                <w:lang w:val="en-GB"/>
              </w:rPr>
              <w:t xml:space="preserve"> </w:t>
            </w:r>
            <w:r>
              <w:rPr>
                <w:lang w:val="en-GB"/>
              </w:rPr>
              <w:t xml:space="preserve">will create a noise register for recording </w:t>
            </w:r>
            <w:r w:rsidR="008467B3">
              <w:rPr>
                <w:lang w:val="en-GB"/>
              </w:rPr>
              <w:t>present and future under water noise levels for information on GES on Descriptor 11, indicator 11.1.1.</w:t>
            </w:r>
          </w:p>
          <w:p w:rsidR="008802E5" w:rsidRPr="00D806F7" w:rsidRDefault="008802E5" w:rsidP="008802E5">
            <w:pPr>
              <w:pStyle w:val="BodyText"/>
              <w:rPr>
                <w:lang w:val="en-GB"/>
              </w:rPr>
            </w:pPr>
            <w:r>
              <w:rPr>
                <w:b/>
                <w:lang w:val="en-GB"/>
              </w:rPr>
              <w:t>Bulgaria and Romania should r</w:t>
            </w:r>
            <w:r w:rsidRPr="00D806F7">
              <w:rPr>
                <w:b/>
                <w:lang w:val="en-GB"/>
              </w:rPr>
              <w:t>evise and further develop together coherent targets</w:t>
            </w:r>
            <w:r w:rsidRPr="00D806F7">
              <w:rPr>
                <w:lang w:val="en-GB"/>
              </w:rPr>
              <w:t xml:space="preserve"> based on agreed, if not harmonized, indicators for the</w:t>
            </w:r>
            <w:r>
              <w:rPr>
                <w:lang w:val="en-GB"/>
              </w:rPr>
              <w:t xml:space="preserve">ir marine waters, </w:t>
            </w:r>
            <w:r w:rsidRPr="00D806F7">
              <w:rPr>
                <w:lang w:val="en-GB"/>
              </w:rPr>
              <w:t>taking into account the assessment and the recommendations of the Commission, as much as possible, in 2014.</w:t>
            </w:r>
          </w:p>
          <w:p w:rsidR="00477EBE" w:rsidRPr="00D806F7" w:rsidRDefault="008802E5" w:rsidP="008802E5">
            <w:pPr>
              <w:pStyle w:val="BodyText"/>
              <w:rPr>
                <w:lang w:val="en-GB"/>
              </w:rPr>
            </w:pPr>
            <w:r>
              <w:rPr>
                <w:b/>
                <w:lang w:val="en-GB"/>
              </w:rPr>
              <w:t>Bulgaria and Romania should d</w:t>
            </w:r>
            <w:r w:rsidRPr="00D806F7">
              <w:rPr>
                <w:b/>
                <w:lang w:val="en-GB"/>
              </w:rPr>
              <w:t>evelop together agreed indicators</w:t>
            </w:r>
            <w:r w:rsidRPr="00D806F7">
              <w:rPr>
                <w:lang w:val="en-GB"/>
              </w:rPr>
              <w:t xml:space="preserve"> (based on common parameters) and/or </w:t>
            </w:r>
            <w:r w:rsidRPr="00D806F7">
              <w:rPr>
                <w:b/>
                <w:lang w:val="en-GB"/>
              </w:rPr>
              <w:t>harmonised indicators</w:t>
            </w:r>
            <w:r w:rsidRPr="00D806F7">
              <w:rPr>
                <w:lang w:val="en-GB"/>
              </w:rPr>
              <w:t xml:space="preserve"> (based on common parameters and common methods) for the</w:t>
            </w:r>
            <w:r>
              <w:rPr>
                <w:lang w:val="en-GB"/>
              </w:rPr>
              <w:t xml:space="preserve">ir marine waters, </w:t>
            </w:r>
            <w:r w:rsidRPr="00D806F7">
              <w:rPr>
                <w:lang w:val="en-GB"/>
              </w:rPr>
              <w:t xml:space="preserve"> taking into account the assessment and the recommendations of the Commission, as much as possible, in 2014.</w:t>
            </w:r>
          </w:p>
          <w:p w:rsidR="008802E5" w:rsidRPr="00D806F7" w:rsidRDefault="008802E5" w:rsidP="008802E5">
            <w:pPr>
              <w:pStyle w:val="BodyText"/>
              <w:rPr>
                <w:lang w:val="en-GB"/>
              </w:rPr>
            </w:pPr>
            <w:r w:rsidRPr="00D806F7">
              <w:rPr>
                <w:b/>
                <w:lang w:val="en-GB"/>
              </w:rPr>
              <w:t>Using consistent sampling and assessment methodologies across Member States (</w:t>
            </w:r>
            <w:smartTag w:uri="urn:schemas-microsoft-com:office:smarttags" w:element="country-region">
              <w:smartTag w:uri="urn:schemas-microsoft-com:office:smarttags" w:element="place">
                <w:r w:rsidRPr="00D806F7">
                  <w:rPr>
                    <w:b/>
                    <w:lang w:val="en-GB"/>
                  </w:rPr>
                  <w:t>Bulgaria</w:t>
                </w:r>
              </w:smartTag>
            </w:smartTag>
            <w:r w:rsidRPr="00D806F7">
              <w:rPr>
                <w:b/>
                <w:lang w:val="en-GB"/>
              </w:rPr>
              <w:t xml:space="preserve"> and </w:t>
            </w:r>
            <w:smartTag w:uri="urn:schemas-microsoft-com:office:smarttags" w:element="country-region">
              <w:smartTag w:uri="urn:schemas-microsoft-com:office:smarttags" w:element="place">
                <w:r w:rsidRPr="00D806F7">
                  <w:rPr>
                    <w:b/>
                    <w:lang w:val="en-GB"/>
                  </w:rPr>
                  <w:t>Romania</w:t>
                </w:r>
              </w:smartTag>
            </w:smartTag>
            <w:r w:rsidRPr="00D806F7">
              <w:rPr>
                <w:b/>
                <w:lang w:val="en-GB"/>
              </w:rPr>
              <w:t>)</w:t>
            </w:r>
            <w:r w:rsidRPr="00D806F7">
              <w:rPr>
                <w:lang w:val="en-GB"/>
              </w:rPr>
              <w:t>.</w:t>
            </w:r>
          </w:p>
          <w:p w:rsidR="008802E5" w:rsidRPr="008802E5" w:rsidRDefault="008802E5" w:rsidP="008802E5">
            <w:pPr>
              <w:pStyle w:val="BodyText"/>
              <w:rPr>
                <w:lang w:val="en-GB"/>
              </w:rPr>
            </w:pPr>
            <w:r w:rsidRPr="00D806F7">
              <w:rPr>
                <w:b/>
                <w:lang w:val="en-GB"/>
              </w:rPr>
              <w:t>Take advantage in 2015 (if not already taken in 2014) of the available co-funding opportunities (</w:t>
            </w:r>
            <w:smartTag w:uri="urn:schemas-microsoft-com:office:smarttags" w:element="stockticker">
              <w:r w:rsidRPr="00D806F7">
                <w:rPr>
                  <w:b/>
                  <w:lang w:val="en-GB"/>
                </w:rPr>
                <w:t>LIFE</w:t>
              </w:r>
            </w:smartTag>
            <w:r w:rsidRPr="00D806F7">
              <w:rPr>
                <w:b/>
                <w:lang w:val="en-GB"/>
              </w:rPr>
              <w:t>, Horizon 2020, EMFF) and/or International Financial Institutions (European Bank for Reconstruction and Development (EBRD), European Investment Bank (EIB), The World bank (WB)), if necessary to fulfil the requirements of the MSFD</w:t>
            </w:r>
            <w:r w:rsidRPr="00D806F7">
              <w:rPr>
                <w:lang w:val="en-GB"/>
              </w:rPr>
              <w:t xml:space="preserve">. Spatial scope and the monitoring requirements pose significant burden to the national budgets of all the EU countries. Therefore, both </w:t>
            </w:r>
            <w:smartTag w:uri="urn:schemas-microsoft-com:office:smarttags" w:element="country-region">
              <w:smartTag w:uri="urn:schemas-microsoft-com:office:smarttags" w:element="place">
                <w:r w:rsidRPr="00D806F7">
                  <w:rPr>
                    <w:lang w:val="en-GB"/>
                  </w:rPr>
                  <w:t>Bulgaria</w:t>
                </w:r>
              </w:smartTag>
            </w:smartTag>
            <w:r w:rsidRPr="00D806F7">
              <w:rPr>
                <w:lang w:val="en-GB"/>
              </w:rPr>
              <w:t xml:space="preserve"> and </w:t>
            </w:r>
            <w:smartTag w:uri="urn:schemas-microsoft-com:office:smarttags" w:element="country-region">
              <w:smartTag w:uri="urn:schemas-microsoft-com:office:smarttags" w:element="place">
                <w:r w:rsidRPr="00D806F7">
                  <w:rPr>
                    <w:lang w:val="en-GB"/>
                  </w:rPr>
                  <w:t>Romania</w:t>
                </w:r>
              </w:smartTag>
            </w:smartTag>
            <w:r w:rsidRPr="00D806F7">
              <w:rPr>
                <w:lang w:val="en-GB"/>
              </w:rPr>
              <w:t xml:space="preserve"> should advantage of the relevant EU funds to support the implementation of the MSFD.</w:t>
            </w:r>
          </w:p>
        </w:tc>
        <w:tc>
          <w:tcPr>
            <w:tcW w:w="5605" w:type="dxa"/>
          </w:tcPr>
          <w:p w:rsidR="007A4015" w:rsidRDefault="00A9184B" w:rsidP="009D64C3">
            <w:pPr>
              <w:pStyle w:val="BodyText"/>
              <w:rPr>
                <w:color w:val="FF0000"/>
                <w:lang w:val="en-GB"/>
              </w:rPr>
            </w:pPr>
            <w:r>
              <w:rPr>
                <w:color w:val="FF0000"/>
                <w:lang w:val="en-GB"/>
              </w:rPr>
              <w:t>Free text or URL link to relevant information (5h)</w:t>
            </w:r>
          </w:p>
        </w:tc>
      </w:tr>
      <w:tr w:rsidR="00A9184B" w:rsidTr="009B6A62">
        <w:tc>
          <w:tcPr>
            <w:tcW w:w="2660" w:type="dxa"/>
          </w:tcPr>
          <w:p w:rsidR="00A9184B"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4</w:t>
            </w:r>
            <w:r>
              <w:rPr>
                <w:color w:val="4F81BD" w:themeColor="accent1"/>
                <w:lang w:val="en-GB"/>
              </w:rPr>
              <w:t xml:space="preserve"> Gaps: Target information </w:t>
            </w:r>
          </w:p>
        </w:tc>
        <w:tc>
          <w:tcPr>
            <w:tcW w:w="5670" w:type="dxa"/>
          </w:tcPr>
          <w:p w:rsidR="00A9184B" w:rsidRDefault="00A9184B" w:rsidP="00A9184B">
            <w:pPr>
              <w:pStyle w:val="BodyText"/>
              <w:rPr>
                <w:i/>
                <w:lang w:val="en-GB"/>
              </w:rPr>
            </w:pPr>
            <w:r>
              <w:rPr>
                <w:i/>
                <w:lang w:val="en-GB"/>
              </w:rPr>
              <w:t>If not yet adequate for data and information needs to assess targets, describe when the programme will be considered fully adequate</w:t>
            </w:r>
          </w:p>
        </w:tc>
        <w:tc>
          <w:tcPr>
            <w:tcW w:w="5605" w:type="dxa"/>
          </w:tcPr>
          <w:p w:rsidR="00A9184B" w:rsidRDefault="00A9184B" w:rsidP="00A9184B">
            <w:pPr>
              <w:pStyle w:val="BodyText"/>
              <w:rPr>
                <w:color w:val="FF0000"/>
                <w:lang w:val="en-GB"/>
              </w:rPr>
            </w:pPr>
            <w:r>
              <w:rPr>
                <w:color w:val="FF0000"/>
                <w:lang w:val="en-GB"/>
              </w:rPr>
              <w:t>Select when the programme is expected to be a</w:t>
            </w:r>
            <w:r w:rsidRPr="006A0DFD">
              <w:rPr>
                <w:color w:val="FF0000"/>
                <w:lang w:val="en-GB"/>
              </w:rPr>
              <w:t>dequate</w:t>
            </w:r>
            <w:r>
              <w:rPr>
                <w:color w:val="FF0000"/>
                <w:lang w:val="en-GB"/>
              </w:rPr>
              <w:t>: I</w:t>
            </w:r>
            <w:r w:rsidRPr="006A0DFD">
              <w:rPr>
                <w:color w:val="FF0000"/>
                <w:lang w:val="en-GB"/>
              </w:rPr>
              <w:t>n 2014; in time for next assessment in 2018; in time for updating of monitoring programme in 2020; later than 2020</w:t>
            </w:r>
            <w:r>
              <w:rPr>
                <w:color w:val="FF0000"/>
                <w:lang w:val="en-GB"/>
              </w:rPr>
              <w:t xml:space="preserve"> (6e)</w:t>
            </w:r>
          </w:p>
        </w:tc>
      </w:tr>
      <w:tr w:rsidR="00A9184B" w:rsidTr="009B6A62">
        <w:tc>
          <w:tcPr>
            <w:tcW w:w="2660" w:type="dxa"/>
          </w:tcPr>
          <w:p w:rsidR="00A9184B" w:rsidRDefault="00A9184B" w:rsidP="00012D73">
            <w:pPr>
              <w:pStyle w:val="BodyText"/>
              <w:rPr>
                <w:color w:val="4F81BD" w:themeColor="accent1"/>
                <w:lang w:val="en-GB"/>
              </w:rPr>
            </w:pPr>
            <w:r>
              <w:rPr>
                <w:color w:val="4F81BD" w:themeColor="accent1"/>
                <w:lang w:val="en-GB"/>
              </w:rPr>
              <w:t>6.</w:t>
            </w:r>
            <w:r w:rsidR="00012D73">
              <w:rPr>
                <w:color w:val="4F81BD" w:themeColor="accent1"/>
                <w:lang w:val="en-GB"/>
              </w:rPr>
              <w:t>5</w:t>
            </w:r>
            <w:r>
              <w:rPr>
                <w:color w:val="4F81BD" w:themeColor="accent1"/>
                <w:lang w:val="en-GB"/>
              </w:rPr>
              <w:t xml:space="preserve"> Plans: Plans for </w:t>
            </w:r>
            <w:r w:rsidR="00012D73">
              <w:rPr>
                <w:color w:val="4F81BD" w:themeColor="accent1"/>
                <w:lang w:val="en-GB"/>
              </w:rPr>
              <w:t>information on targets</w:t>
            </w:r>
          </w:p>
        </w:tc>
        <w:tc>
          <w:tcPr>
            <w:tcW w:w="5670" w:type="dxa"/>
          </w:tcPr>
          <w:p w:rsidR="00A9184B" w:rsidRDefault="00A9184B" w:rsidP="00012D73">
            <w:pPr>
              <w:pStyle w:val="BodyText"/>
              <w:rPr>
                <w:i/>
                <w:lang w:val="en-GB"/>
              </w:rPr>
            </w:pPr>
            <w:r>
              <w:rPr>
                <w:i/>
                <w:lang w:val="en-GB"/>
              </w:rPr>
              <w:t>If the programme is not considered fully adequate for data and information needs to assess targets, describe what plans are in place to make it fully adequate (</w:t>
            </w:r>
            <w:r w:rsidR="00EE7362">
              <w:rPr>
                <w:i/>
                <w:lang w:val="en-GB"/>
              </w:rPr>
              <w:t>e.g.</w:t>
            </w:r>
            <w:r>
              <w:rPr>
                <w:i/>
                <w:lang w:val="en-GB"/>
              </w:rPr>
              <w:t xml:space="preserve"> to fill gaps in data methods or capacity)</w:t>
            </w:r>
            <w:r w:rsidR="00012D73">
              <w:rPr>
                <w:i/>
                <w:lang w:val="en-GB"/>
              </w:rPr>
              <w:t>. Describe timeframe, priorities and obstacles.</w:t>
            </w:r>
          </w:p>
          <w:p w:rsidR="00E559B2" w:rsidRDefault="00E559B2" w:rsidP="00E559B2">
            <w:pPr>
              <w:pStyle w:val="BodyText"/>
              <w:rPr>
                <w:lang w:val="en-GB"/>
              </w:rPr>
            </w:pPr>
            <w:r w:rsidRPr="00D806F7">
              <w:rPr>
                <w:lang w:val="en-GB"/>
              </w:rPr>
              <w:t>Start in 2015 (if not already started in 2014) the implementation of coordinated with Romania monitoring programme on Descriptor D</w:t>
            </w:r>
            <w:r w:rsidR="00F0604B">
              <w:rPr>
                <w:lang w:val="en-GB"/>
              </w:rPr>
              <w:t xml:space="preserve">11 </w:t>
            </w:r>
            <w:r w:rsidRPr="00D806F7">
              <w:rPr>
                <w:lang w:val="en-GB"/>
              </w:rPr>
              <w:t xml:space="preserve">Hydrography, to provide information on the </w:t>
            </w:r>
            <w:smartTag w:uri="urn:schemas-microsoft-com:office:smarttags" w:element="stockticker">
              <w:r w:rsidRPr="00D806F7">
                <w:rPr>
                  <w:lang w:val="en-GB"/>
                </w:rPr>
                <w:t>GES</w:t>
              </w:r>
            </w:smartTag>
            <w:r w:rsidRPr="00D806F7">
              <w:rPr>
                <w:lang w:val="en-GB"/>
              </w:rPr>
              <w:t xml:space="preserve"> targets and update the targets, if necessary, for the next </w:t>
            </w:r>
            <w:smartTag w:uri="urn:schemas-microsoft-com:office:smarttags" w:element="stockticker">
              <w:r w:rsidRPr="00D806F7">
                <w:rPr>
                  <w:lang w:val="en-GB"/>
                </w:rPr>
                <w:t>GES</w:t>
              </w:r>
            </w:smartTag>
            <w:r w:rsidRPr="00D806F7">
              <w:rPr>
                <w:lang w:val="en-GB"/>
              </w:rPr>
              <w:t xml:space="preserve"> Article 9 reporting in 2018,</w:t>
            </w:r>
          </w:p>
          <w:p w:rsidR="00E559B2" w:rsidRDefault="00E559B2" w:rsidP="00E559B2">
            <w:pPr>
              <w:pStyle w:val="BodyText"/>
              <w:rPr>
                <w:lang w:val="en-GB"/>
              </w:rPr>
            </w:pPr>
            <w:r>
              <w:rPr>
                <w:b/>
                <w:lang w:val="en-GB"/>
              </w:rPr>
              <w:t>Bulgaria and Romania should r</w:t>
            </w:r>
            <w:r w:rsidRPr="00D806F7">
              <w:rPr>
                <w:b/>
                <w:lang w:val="en-GB"/>
              </w:rPr>
              <w:t>evise and further develop together coherent targets</w:t>
            </w:r>
            <w:r w:rsidRPr="00D806F7">
              <w:rPr>
                <w:lang w:val="en-GB"/>
              </w:rPr>
              <w:t xml:space="preserve"> based on agreed, if not harmonized, indicators for the</w:t>
            </w:r>
            <w:r>
              <w:rPr>
                <w:lang w:val="en-GB"/>
              </w:rPr>
              <w:t>ir</w:t>
            </w:r>
            <w:r w:rsidRPr="00D806F7">
              <w:rPr>
                <w:lang w:val="en-GB"/>
              </w:rPr>
              <w:t xml:space="preserve"> marine waters</w:t>
            </w:r>
            <w:r>
              <w:rPr>
                <w:lang w:val="en-GB"/>
              </w:rPr>
              <w:t xml:space="preserve">, </w:t>
            </w:r>
            <w:r w:rsidRPr="00D806F7">
              <w:rPr>
                <w:lang w:val="en-GB"/>
              </w:rPr>
              <w:t xml:space="preserve"> taking into account the assessment and the recommendations of the Commission, as much as possible, in 2014.</w:t>
            </w:r>
          </w:p>
          <w:p w:rsidR="00010198" w:rsidRPr="00E559B2" w:rsidRDefault="003B240F" w:rsidP="00E559B2">
            <w:pPr>
              <w:pStyle w:val="BodyText"/>
              <w:rPr>
                <w:lang w:val="en-GB"/>
              </w:rPr>
            </w:pPr>
            <w:r w:rsidRPr="003B240F">
              <w:rPr>
                <w:b/>
                <w:lang w:val="en-GB"/>
              </w:rPr>
              <w:t xml:space="preserve">Creating a </w:t>
            </w:r>
            <w:r>
              <w:rPr>
                <w:b/>
                <w:lang w:val="en-GB"/>
              </w:rPr>
              <w:t>noise</w:t>
            </w:r>
            <w:r w:rsidRPr="003B240F">
              <w:rPr>
                <w:b/>
                <w:lang w:val="en-GB"/>
              </w:rPr>
              <w:t xml:space="preserve"> register</w:t>
            </w:r>
            <w:r>
              <w:rPr>
                <w:lang w:val="en-GB"/>
              </w:rPr>
              <w:t xml:space="preserve">. Passing a national regulation requiring the maritime industry to record impulsive sounds and provide those data. The Bulgarian competent authorities will create a noise register for recording present and future under water noise levels for information on </w:t>
            </w:r>
            <w:r w:rsidR="00302334">
              <w:rPr>
                <w:lang w:val="en-GB"/>
              </w:rPr>
              <w:t xml:space="preserve">GES </w:t>
            </w:r>
            <w:r>
              <w:rPr>
                <w:lang w:val="en-GB"/>
              </w:rPr>
              <w:t>targets</w:t>
            </w:r>
            <w:r>
              <w:rPr>
                <w:lang w:val="en-GB"/>
              </w:rPr>
              <w:t xml:space="preserve"> on Descriptor 11, indicator 11.1.1.</w:t>
            </w:r>
          </w:p>
        </w:tc>
        <w:tc>
          <w:tcPr>
            <w:tcW w:w="5605" w:type="dxa"/>
          </w:tcPr>
          <w:p w:rsidR="00A9184B" w:rsidRDefault="00012D73" w:rsidP="00012D73">
            <w:pPr>
              <w:pStyle w:val="BodyText"/>
              <w:rPr>
                <w:color w:val="FF0000"/>
                <w:lang w:val="en-GB"/>
              </w:rPr>
            </w:pPr>
            <w:r>
              <w:rPr>
                <w:color w:val="FF0000"/>
                <w:lang w:val="en-GB"/>
              </w:rPr>
              <w:t>Free text or URL link to relevant information (6f)</w:t>
            </w:r>
          </w:p>
        </w:tc>
      </w:tr>
      <w:tr w:rsidR="00A9184B" w:rsidTr="009B6A62">
        <w:tc>
          <w:tcPr>
            <w:tcW w:w="2660" w:type="dxa"/>
          </w:tcPr>
          <w:p w:rsidR="00A9184B" w:rsidRDefault="00012D73" w:rsidP="00012D73">
            <w:pPr>
              <w:pStyle w:val="BodyText"/>
              <w:rPr>
                <w:color w:val="4F81BD" w:themeColor="accent1"/>
                <w:lang w:val="en-GB"/>
              </w:rPr>
            </w:pPr>
            <w:r>
              <w:rPr>
                <w:color w:val="4F81BD" w:themeColor="accent1"/>
                <w:lang w:val="en-GB"/>
              </w:rPr>
              <w:t>6.5 Plans: Plans for information on measures</w:t>
            </w:r>
          </w:p>
        </w:tc>
        <w:tc>
          <w:tcPr>
            <w:tcW w:w="5670" w:type="dxa"/>
          </w:tcPr>
          <w:p w:rsidR="00A9184B" w:rsidRDefault="00012D73" w:rsidP="00012D73">
            <w:pPr>
              <w:pStyle w:val="BodyText"/>
              <w:rPr>
                <w:i/>
                <w:lang w:val="en-GB"/>
              </w:rPr>
            </w:pPr>
            <w:r>
              <w:rPr>
                <w:i/>
                <w:lang w:val="en-GB"/>
              </w:rPr>
              <w:t>If relevant: If the programme is not considered fully adequate for data and information needs to assess measures describe what plans are in place to make it fully adequate (</w:t>
            </w:r>
            <w:r w:rsidR="00EE7362">
              <w:rPr>
                <w:i/>
                <w:lang w:val="en-GB"/>
              </w:rPr>
              <w:t>e.g.</w:t>
            </w:r>
            <w:r>
              <w:rPr>
                <w:i/>
                <w:lang w:val="en-GB"/>
              </w:rPr>
              <w:t xml:space="preserve"> to fill gaps in data methods or capacity). Describe timeframe, priorities and obstacles.</w:t>
            </w:r>
          </w:p>
        </w:tc>
        <w:tc>
          <w:tcPr>
            <w:tcW w:w="5605" w:type="dxa"/>
          </w:tcPr>
          <w:p w:rsidR="00A9184B" w:rsidRDefault="00012D73" w:rsidP="00012D73">
            <w:pPr>
              <w:pStyle w:val="BodyText"/>
              <w:rPr>
                <w:color w:val="FF0000"/>
                <w:lang w:val="en-GB"/>
              </w:rPr>
            </w:pPr>
            <w:r>
              <w:rPr>
                <w:color w:val="FF0000"/>
                <w:lang w:val="en-GB"/>
              </w:rPr>
              <w:t>Free text or URL link to relevant information (7f)</w:t>
            </w:r>
          </w:p>
        </w:tc>
      </w:tr>
    </w:tbl>
    <w:p w:rsidR="00211CBF" w:rsidRDefault="00211CBF">
      <w:pPr>
        <w:pStyle w:val="BodyText"/>
        <w:rPr>
          <w:lang w:val="en-GB"/>
        </w:rPr>
      </w:pPr>
    </w:p>
    <w:sectPr w:rsidR="00211CBF" w:rsidSect="00AB115C">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803D6"/>
    <w:multiLevelType w:val="hybridMultilevel"/>
    <w:tmpl w:val="BF0A82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C"/>
    <w:rsid w:val="00010198"/>
    <w:rsid w:val="00010910"/>
    <w:rsid w:val="00012D73"/>
    <w:rsid w:val="0002459C"/>
    <w:rsid w:val="00044781"/>
    <w:rsid w:val="000450B3"/>
    <w:rsid w:val="00052080"/>
    <w:rsid w:val="000708A6"/>
    <w:rsid w:val="000814C6"/>
    <w:rsid w:val="000B6562"/>
    <w:rsid w:val="00100928"/>
    <w:rsid w:val="001218F7"/>
    <w:rsid w:val="00121952"/>
    <w:rsid w:val="00151975"/>
    <w:rsid w:val="0015284F"/>
    <w:rsid w:val="001766C5"/>
    <w:rsid w:val="001A33D7"/>
    <w:rsid w:val="001F24D1"/>
    <w:rsid w:val="002052F5"/>
    <w:rsid w:val="00211CBF"/>
    <w:rsid w:val="00235272"/>
    <w:rsid w:val="00255857"/>
    <w:rsid w:val="00294A33"/>
    <w:rsid w:val="002B7781"/>
    <w:rsid w:val="002C57C9"/>
    <w:rsid w:val="0030084F"/>
    <w:rsid w:val="00302334"/>
    <w:rsid w:val="00303B27"/>
    <w:rsid w:val="003207BF"/>
    <w:rsid w:val="003343A1"/>
    <w:rsid w:val="003B02C3"/>
    <w:rsid w:val="003B0988"/>
    <w:rsid w:val="003B240F"/>
    <w:rsid w:val="003B262B"/>
    <w:rsid w:val="003B6803"/>
    <w:rsid w:val="003B6ECF"/>
    <w:rsid w:val="003D3062"/>
    <w:rsid w:val="003F0F47"/>
    <w:rsid w:val="004222FC"/>
    <w:rsid w:val="00444337"/>
    <w:rsid w:val="0044532A"/>
    <w:rsid w:val="004743C0"/>
    <w:rsid w:val="00477EBE"/>
    <w:rsid w:val="004D24C3"/>
    <w:rsid w:val="004E538A"/>
    <w:rsid w:val="005207E8"/>
    <w:rsid w:val="00523D76"/>
    <w:rsid w:val="0052466A"/>
    <w:rsid w:val="00534477"/>
    <w:rsid w:val="00545AD0"/>
    <w:rsid w:val="0056241D"/>
    <w:rsid w:val="00565AA3"/>
    <w:rsid w:val="005815B0"/>
    <w:rsid w:val="00587077"/>
    <w:rsid w:val="005C3220"/>
    <w:rsid w:val="005E6724"/>
    <w:rsid w:val="005F0290"/>
    <w:rsid w:val="005F3C4E"/>
    <w:rsid w:val="00611EE4"/>
    <w:rsid w:val="00616EEA"/>
    <w:rsid w:val="00624569"/>
    <w:rsid w:val="006570AE"/>
    <w:rsid w:val="00670E46"/>
    <w:rsid w:val="006A0DFD"/>
    <w:rsid w:val="006A6EA1"/>
    <w:rsid w:val="006A7F79"/>
    <w:rsid w:val="006D5571"/>
    <w:rsid w:val="006E53B9"/>
    <w:rsid w:val="006F53F2"/>
    <w:rsid w:val="00715935"/>
    <w:rsid w:val="00735629"/>
    <w:rsid w:val="007535A3"/>
    <w:rsid w:val="007851E1"/>
    <w:rsid w:val="007A4015"/>
    <w:rsid w:val="007B3241"/>
    <w:rsid w:val="007D4D60"/>
    <w:rsid w:val="007E27CE"/>
    <w:rsid w:val="007E733F"/>
    <w:rsid w:val="0080324F"/>
    <w:rsid w:val="00806834"/>
    <w:rsid w:val="0081025F"/>
    <w:rsid w:val="008262E2"/>
    <w:rsid w:val="0084413A"/>
    <w:rsid w:val="008467B3"/>
    <w:rsid w:val="008561F7"/>
    <w:rsid w:val="00873C0C"/>
    <w:rsid w:val="008761E3"/>
    <w:rsid w:val="008802E5"/>
    <w:rsid w:val="008B0A12"/>
    <w:rsid w:val="008C7581"/>
    <w:rsid w:val="008E180C"/>
    <w:rsid w:val="008F3318"/>
    <w:rsid w:val="008F5D4E"/>
    <w:rsid w:val="00905118"/>
    <w:rsid w:val="00907016"/>
    <w:rsid w:val="0092382D"/>
    <w:rsid w:val="00925AD2"/>
    <w:rsid w:val="009343BC"/>
    <w:rsid w:val="00935644"/>
    <w:rsid w:val="00975614"/>
    <w:rsid w:val="00982450"/>
    <w:rsid w:val="0098311C"/>
    <w:rsid w:val="009854FA"/>
    <w:rsid w:val="00993FAC"/>
    <w:rsid w:val="009B56AD"/>
    <w:rsid w:val="009B6A62"/>
    <w:rsid w:val="009C4226"/>
    <w:rsid w:val="009E1164"/>
    <w:rsid w:val="009E1EB9"/>
    <w:rsid w:val="00A27731"/>
    <w:rsid w:val="00A37DFD"/>
    <w:rsid w:val="00A468A5"/>
    <w:rsid w:val="00A71DFF"/>
    <w:rsid w:val="00A7483F"/>
    <w:rsid w:val="00A75E32"/>
    <w:rsid w:val="00A9184B"/>
    <w:rsid w:val="00A9219B"/>
    <w:rsid w:val="00A93B84"/>
    <w:rsid w:val="00A9429A"/>
    <w:rsid w:val="00AA7892"/>
    <w:rsid w:val="00AB1107"/>
    <w:rsid w:val="00AB115C"/>
    <w:rsid w:val="00AC5298"/>
    <w:rsid w:val="00B10496"/>
    <w:rsid w:val="00B31936"/>
    <w:rsid w:val="00B3390E"/>
    <w:rsid w:val="00B641D1"/>
    <w:rsid w:val="00B770D1"/>
    <w:rsid w:val="00B94AD1"/>
    <w:rsid w:val="00BC054D"/>
    <w:rsid w:val="00BE1EF1"/>
    <w:rsid w:val="00BE58FF"/>
    <w:rsid w:val="00BF3F4C"/>
    <w:rsid w:val="00BF5F20"/>
    <w:rsid w:val="00C002E8"/>
    <w:rsid w:val="00C002FB"/>
    <w:rsid w:val="00C1427E"/>
    <w:rsid w:val="00C27AAC"/>
    <w:rsid w:val="00C53F41"/>
    <w:rsid w:val="00C64D64"/>
    <w:rsid w:val="00C70AEC"/>
    <w:rsid w:val="00C833FC"/>
    <w:rsid w:val="00CA1A18"/>
    <w:rsid w:val="00CB06D6"/>
    <w:rsid w:val="00CD45D9"/>
    <w:rsid w:val="00CF64A9"/>
    <w:rsid w:val="00D10710"/>
    <w:rsid w:val="00D2016F"/>
    <w:rsid w:val="00D20742"/>
    <w:rsid w:val="00D358DD"/>
    <w:rsid w:val="00D5763C"/>
    <w:rsid w:val="00D62B0D"/>
    <w:rsid w:val="00D83EEE"/>
    <w:rsid w:val="00D878DF"/>
    <w:rsid w:val="00DC1B10"/>
    <w:rsid w:val="00DC35C4"/>
    <w:rsid w:val="00DC6467"/>
    <w:rsid w:val="00DD0BD7"/>
    <w:rsid w:val="00DE5427"/>
    <w:rsid w:val="00DF4FFB"/>
    <w:rsid w:val="00E1099A"/>
    <w:rsid w:val="00E11F74"/>
    <w:rsid w:val="00E15A44"/>
    <w:rsid w:val="00E250EB"/>
    <w:rsid w:val="00E37C58"/>
    <w:rsid w:val="00E559B2"/>
    <w:rsid w:val="00E76AE0"/>
    <w:rsid w:val="00E809CC"/>
    <w:rsid w:val="00E909B6"/>
    <w:rsid w:val="00EA3221"/>
    <w:rsid w:val="00EB6771"/>
    <w:rsid w:val="00EB7E8B"/>
    <w:rsid w:val="00EE7362"/>
    <w:rsid w:val="00EF085B"/>
    <w:rsid w:val="00F0604B"/>
    <w:rsid w:val="00F25CDF"/>
    <w:rsid w:val="00F32F27"/>
    <w:rsid w:val="00F40E69"/>
    <w:rsid w:val="00F43788"/>
    <w:rsid w:val="00F56114"/>
    <w:rsid w:val="00F774E3"/>
    <w:rsid w:val="00FA0976"/>
    <w:rsid w:val="00FA5BD2"/>
    <w:rsid w:val="00FC5A79"/>
    <w:rsid w:val="00FD5F6D"/>
    <w:rsid w:val="00FE1058"/>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8561F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TableGrid">
    <w:name w:val="Table Grid"/>
    <w:basedOn w:val="TableNormal"/>
    <w:uiPriority w:val="59"/>
    <w:rsid w:val="0093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character" w:customStyle="1" w:styleId="Heading8Char">
    <w:name w:val="Heading 8 Char"/>
    <w:basedOn w:val="DefaultParagraphFont"/>
    <w:link w:val="Heading8"/>
    <w:uiPriority w:val="9"/>
    <w:rsid w:val="008561F7"/>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basedOn w:val="CommentTextChar"/>
    <w:link w:val="CommentSubject"/>
    <w:uiPriority w:val="99"/>
    <w:semiHidden/>
    <w:rsid w:val="00F25CDF"/>
    <w:rPr>
      <w:b/>
      <w:bCs/>
      <w:sz w:val="20"/>
      <w:szCs w:val="20"/>
    </w:rPr>
  </w:style>
  <w:style w:type="character" w:styleId="Hyperlink">
    <w:name w:val="Hyperlink"/>
    <w:basedOn w:val="DefaultParagraphFont"/>
    <w:uiPriority w:val="99"/>
    <w:unhideWhenUsed/>
    <w:rsid w:val="00DF4FFB"/>
    <w:rPr>
      <w:color w:val="0000FF" w:themeColor="hyperlink"/>
      <w:u w:val="single"/>
    </w:rPr>
  </w:style>
  <w:style w:type="paragraph" w:customStyle="1" w:styleId="Normal1">
    <w:name w:val="Normal1"/>
    <w:rsid w:val="00935644"/>
    <w:rPr>
      <w:rFonts w:ascii="Calibri" w:eastAsia="Times New Roman" w:hAnsi="Calibri" w:cs="Calibri"/>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unhideWhenUsed/>
    <w:qFormat/>
    <w:rsid w:val="008561F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TableGrid">
    <w:name w:val="Table Grid"/>
    <w:basedOn w:val="TableNormal"/>
    <w:uiPriority w:val="59"/>
    <w:rsid w:val="0093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character" w:customStyle="1" w:styleId="Heading8Char">
    <w:name w:val="Heading 8 Char"/>
    <w:basedOn w:val="DefaultParagraphFont"/>
    <w:link w:val="Heading8"/>
    <w:uiPriority w:val="9"/>
    <w:rsid w:val="008561F7"/>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25CDF"/>
    <w:rPr>
      <w:sz w:val="16"/>
      <w:szCs w:val="16"/>
    </w:rPr>
  </w:style>
  <w:style w:type="paragraph" w:styleId="CommentText">
    <w:name w:val="annotation text"/>
    <w:basedOn w:val="Normal"/>
    <w:link w:val="CommentTextChar"/>
    <w:uiPriority w:val="99"/>
    <w:semiHidden/>
    <w:unhideWhenUsed/>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sz w:val="20"/>
      <w:szCs w:val="20"/>
    </w:rPr>
  </w:style>
  <w:style w:type="paragraph" w:styleId="CommentSubject">
    <w:name w:val="annotation subject"/>
    <w:basedOn w:val="CommentText"/>
    <w:next w:val="CommentText"/>
    <w:link w:val="CommentSubjectChar"/>
    <w:uiPriority w:val="99"/>
    <w:semiHidden/>
    <w:unhideWhenUsed/>
    <w:rsid w:val="00F25CDF"/>
    <w:rPr>
      <w:b/>
      <w:bCs/>
    </w:rPr>
  </w:style>
  <w:style w:type="character" w:customStyle="1" w:styleId="CommentSubjectChar">
    <w:name w:val="Comment Subject Char"/>
    <w:basedOn w:val="CommentTextChar"/>
    <w:link w:val="CommentSubject"/>
    <w:uiPriority w:val="99"/>
    <w:semiHidden/>
    <w:rsid w:val="00F25CDF"/>
    <w:rPr>
      <w:b/>
      <w:bCs/>
      <w:sz w:val="20"/>
      <w:szCs w:val="20"/>
    </w:rPr>
  </w:style>
  <w:style w:type="character" w:styleId="Hyperlink">
    <w:name w:val="Hyperlink"/>
    <w:basedOn w:val="DefaultParagraphFont"/>
    <w:uiPriority w:val="99"/>
    <w:unhideWhenUsed/>
    <w:rsid w:val="00DF4FFB"/>
    <w:rPr>
      <w:color w:val="0000FF" w:themeColor="hyperlink"/>
      <w:u w:val="single"/>
    </w:rPr>
  </w:style>
  <w:style w:type="paragraph" w:customStyle="1" w:styleId="Normal1">
    <w:name w:val="Normal1"/>
    <w:rsid w:val="00935644"/>
    <w:rPr>
      <w:rFonts w:ascii="Calibri" w:eastAsia="Times New Roman"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2914">
      <w:bodyDiv w:val="1"/>
      <w:marLeft w:val="0"/>
      <w:marRight w:val="0"/>
      <w:marTop w:val="0"/>
      <w:marBottom w:val="0"/>
      <w:divBdr>
        <w:top w:val="none" w:sz="0" w:space="0" w:color="auto"/>
        <w:left w:val="none" w:sz="0" w:space="0" w:color="auto"/>
        <w:bottom w:val="none" w:sz="0" w:space="0" w:color="auto"/>
        <w:right w:val="none" w:sz="0" w:space="0" w:color="auto"/>
      </w:divBdr>
    </w:div>
    <w:div w:id="1381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oew.government.bg" TargetMode="External"/><Relationship Id="rId13" Type="http://schemas.openxmlformats.org/officeDocument/2006/relationships/hyperlink" Target="http://publications.jrc.ec.europa.eu/repository/handle/111111111/16069" TargetMode="External"/><Relationship Id="rId3" Type="http://schemas.openxmlformats.org/officeDocument/2006/relationships/styles" Target="styles.xml"/><Relationship Id="rId7" Type="http://schemas.openxmlformats.org/officeDocument/2006/relationships/hyperlink" Target="http://root-devel.ew.eea.europa.eu/ia2dec/knowledge_base/Frameworks/doc101182" TargetMode="External"/><Relationship Id="rId12" Type="http://schemas.openxmlformats.org/officeDocument/2006/relationships/hyperlink" Target="http://www.south-stream-offshore.com/media/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isproject.eu" TargetMode="External"/><Relationship Id="rId5" Type="http://schemas.openxmlformats.org/officeDocument/2006/relationships/settings" Target="settings.xml"/><Relationship Id="rId15" Type="http://schemas.openxmlformats.org/officeDocument/2006/relationships/hyperlink" Target="http://www.south-stream-offshore.com/media/documents/pdf/en/2013/11/ssttbv_tom-8-3_en_20131118.pdf" TargetMode="External"/><Relationship Id="rId10" Type="http://schemas.openxmlformats.org/officeDocument/2006/relationships/hyperlink" Target="http://www.io-bas.bg" TargetMode="External"/><Relationship Id="rId4" Type="http://schemas.microsoft.com/office/2007/relationships/stylesWithEffects" Target="stylesWithEffects.xml"/><Relationship Id="rId9" Type="http://schemas.openxmlformats.org/officeDocument/2006/relationships/hyperlink" Target="http://www.bsbd.org/" TargetMode="External"/><Relationship Id="rId14" Type="http://schemas.openxmlformats.org/officeDocument/2006/relationships/hyperlink" Target="http://publications.jrc.ec.europa.eu/repository/handle/111111111/2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722F-FA54-4987-AB6F-563AC42A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Raben-Levetzau</dc:creator>
  <cp:lastModifiedBy>Georgi Parlichev</cp:lastModifiedBy>
  <cp:revision>75</cp:revision>
  <cp:lastPrinted>2014-01-10T12:20:00Z</cp:lastPrinted>
  <dcterms:created xsi:type="dcterms:W3CDTF">2014-02-26T20:56:00Z</dcterms:created>
  <dcterms:modified xsi:type="dcterms:W3CDTF">2014-06-30T14:29:00Z</dcterms:modified>
</cp:coreProperties>
</file>