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8703"/>
        <w:gridCol w:w="4253"/>
      </w:tblGrid>
      <w:tr w:rsidR="007C5EF5" w:rsidRPr="00923524">
        <w:trPr>
          <w:trHeight w:val="322"/>
        </w:trPr>
        <w:tc>
          <w:tcPr>
            <w:tcW w:w="9747" w:type="dxa"/>
            <w:gridSpan w:val="2"/>
            <w:noWrap/>
          </w:tcPr>
          <w:p w:rsidR="007C5EF5" w:rsidRPr="00923524" w:rsidRDefault="007C5EF5" w:rsidP="00F42AD7">
            <w:pPr>
              <w:pStyle w:val="BodyText"/>
              <w:spacing w:after="0"/>
              <w:rPr>
                <w:b/>
                <w:bCs/>
                <w:lang w:val="en-GB"/>
              </w:rPr>
            </w:pPr>
            <w:r w:rsidRPr="00923524">
              <w:rPr>
                <w:b/>
                <w:bCs/>
                <w:lang w:val="en-GB"/>
              </w:rPr>
              <w:t xml:space="preserve">MONITORING </w:t>
            </w:r>
            <w:smartTag w:uri="urn:schemas-microsoft-com:office:smarttags" w:element="stockticker">
              <w:r w:rsidRPr="00923524">
                <w:rPr>
                  <w:b/>
                  <w:bCs/>
                  <w:lang w:val="en-GB"/>
                </w:rPr>
                <w:t>FACT</w:t>
              </w:r>
            </w:smartTag>
            <w:r w:rsidRPr="00923524">
              <w:rPr>
                <w:b/>
                <w:bCs/>
                <w:lang w:val="en-GB"/>
              </w:rPr>
              <w:t xml:space="preserve"> SHEET </w:t>
            </w:r>
          </w:p>
        </w:tc>
        <w:tc>
          <w:tcPr>
            <w:tcW w:w="4253" w:type="dxa"/>
            <w:vMerge w:val="restart"/>
          </w:tcPr>
          <w:p w:rsidR="007C5EF5" w:rsidRPr="00923524" w:rsidRDefault="007C5EF5" w:rsidP="00F42AD7">
            <w:pPr>
              <w:pStyle w:val="BodyText"/>
              <w:spacing w:after="0" w:line="240" w:lineRule="auto"/>
              <w:rPr>
                <w:b/>
                <w:bCs/>
                <w:lang w:val="en-GB"/>
              </w:rPr>
            </w:pPr>
          </w:p>
        </w:tc>
      </w:tr>
      <w:tr w:rsidR="007C5EF5" w:rsidRPr="00923524">
        <w:trPr>
          <w:trHeight w:val="276"/>
        </w:trPr>
        <w:tc>
          <w:tcPr>
            <w:tcW w:w="1044" w:type="dxa"/>
            <w:noWrap/>
          </w:tcPr>
          <w:p w:rsidR="007C5EF5" w:rsidRPr="00923524" w:rsidRDefault="007C5EF5" w:rsidP="00F42AD7">
            <w:pPr>
              <w:pStyle w:val="BodyText"/>
              <w:spacing w:after="0"/>
              <w:rPr>
                <w:lang w:val="en-GB"/>
              </w:rPr>
            </w:pPr>
          </w:p>
        </w:tc>
        <w:tc>
          <w:tcPr>
            <w:tcW w:w="8703" w:type="dxa"/>
            <w:noWrap/>
          </w:tcPr>
          <w:p w:rsidR="007C5EF5" w:rsidRPr="00923524" w:rsidRDefault="007C5EF5" w:rsidP="00F42AD7">
            <w:pPr>
              <w:pStyle w:val="BodyText"/>
              <w:spacing w:after="0"/>
              <w:rPr>
                <w:lang w:val="en-GB"/>
              </w:rPr>
            </w:pPr>
          </w:p>
        </w:tc>
        <w:tc>
          <w:tcPr>
            <w:tcW w:w="4253" w:type="dxa"/>
            <w:vMerge/>
          </w:tcPr>
          <w:p w:rsidR="007C5EF5" w:rsidRPr="00923524" w:rsidRDefault="007C5EF5" w:rsidP="00F42AD7">
            <w:pPr>
              <w:pStyle w:val="BodyText"/>
              <w:spacing w:after="0" w:line="240" w:lineRule="auto"/>
              <w:rPr>
                <w:lang w:val="en-GB"/>
              </w:rPr>
            </w:pPr>
          </w:p>
        </w:tc>
      </w:tr>
      <w:tr w:rsidR="007C5EF5" w:rsidRPr="00923524">
        <w:trPr>
          <w:trHeight w:val="276"/>
        </w:trPr>
        <w:tc>
          <w:tcPr>
            <w:tcW w:w="1044" w:type="dxa"/>
            <w:noWrap/>
          </w:tcPr>
          <w:p w:rsidR="007C5EF5" w:rsidRPr="00923524" w:rsidRDefault="007C5EF5" w:rsidP="00F42AD7">
            <w:pPr>
              <w:pStyle w:val="BodyText"/>
              <w:spacing w:after="0" w:line="240" w:lineRule="auto"/>
              <w:rPr>
                <w:b/>
                <w:bCs/>
                <w:lang w:val="en-GB"/>
              </w:rPr>
            </w:pPr>
          </w:p>
        </w:tc>
        <w:tc>
          <w:tcPr>
            <w:tcW w:w="8703" w:type="dxa"/>
            <w:noWrap/>
          </w:tcPr>
          <w:p w:rsidR="007C5EF5" w:rsidRPr="00923524" w:rsidRDefault="007C5EF5" w:rsidP="00F42AD7">
            <w:pPr>
              <w:pStyle w:val="BodyText"/>
              <w:spacing w:after="0" w:line="240" w:lineRule="auto"/>
              <w:rPr>
                <w:lang w:val="en-GB"/>
              </w:rPr>
            </w:pPr>
          </w:p>
        </w:tc>
        <w:tc>
          <w:tcPr>
            <w:tcW w:w="4253" w:type="dxa"/>
            <w:vMerge/>
          </w:tcPr>
          <w:p w:rsidR="007C5EF5" w:rsidRPr="00923524" w:rsidRDefault="007C5EF5" w:rsidP="00F42AD7">
            <w:pPr>
              <w:pStyle w:val="BodyText"/>
              <w:spacing w:after="0" w:line="240" w:lineRule="auto"/>
              <w:rPr>
                <w:lang w:val="en-GB"/>
              </w:rPr>
            </w:pPr>
          </w:p>
        </w:tc>
      </w:tr>
      <w:tr w:rsidR="007C5EF5" w:rsidRPr="00923524">
        <w:trPr>
          <w:trHeight w:val="245"/>
        </w:trPr>
        <w:tc>
          <w:tcPr>
            <w:tcW w:w="1044" w:type="dxa"/>
            <w:noWrap/>
          </w:tcPr>
          <w:p w:rsidR="007C5EF5" w:rsidRPr="00923524" w:rsidRDefault="007C5EF5" w:rsidP="00F42AD7">
            <w:pPr>
              <w:pStyle w:val="BodyText"/>
              <w:spacing w:after="0"/>
              <w:rPr>
                <w:lang w:val="en-GB"/>
              </w:rPr>
            </w:pPr>
            <w:r w:rsidRPr="00923524">
              <w:rPr>
                <w:lang w:val="en-GB"/>
              </w:rPr>
              <w:t>Country:</w:t>
            </w:r>
          </w:p>
        </w:tc>
        <w:tc>
          <w:tcPr>
            <w:tcW w:w="8703" w:type="dxa"/>
            <w:noWrap/>
          </w:tcPr>
          <w:p w:rsidR="007C5EF5" w:rsidRPr="00923524" w:rsidRDefault="007C5EF5" w:rsidP="00F42AD7">
            <w:pPr>
              <w:pStyle w:val="BodyText"/>
              <w:spacing w:after="0"/>
              <w:rPr>
                <w:i/>
                <w:iCs/>
                <w:lang w:val="en-GB"/>
              </w:rPr>
            </w:pPr>
            <w:r w:rsidRPr="00923524">
              <w:rPr>
                <w:i/>
                <w:iCs/>
                <w:lang w:val="en-GB"/>
              </w:rPr>
              <w:t>Bulgaria</w:t>
            </w:r>
          </w:p>
        </w:tc>
        <w:tc>
          <w:tcPr>
            <w:tcW w:w="4253" w:type="dxa"/>
            <w:vMerge/>
          </w:tcPr>
          <w:p w:rsidR="007C5EF5" w:rsidRPr="00923524" w:rsidRDefault="007C5EF5" w:rsidP="00F42AD7">
            <w:pPr>
              <w:pStyle w:val="BodyText"/>
              <w:spacing w:after="0" w:line="240" w:lineRule="auto"/>
              <w:rPr>
                <w:i/>
                <w:iCs/>
                <w:lang w:val="en-GB"/>
              </w:rPr>
            </w:pPr>
          </w:p>
        </w:tc>
      </w:tr>
      <w:tr w:rsidR="007C5EF5" w:rsidRPr="00923524">
        <w:trPr>
          <w:trHeight w:val="245"/>
        </w:trPr>
        <w:tc>
          <w:tcPr>
            <w:tcW w:w="1044" w:type="dxa"/>
            <w:noWrap/>
          </w:tcPr>
          <w:p w:rsidR="007C5EF5" w:rsidRPr="00923524" w:rsidRDefault="007C5EF5" w:rsidP="00F42AD7">
            <w:pPr>
              <w:pStyle w:val="BodyText"/>
              <w:spacing w:after="0"/>
              <w:rPr>
                <w:lang w:val="en-GB"/>
              </w:rPr>
            </w:pPr>
            <w:r w:rsidRPr="00923524">
              <w:rPr>
                <w:lang w:val="en-GB"/>
              </w:rPr>
              <w:t>Author:</w:t>
            </w:r>
          </w:p>
        </w:tc>
        <w:tc>
          <w:tcPr>
            <w:tcW w:w="8703" w:type="dxa"/>
            <w:noWrap/>
          </w:tcPr>
          <w:p w:rsidR="007C5EF5" w:rsidRPr="00923524" w:rsidRDefault="007C5EF5" w:rsidP="00F42AD7">
            <w:pPr>
              <w:pStyle w:val="BodyText"/>
              <w:spacing w:after="0"/>
              <w:rPr>
                <w:i/>
                <w:iCs/>
                <w:lang w:val="en-GB"/>
              </w:rPr>
            </w:pPr>
            <w:proofErr w:type="spellStart"/>
            <w:r w:rsidRPr="00923524">
              <w:rPr>
                <w:i/>
                <w:iCs/>
                <w:lang w:val="en-GB"/>
              </w:rPr>
              <w:t>Georgi</w:t>
            </w:r>
            <w:proofErr w:type="spellEnd"/>
            <w:r w:rsidRPr="00923524">
              <w:rPr>
                <w:i/>
                <w:iCs/>
                <w:lang w:val="en-GB"/>
              </w:rPr>
              <w:t xml:space="preserve"> </w:t>
            </w:r>
            <w:proofErr w:type="spellStart"/>
            <w:r w:rsidRPr="00923524">
              <w:rPr>
                <w:i/>
                <w:iCs/>
                <w:lang w:val="en-GB"/>
              </w:rPr>
              <w:t>Parlichev</w:t>
            </w:r>
            <w:proofErr w:type="spellEnd"/>
          </w:p>
        </w:tc>
        <w:tc>
          <w:tcPr>
            <w:tcW w:w="4253" w:type="dxa"/>
            <w:vMerge/>
          </w:tcPr>
          <w:p w:rsidR="007C5EF5" w:rsidRPr="00923524" w:rsidRDefault="007C5EF5" w:rsidP="00F42AD7">
            <w:pPr>
              <w:pStyle w:val="BodyText"/>
              <w:spacing w:after="0" w:line="240" w:lineRule="auto"/>
              <w:rPr>
                <w:i/>
                <w:iCs/>
                <w:lang w:val="en-GB"/>
              </w:rPr>
            </w:pPr>
          </w:p>
        </w:tc>
      </w:tr>
      <w:tr w:rsidR="007C5EF5" w:rsidRPr="00923524">
        <w:trPr>
          <w:trHeight w:val="245"/>
        </w:trPr>
        <w:tc>
          <w:tcPr>
            <w:tcW w:w="1044" w:type="dxa"/>
            <w:noWrap/>
          </w:tcPr>
          <w:p w:rsidR="007C5EF5" w:rsidRPr="00923524" w:rsidRDefault="007C5EF5" w:rsidP="00F42AD7">
            <w:pPr>
              <w:pStyle w:val="BodyText"/>
              <w:spacing w:after="0"/>
              <w:rPr>
                <w:lang w:val="en-GB"/>
              </w:rPr>
            </w:pPr>
            <w:r w:rsidRPr="00923524">
              <w:rPr>
                <w:lang w:val="en-GB"/>
              </w:rPr>
              <w:t>Institute:</w:t>
            </w:r>
          </w:p>
        </w:tc>
        <w:tc>
          <w:tcPr>
            <w:tcW w:w="8703" w:type="dxa"/>
            <w:noWrap/>
          </w:tcPr>
          <w:p w:rsidR="007C5EF5" w:rsidRPr="00923524" w:rsidRDefault="007C5EF5" w:rsidP="00F42AD7">
            <w:pPr>
              <w:pStyle w:val="BodyText"/>
              <w:spacing w:after="0"/>
              <w:rPr>
                <w:i/>
                <w:iCs/>
                <w:lang w:val="en-GB"/>
              </w:rPr>
            </w:pPr>
            <w:r w:rsidRPr="00923524">
              <w:rPr>
                <w:i/>
                <w:iCs/>
                <w:lang w:val="en-GB"/>
              </w:rPr>
              <w:t>Black Sea Basin Directorate</w:t>
            </w:r>
          </w:p>
        </w:tc>
        <w:tc>
          <w:tcPr>
            <w:tcW w:w="4253" w:type="dxa"/>
            <w:vMerge/>
          </w:tcPr>
          <w:p w:rsidR="007C5EF5" w:rsidRPr="00923524" w:rsidRDefault="007C5EF5" w:rsidP="00F42AD7">
            <w:pPr>
              <w:pStyle w:val="BodyText"/>
              <w:spacing w:after="0" w:line="240" w:lineRule="auto"/>
              <w:rPr>
                <w:i/>
                <w:iCs/>
                <w:lang w:val="en-GB"/>
              </w:rPr>
            </w:pPr>
          </w:p>
        </w:tc>
      </w:tr>
    </w:tbl>
    <w:p w:rsidR="007C5EF5" w:rsidRPr="00923524" w:rsidRDefault="007C5EF5">
      <w:pPr>
        <w:pStyle w:val="BodyText"/>
        <w:rPr>
          <w:lang w:val="en-GB"/>
        </w:rPr>
      </w:pP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670"/>
        <w:gridCol w:w="5605"/>
      </w:tblGrid>
      <w:tr w:rsidR="007C5EF5" w:rsidRPr="00923524">
        <w:tc>
          <w:tcPr>
            <w:tcW w:w="8330" w:type="dxa"/>
            <w:gridSpan w:val="2"/>
            <w:vAlign w:val="center"/>
          </w:tcPr>
          <w:p w:rsidR="007C5EF5" w:rsidRPr="00923524" w:rsidRDefault="007C5EF5" w:rsidP="00F42AD7">
            <w:pPr>
              <w:pStyle w:val="BodyText"/>
              <w:spacing w:line="240" w:lineRule="auto"/>
              <w:jc w:val="center"/>
              <w:rPr>
                <w:b/>
                <w:sz w:val="28"/>
                <w:szCs w:val="28"/>
                <w:lang w:val="en-GB"/>
              </w:rPr>
            </w:pPr>
            <w:r w:rsidRPr="00923524">
              <w:rPr>
                <w:b/>
                <w:color w:val="1F497D"/>
                <w:sz w:val="28"/>
                <w:szCs w:val="28"/>
                <w:lang w:val="en-GB"/>
              </w:rPr>
              <w:t xml:space="preserve">MONITORING </w:t>
            </w:r>
            <w:smartTag w:uri="urn:schemas-microsoft-com:office:smarttags" w:element="stockticker">
              <w:r w:rsidRPr="00923524">
                <w:rPr>
                  <w:b/>
                  <w:color w:val="1F497D"/>
                  <w:sz w:val="28"/>
                  <w:szCs w:val="28"/>
                  <w:lang w:val="en-GB"/>
                </w:rPr>
                <w:t>FACT</w:t>
              </w:r>
            </w:smartTag>
            <w:r w:rsidRPr="00923524">
              <w:rPr>
                <w:b/>
                <w:color w:val="1F497D"/>
                <w:sz w:val="28"/>
                <w:szCs w:val="28"/>
                <w:lang w:val="en-GB"/>
              </w:rPr>
              <w:t xml:space="preserve"> SHEET TEMPLATE</w:t>
            </w:r>
          </w:p>
        </w:tc>
        <w:tc>
          <w:tcPr>
            <w:tcW w:w="5605" w:type="dxa"/>
          </w:tcPr>
          <w:p w:rsidR="007C5EF5" w:rsidRPr="00923524" w:rsidRDefault="007C5EF5" w:rsidP="00F42AD7">
            <w:pPr>
              <w:pStyle w:val="BodyText"/>
              <w:spacing w:line="240" w:lineRule="auto"/>
              <w:rPr>
                <w:b/>
                <w:lang w:val="en-GB"/>
              </w:rPr>
            </w:pPr>
            <w:r w:rsidRPr="00923524">
              <w:rPr>
                <w:b/>
                <w:color w:val="0070C0"/>
                <w:lang w:val="en-GB"/>
              </w:rPr>
              <w:t>This column is for information only and should be removed when the sheet has been filled in.</w:t>
            </w:r>
          </w:p>
        </w:tc>
      </w:tr>
      <w:tr w:rsidR="007C5EF5" w:rsidRPr="00923524">
        <w:tc>
          <w:tcPr>
            <w:tcW w:w="8330" w:type="dxa"/>
            <w:gridSpan w:val="2"/>
            <w:vAlign w:val="center"/>
          </w:tcPr>
          <w:p w:rsidR="007C5EF5" w:rsidRPr="00923524" w:rsidRDefault="007C5EF5" w:rsidP="00376CAB">
            <w:pPr>
              <w:pStyle w:val="BodyText"/>
              <w:spacing w:line="240" w:lineRule="auto"/>
              <w:jc w:val="center"/>
              <w:rPr>
                <w:b/>
                <w:sz w:val="24"/>
                <w:szCs w:val="24"/>
                <w:lang w:val="en-GB"/>
              </w:rPr>
            </w:pPr>
            <w:r w:rsidRPr="00923524">
              <w:rPr>
                <w:b/>
                <w:sz w:val="24"/>
                <w:szCs w:val="24"/>
                <w:lang w:val="en-GB"/>
              </w:rPr>
              <w:t>Title: Monitoring programme D1, 4 Water Column Habitats</w:t>
            </w:r>
          </w:p>
        </w:tc>
        <w:tc>
          <w:tcPr>
            <w:tcW w:w="5605" w:type="dxa"/>
          </w:tcPr>
          <w:p w:rsidR="007C5EF5" w:rsidRPr="00923524" w:rsidRDefault="007C5EF5" w:rsidP="00F42AD7">
            <w:pPr>
              <w:pStyle w:val="BodyText"/>
              <w:spacing w:line="240" w:lineRule="auto"/>
              <w:rPr>
                <w:color w:val="FF0000"/>
                <w:lang w:val="en-GB"/>
              </w:rPr>
            </w:pPr>
          </w:p>
        </w:tc>
      </w:tr>
      <w:tr w:rsidR="007C5EF5" w:rsidRPr="00923524">
        <w:tc>
          <w:tcPr>
            <w:tcW w:w="8330" w:type="dxa"/>
            <w:gridSpan w:val="2"/>
            <w:shd w:val="clear" w:color="auto" w:fill="4F81BD"/>
            <w:vAlign w:val="center"/>
          </w:tcPr>
          <w:p w:rsidR="007C5EF5" w:rsidRPr="00923524" w:rsidRDefault="007C5EF5" w:rsidP="00F42AD7">
            <w:pPr>
              <w:pStyle w:val="BodyText"/>
              <w:spacing w:line="240" w:lineRule="auto"/>
              <w:jc w:val="center"/>
              <w:rPr>
                <w:b/>
                <w:color w:val="FFFFFF"/>
                <w:lang w:val="en-GB"/>
              </w:rPr>
            </w:pPr>
            <w:r w:rsidRPr="00923524">
              <w:rPr>
                <w:b/>
                <w:color w:val="FFFFFF"/>
                <w:lang w:val="en-GB"/>
              </w:rPr>
              <w:t>1. General</w:t>
            </w:r>
          </w:p>
        </w:tc>
        <w:tc>
          <w:tcPr>
            <w:tcW w:w="5605" w:type="dxa"/>
            <w:shd w:val="clear" w:color="auto" w:fill="4F81BD"/>
          </w:tcPr>
          <w:p w:rsidR="007C5EF5" w:rsidRPr="00923524" w:rsidRDefault="007C5EF5" w:rsidP="00F42AD7">
            <w:pPr>
              <w:pStyle w:val="BodyText"/>
              <w:spacing w:line="240" w:lineRule="auto"/>
              <w:rPr>
                <w:b/>
                <w:color w:val="FFFFFF"/>
                <w:lang w:val="en-GB"/>
              </w:rPr>
            </w:pPr>
            <w:r w:rsidRPr="00923524">
              <w:rPr>
                <w:b/>
                <w:color w:val="FFFFFF"/>
                <w:lang w:val="en-GB"/>
              </w:rPr>
              <w:t>Reporting sheet questions (ref. DIKE_9-2014-03 for additional guidance on questions) and comments on template suggestions presented below</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1.1 Subject area</w:t>
            </w:r>
          </w:p>
        </w:tc>
        <w:tc>
          <w:tcPr>
            <w:tcW w:w="5670" w:type="dxa"/>
          </w:tcPr>
          <w:p w:rsidR="007C5EF5" w:rsidRPr="00923524" w:rsidRDefault="007C5EF5" w:rsidP="00F42AD7">
            <w:pPr>
              <w:pStyle w:val="BodyText"/>
              <w:spacing w:line="240" w:lineRule="auto"/>
              <w:rPr>
                <w:i/>
                <w:lang w:val="en-GB"/>
              </w:rPr>
            </w:pPr>
            <w:r w:rsidRPr="00923524">
              <w:rPr>
                <w:i/>
                <w:lang w:val="en-GB"/>
              </w:rPr>
              <w:t>What is monitored – programme ID (BLKXX-DY)</w:t>
            </w:r>
          </w:p>
          <w:p w:rsidR="007C5EF5" w:rsidRPr="00923524" w:rsidRDefault="007C5EF5" w:rsidP="00376CAB">
            <w:pPr>
              <w:pStyle w:val="BodyText"/>
              <w:spacing w:line="240" w:lineRule="auto"/>
              <w:rPr>
                <w:lang w:val="en-GB"/>
              </w:rPr>
            </w:pPr>
            <w:r w:rsidRPr="00923524">
              <w:rPr>
                <w:rStyle w:val="Emphasis"/>
                <w:rFonts w:cs="Arial Unicode MS"/>
                <w:i w:val="0"/>
                <w:iCs/>
                <w:lang w:val="en-GB"/>
              </w:rPr>
              <w:t>Biodiversity – water column habitats</w:t>
            </w:r>
            <w:r w:rsidRPr="00923524">
              <w:rPr>
                <w:b/>
                <w:lang w:val="en-GB"/>
              </w:rPr>
              <w:t>;</w:t>
            </w:r>
            <w:r w:rsidRPr="00923524">
              <w:rPr>
                <w:i/>
                <w:lang w:val="en-GB"/>
              </w:rPr>
              <w:t xml:space="preserve"> </w:t>
            </w:r>
            <w:r w:rsidRPr="00923524">
              <w:rPr>
                <w:b/>
                <w:lang w:val="en-GB"/>
              </w:rPr>
              <w:t>BLKBG-D1,D4-WaterColumnHabitats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Q4: Programme name (4d); Programme ID (exchange XX with BG or RO; exchange Y with relevant descriptor no.) (4e)</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1.2 Definition/Description</w:t>
            </w:r>
          </w:p>
        </w:tc>
        <w:tc>
          <w:tcPr>
            <w:tcW w:w="5670" w:type="dxa"/>
          </w:tcPr>
          <w:p w:rsidR="007C5EF5" w:rsidRPr="00923524" w:rsidRDefault="007C5EF5" w:rsidP="00F42AD7">
            <w:pPr>
              <w:pStyle w:val="BodyText"/>
              <w:spacing w:line="240" w:lineRule="auto"/>
              <w:rPr>
                <w:i/>
                <w:lang w:val="en-GB"/>
              </w:rPr>
            </w:pPr>
            <w:r w:rsidRPr="00923524">
              <w:rPr>
                <w:i/>
                <w:lang w:val="en-GB"/>
              </w:rPr>
              <w:t>Definition of items monitored/description of general approach</w:t>
            </w:r>
          </w:p>
          <w:p w:rsidR="007C5EF5" w:rsidRPr="00923524" w:rsidRDefault="007C5EF5" w:rsidP="008556E9">
            <w:pPr>
              <w:pStyle w:val="BodyText"/>
              <w:spacing w:before="120" w:after="0" w:line="240" w:lineRule="auto"/>
              <w:rPr>
                <w:lang w:val="en-GB"/>
              </w:rPr>
            </w:pPr>
            <w:r w:rsidRPr="00923524">
              <w:rPr>
                <w:b/>
                <w:lang w:val="en-GB"/>
              </w:rPr>
              <w:t>Microbial pathogens</w:t>
            </w:r>
          </w:p>
          <w:p w:rsidR="007C5EF5" w:rsidRPr="00923524" w:rsidRDefault="007C5EF5" w:rsidP="00F42AD7">
            <w:pPr>
              <w:pStyle w:val="BodyText"/>
              <w:spacing w:line="240" w:lineRule="auto"/>
              <w:rPr>
                <w:lang w:val="en-GB"/>
              </w:rPr>
            </w:pPr>
            <w:r w:rsidRPr="00923524">
              <w:rPr>
                <w:lang w:val="en-GB"/>
              </w:rPr>
              <w:t>The monitoring of the microbial pathogens (total and faecal coliform bacteria and faecal streptococci) is conducted in the bathing waters by the Regional health inspectorates (</w:t>
            </w:r>
            <w:smartTag w:uri="urn:schemas-microsoft-com:office:smarttags" w:element="stockticker">
              <w:r w:rsidRPr="00923524">
                <w:rPr>
                  <w:lang w:val="en-GB"/>
                </w:rPr>
                <w:t>RHI</w:t>
              </w:r>
            </w:smartTag>
            <w:r w:rsidRPr="00923524">
              <w:rPr>
                <w:lang w:val="en-GB"/>
              </w:rPr>
              <w:t xml:space="preserve">) of Dobrich, Varna and Burgas. It is required by the </w:t>
            </w:r>
            <w:hyperlink r:id="rId8" w:history="1">
              <w:r w:rsidRPr="00923524">
                <w:rPr>
                  <w:rStyle w:val="Hyperlink"/>
                  <w:rFonts w:cs="Arial Unicode MS"/>
                  <w:lang w:val="en-GB"/>
                </w:rPr>
                <w:t>Marine Strategy Framework Directive</w:t>
              </w:r>
            </w:hyperlink>
            <w:r w:rsidRPr="00923524">
              <w:rPr>
                <w:lang w:val="en-GB"/>
              </w:rPr>
              <w:t xml:space="preserve"> (MSFD) (see: </w:t>
            </w:r>
            <w:hyperlink r:id="rId9" w:history="1">
              <w:proofErr w:type="spellStart"/>
              <w:r w:rsidRPr="00923524">
                <w:rPr>
                  <w:rStyle w:val="Hyperlink"/>
                  <w:rFonts w:cs="Arial Unicode MS"/>
                  <w:lang w:val="en-GB"/>
                </w:rPr>
                <w:t>Zampoukas</w:t>
              </w:r>
              <w:proofErr w:type="spellEnd"/>
              <w:r w:rsidRPr="00923524">
                <w:rPr>
                  <w:rStyle w:val="Hyperlink"/>
                  <w:rFonts w:cs="Arial Unicode MS"/>
                  <w:lang w:val="en-GB"/>
                </w:rPr>
                <w:t xml:space="preserve"> et al., 2012</w:t>
              </w:r>
            </w:hyperlink>
            <w:r w:rsidRPr="00923524">
              <w:rPr>
                <w:lang w:val="en-GB"/>
              </w:rPr>
              <w:t>), although not related to any descriptor.</w:t>
            </w:r>
          </w:p>
          <w:p w:rsidR="007C5EF5" w:rsidRPr="00923524" w:rsidRDefault="007C5EF5" w:rsidP="008556E9">
            <w:pPr>
              <w:pStyle w:val="BodyText"/>
              <w:spacing w:before="120" w:after="0" w:line="240" w:lineRule="auto"/>
              <w:rPr>
                <w:lang w:val="en-GB"/>
              </w:rPr>
            </w:pPr>
            <w:r w:rsidRPr="00923524">
              <w:rPr>
                <w:b/>
                <w:lang w:val="en-GB"/>
              </w:rPr>
              <w:t>Phytoplankton</w:t>
            </w:r>
          </w:p>
          <w:p w:rsidR="007C5EF5" w:rsidRPr="00923524" w:rsidRDefault="007C5EF5" w:rsidP="00F42AD7">
            <w:pPr>
              <w:pStyle w:val="BodyText"/>
              <w:spacing w:line="240" w:lineRule="auto"/>
              <w:rPr>
                <w:lang w:val="en-GB"/>
              </w:rPr>
            </w:pPr>
            <w:r w:rsidRPr="00923524">
              <w:rPr>
                <w:lang w:val="en-GB"/>
              </w:rPr>
              <w:t>Total number of phytoplankton cells (10</w:t>
            </w:r>
            <w:r w:rsidRPr="00923524">
              <w:rPr>
                <w:vertAlign w:val="superscript"/>
                <w:lang w:val="en-GB"/>
              </w:rPr>
              <w:t>3</w:t>
            </w:r>
            <w:r w:rsidRPr="00923524">
              <w:rPr>
                <w:lang w:val="en-GB"/>
              </w:rPr>
              <w:t xml:space="preserve"> cells/litre) and biomass (mg/m</w:t>
            </w:r>
            <w:r w:rsidRPr="00923524">
              <w:rPr>
                <w:vertAlign w:val="superscript"/>
                <w:lang w:val="en-GB"/>
              </w:rPr>
              <w:t>3</w:t>
            </w:r>
            <w:r w:rsidRPr="00923524">
              <w:rPr>
                <w:lang w:val="en-GB"/>
              </w:rPr>
              <w:t>), chlorophyll-a (mg/m</w:t>
            </w:r>
            <w:r w:rsidRPr="00923524">
              <w:rPr>
                <w:vertAlign w:val="superscript"/>
                <w:lang w:val="en-GB"/>
              </w:rPr>
              <w:t>3</w:t>
            </w:r>
            <w:r w:rsidRPr="00923524">
              <w:rPr>
                <w:lang w:val="en-GB"/>
              </w:rPr>
              <w:t>), taxonomic structure (taxonomic based indexes). Concentration of chlorophyll-a (μg/litre)</w:t>
            </w:r>
          </w:p>
          <w:p w:rsidR="007C5EF5" w:rsidRPr="00923524" w:rsidRDefault="007C5EF5" w:rsidP="008556E9">
            <w:pPr>
              <w:pStyle w:val="BodyText"/>
              <w:spacing w:before="120" w:after="0" w:line="240" w:lineRule="auto"/>
              <w:rPr>
                <w:b/>
                <w:lang w:val="en-GB"/>
              </w:rPr>
            </w:pPr>
            <w:r w:rsidRPr="00923524">
              <w:rPr>
                <w:b/>
                <w:lang w:val="en-GB"/>
              </w:rPr>
              <w:lastRenderedPageBreak/>
              <w:t>Zooplankton</w:t>
            </w:r>
          </w:p>
          <w:p w:rsidR="007C5EF5" w:rsidRPr="00923524" w:rsidRDefault="007C5EF5" w:rsidP="00F42AD7">
            <w:pPr>
              <w:pStyle w:val="BodyText"/>
              <w:spacing w:line="240" w:lineRule="auto"/>
              <w:rPr>
                <w:lang w:val="en-GB"/>
              </w:rPr>
            </w:pPr>
            <w:r w:rsidRPr="00923524">
              <w:rPr>
                <w:lang w:val="en-GB"/>
              </w:rPr>
              <w:t xml:space="preserve">The programme measures the biomass of the mesozooplankton, biomass of the </w:t>
            </w:r>
            <w:r w:rsidRPr="00923524">
              <w:rPr>
                <w:i/>
                <w:lang w:val="en-GB"/>
              </w:rPr>
              <w:t>Noctiluca scintillans</w:t>
            </w:r>
            <w:r w:rsidRPr="00923524">
              <w:rPr>
                <w:lang w:val="en-GB"/>
              </w:rPr>
              <w:t xml:space="preserve"> and </w:t>
            </w:r>
            <w:r w:rsidRPr="00923524">
              <w:rPr>
                <w:i/>
                <w:lang w:val="en-GB"/>
              </w:rPr>
              <w:t xml:space="preserve">Mnemiopsis </w:t>
            </w:r>
            <w:proofErr w:type="spellStart"/>
            <w:r w:rsidRPr="00923524">
              <w:rPr>
                <w:i/>
                <w:lang w:val="en-GB"/>
              </w:rPr>
              <w:t>laydii</w:t>
            </w:r>
            <w:proofErr w:type="spellEnd"/>
            <w:r w:rsidRPr="00923524">
              <w:rPr>
                <w:lang w:val="en-GB"/>
              </w:rPr>
              <w:t xml:space="preserve"> and the non-parametric index (Shannon-Wiener species diversity index). The available long-term data (1966-2005) allowed to test the Copepods to total zooplankton ratio (</w:t>
            </w:r>
            <w:proofErr w:type="gramStart"/>
            <w:r w:rsidRPr="00923524">
              <w:rPr>
                <w:lang w:val="en-GB"/>
              </w:rPr>
              <w:t>CP%</w:t>
            </w:r>
            <w:proofErr w:type="gramEnd"/>
            <w:r w:rsidRPr="00923524">
              <w:rPr>
                <w:lang w:val="en-GB"/>
              </w:rPr>
              <w:t>)  the as an indicator of the status of the marine environment during the 2012 monitoring programme.</w:t>
            </w:r>
          </w:p>
          <w:p w:rsidR="007C5EF5" w:rsidRPr="00923524" w:rsidRDefault="007C5EF5" w:rsidP="00F42AD7">
            <w:pPr>
              <w:pStyle w:val="BodyText"/>
              <w:spacing w:line="240" w:lineRule="auto"/>
              <w:rPr>
                <w:lang w:val="en-GB"/>
              </w:rPr>
            </w:pPr>
            <w:r w:rsidRPr="00923524">
              <w:rPr>
                <w:lang w:val="en-GB"/>
              </w:rPr>
              <w:t xml:space="preserve">The present monitoring programme addresses primarily the state/impact rather than pressure within the framework of the </w:t>
            </w:r>
            <w:hyperlink r:id="rId10" w:history="1">
              <w:r w:rsidRPr="00923524">
                <w:rPr>
                  <w:rStyle w:val="Hyperlink"/>
                  <w:rFonts w:cs="Arial Unicode MS"/>
                  <w:lang w:val="en-GB"/>
                </w:rPr>
                <w:t>DPSIR</w:t>
              </w:r>
            </w:hyperlink>
            <w:r w:rsidRPr="00923524">
              <w:rPr>
                <w:lang w:val="en-GB"/>
              </w:rPr>
              <w:t xml:space="preserve"> model. The pressures are addressed in the monitoring programmes under D2 (non-indigenous species), D5 (eutrophication), D7 (hydrographical conditions) and D8 (concentration of contaminants).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lastRenderedPageBreak/>
              <w:t>Q4: Programme description (4f). Free text or URL link. What is monitored by the programme (state/impact, pressure, activities, measures) and why. How does it adapt to new and emerging environmental problems</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lastRenderedPageBreak/>
              <w:t>1.3 Competent authority/</w:t>
            </w:r>
            <w:proofErr w:type="spellStart"/>
            <w:r w:rsidRPr="00923524">
              <w:rPr>
                <w:color w:val="4F81BD"/>
                <w:lang w:val="en-GB"/>
              </w:rPr>
              <w:t>ies</w:t>
            </w:r>
            <w:proofErr w:type="spellEnd"/>
          </w:p>
        </w:tc>
        <w:tc>
          <w:tcPr>
            <w:tcW w:w="5670" w:type="dxa"/>
          </w:tcPr>
          <w:p w:rsidR="007C5EF5" w:rsidRPr="00923524" w:rsidRDefault="007C5EF5" w:rsidP="00F42AD7">
            <w:pPr>
              <w:pStyle w:val="BodyText"/>
              <w:spacing w:line="240" w:lineRule="auto"/>
              <w:rPr>
                <w:i/>
                <w:lang w:val="en-GB"/>
              </w:rPr>
            </w:pPr>
            <w:r w:rsidRPr="00923524">
              <w:rPr>
                <w:i/>
                <w:lang w:val="en-GB"/>
              </w:rPr>
              <w:t>Which authorities are responsible (links to www)</w:t>
            </w:r>
          </w:p>
          <w:p w:rsidR="007C5EF5" w:rsidRPr="00923524" w:rsidRDefault="007C5EF5" w:rsidP="00F42AD7">
            <w:pPr>
              <w:pStyle w:val="BodyText"/>
              <w:spacing w:line="240" w:lineRule="auto"/>
              <w:rPr>
                <w:b/>
                <w:lang w:val="en-GB"/>
              </w:rPr>
            </w:pPr>
            <w:r w:rsidRPr="00923524">
              <w:rPr>
                <w:b/>
                <w:lang w:val="en-GB"/>
              </w:rPr>
              <w:t>Ministry of Environment and Waters (MOEW)</w:t>
            </w:r>
            <w:r w:rsidRPr="00923524">
              <w:rPr>
                <w:lang w:val="en-GB"/>
              </w:rPr>
              <w:t xml:space="preserve">  </w:t>
            </w:r>
          </w:p>
          <w:p w:rsidR="007C5EF5" w:rsidRPr="00923524" w:rsidRDefault="007C5EF5" w:rsidP="00F42AD7">
            <w:pPr>
              <w:pStyle w:val="BodyText"/>
              <w:spacing w:line="240" w:lineRule="auto"/>
              <w:rPr>
                <w:b/>
                <w:lang w:val="en-GB"/>
              </w:rPr>
            </w:pPr>
            <w:r w:rsidRPr="00923524">
              <w:rPr>
                <w:b/>
                <w:lang w:val="en-GB"/>
              </w:rPr>
              <w:t xml:space="preserve">Web: </w:t>
            </w:r>
            <w:hyperlink r:id="rId11" w:history="1">
              <w:r w:rsidRPr="00923524">
                <w:rPr>
                  <w:rStyle w:val="Hyperlink"/>
                  <w:rFonts w:cs="Arial Unicode MS"/>
                  <w:lang w:val="en-GB" w:eastAsia="hi-IN" w:bidi="hi-IN"/>
                </w:rPr>
                <w:t>www.moew.government.bg</w:t>
              </w:r>
            </w:hyperlink>
          </w:p>
          <w:p w:rsidR="007C5EF5" w:rsidRPr="00923524" w:rsidRDefault="007C5EF5" w:rsidP="00F42AD7">
            <w:pPr>
              <w:pStyle w:val="BodyText"/>
              <w:spacing w:line="240" w:lineRule="auto"/>
              <w:rPr>
                <w:b/>
                <w:lang w:val="en-GB"/>
              </w:rPr>
            </w:pPr>
            <w:r w:rsidRPr="00923524">
              <w:rPr>
                <w:b/>
                <w:lang w:val="en-GB"/>
              </w:rPr>
              <w:t>Black Sea Basin Directorate, Varna (BSBD)</w:t>
            </w:r>
            <w:r w:rsidRPr="00923524">
              <w:rPr>
                <w:lang w:val="en-GB"/>
              </w:rPr>
              <w:t xml:space="preserve"> </w:t>
            </w:r>
          </w:p>
          <w:p w:rsidR="007C5EF5" w:rsidRPr="00923524" w:rsidRDefault="007C5EF5" w:rsidP="00F42AD7">
            <w:pPr>
              <w:pStyle w:val="BodyText"/>
              <w:spacing w:line="240" w:lineRule="auto"/>
              <w:rPr>
                <w:lang w:val="en-GB"/>
              </w:rPr>
            </w:pPr>
            <w:r w:rsidRPr="00923524">
              <w:rPr>
                <w:b/>
                <w:lang w:val="en-GB"/>
              </w:rPr>
              <w:t>Web</w:t>
            </w:r>
            <w:r w:rsidRPr="00923524">
              <w:rPr>
                <w:lang w:val="en-GB"/>
              </w:rPr>
              <w:t xml:space="preserve">: </w:t>
            </w:r>
            <w:hyperlink r:id="rId12" w:history="1">
              <w:r w:rsidRPr="00923524">
                <w:rPr>
                  <w:rStyle w:val="Hyperlink"/>
                  <w:rFonts w:cs="Arial Unicode MS"/>
                  <w:lang w:val="en-GB"/>
                </w:rPr>
                <w:t>http://www.bsbd.org/</w:t>
              </w:r>
            </w:hyperlink>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Q4: Responsible Competent Authority (4a)</w:t>
            </w:r>
          </w:p>
          <w:p w:rsidR="007C5EF5" w:rsidRPr="00923524" w:rsidRDefault="007C5EF5" w:rsidP="00F42AD7">
            <w:pPr>
              <w:pStyle w:val="BodyText"/>
              <w:spacing w:line="240" w:lineRule="auto"/>
              <w:rPr>
                <w:color w:val="FF0000"/>
                <w:lang w:val="en-GB"/>
              </w:rPr>
            </w:pPr>
            <w:r w:rsidRPr="00923524">
              <w:rPr>
                <w:color w:val="FF0000"/>
                <w:lang w:val="en-GB"/>
              </w:rPr>
              <w:t>If more than one – put contact to the EU Commission</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1.4 Monitoring institutions</w:t>
            </w:r>
          </w:p>
        </w:tc>
        <w:tc>
          <w:tcPr>
            <w:tcW w:w="5670" w:type="dxa"/>
          </w:tcPr>
          <w:p w:rsidR="007C5EF5" w:rsidRPr="00923524" w:rsidRDefault="007C5EF5" w:rsidP="00F42AD7">
            <w:pPr>
              <w:pStyle w:val="BodyText"/>
              <w:spacing w:line="240" w:lineRule="auto"/>
              <w:rPr>
                <w:i/>
                <w:lang w:val="en-GB"/>
              </w:rPr>
            </w:pPr>
            <w:r w:rsidRPr="00923524">
              <w:rPr>
                <w:i/>
                <w:lang w:val="en-GB"/>
              </w:rPr>
              <w:t xml:space="preserve">Which institutions carry out the monitoring </w:t>
            </w:r>
            <w:proofErr w:type="spellStart"/>
            <w:r w:rsidRPr="00923524">
              <w:rPr>
                <w:i/>
                <w:lang w:val="en-GB"/>
              </w:rPr>
              <w:t>etc</w:t>
            </w:r>
            <w:proofErr w:type="spellEnd"/>
            <w:r w:rsidRPr="00923524">
              <w:rPr>
                <w:i/>
                <w:lang w:val="en-GB"/>
              </w:rPr>
              <w:t xml:space="preserve"> (links to www)</w:t>
            </w:r>
          </w:p>
          <w:p w:rsidR="007C5EF5" w:rsidRPr="00923524" w:rsidRDefault="007C5EF5" w:rsidP="00F42AD7">
            <w:pPr>
              <w:pStyle w:val="BodyText"/>
              <w:spacing w:after="0" w:line="100" w:lineRule="atLeast"/>
              <w:rPr>
                <w:lang w:val="en-GB"/>
              </w:rPr>
            </w:pPr>
            <w:r w:rsidRPr="00923524">
              <w:rPr>
                <w:b/>
                <w:lang w:val="en-GB"/>
              </w:rPr>
              <w:t>Monitoring of sea waters</w:t>
            </w:r>
            <w:r w:rsidRPr="00923524">
              <w:rPr>
                <w:lang w:val="en-GB"/>
              </w:rPr>
              <w:t xml:space="preserve"> </w:t>
            </w:r>
            <w:r w:rsidRPr="00923524">
              <w:rPr>
                <w:lang w:val="en-GB"/>
              </w:rPr>
              <w:noBreakHyphen/>
              <w:t xml:space="preserve"> Institute of Oceanology, Bulgarian Academy of Sciences (IO-</w:t>
            </w:r>
            <w:smartTag w:uri="urn:schemas-microsoft-com:office:smarttags" w:element="stockticker">
              <w:r w:rsidRPr="00923524">
                <w:rPr>
                  <w:lang w:val="en-GB"/>
                </w:rPr>
                <w:t>BAS</w:t>
              </w:r>
            </w:smartTag>
            <w:r w:rsidRPr="00923524">
              <w:rPr>
                <w:lang w:val="en-GB"/>
              </w:rPr>
              <w:t xml:space="preserve">). Web: </w:t>
            </w:r>
            <w:r w:rsidRPr="00923524">
              <w:rPr>
                <w:lang w:val="en-GB" w:eastAsia="hi-IN" w:bidi="hi-IN"/>
              </w:rPr>
              <w:t xml:space="preserve"> </w:t>
            </w:r>
            <w:hyperlink r:id="rId13" w:history="1">
              <w:r w:rsidRPr="00923524">
                <w:rPr>
                  <w:rStyle w:val="Hyperlink"/>
                  <w:rFonts w:cs="Arial Unicode MS"/>
                  <w:lang w:val="en-GB" w:eastAsia="hi-IN" w:bidi="hi-IN"/>
                </w:rPr>
                <w:t>www.io-bas.bg</w:t>
              </w:r>
            </w:hyperlink>
            <w:r w:rsidRPr="00923524">
              <w:rPr>
                <w:lang w:val="en-GB" w:eastAsia="hi-IN" w:bidi="hi-IN"/>
              </w:rPr>
              <w:t xml:space="preserve"> </w:t>
            </w:r>
            <w:r w:rsidRPr="00923524">
              <w:rPr>
                <w:lang w:val="en-GB"/>
              </w:rPr>
              <w:t>. BSBD - IO-</w:t>
            </w:r>
            <w:smartTag w:uri="urn:schemas-microsoft-com:office:smarttags" w:element="stockticker">
              <w:r w:rsidRPr="00923524">
                <w:rPr>
                  <w:lang w:val="en-GB"/>
                </w:rPr>
                <w:t>BAS</w:t>
              </w:r>
            </w:smartTag>
            <w:r w:rsidRPr="00923524">
              <w:rPr>
                <w:lang w:val="en-GB"/>
              </w:rPr>
              <w:t xml:space="preserve"> relationship is contract-based.</w:t>
            </w:r>
          </w:p>
          <w:p w:rsidR="007C5EF5" w:rsidRPr="00923524" w:rsidRDefault="007C5EF5" w:rsidP="00F42AD7">
            <w:pPr>
              <w:pStyle w:val="BodyText"/>
              <w:spacing w:after="0" w:line="100" w:lineRule="atLeast"/>
              <w:rPr>
                <w:lang w:val="en-GB"/>
              </w:rPr>
            </w:pPr>
            <w:r w:rsidRPr="00923524">
              <w:rPr>
                <w:b/>
                <w:lang w:val="en-GB"/>
              </w:rPr>
              <w:t>Monitoring of microbial pathogens in the bathing waters</w:t>
            </w:r>
            <w:r w:rsidRPr="00923524">
              <w:rPr>
                <w:lang w:val="en-GB"/>
              </w:rPr>
              <w:t xml:space="preserve"> </w:t>
            </w:r>
          </w:p>
          <w:p w:rsidR="007C5EF5" w:rsidRPr="00923524" w:rsidRDefault="007C5EF5" w:rsidP="00F42AD7">
            <w:pPr>
              <w:pStyle w:val="BodyText"/>
              <w:spacing w:line="100" w:lineRule="atLeast"/>
              <w:rPr>
                <w:lang w:val="en-GB" w:eastAsia="hi-IN" w:bidi="hi-IN"/>
              </w:rPr>
            </w:pPr>
            <w:smartTag w:uri="urn:schemas-microsoft-com:office:smarttags" w:element="stockticker">
              <w:r w:rsidRPr="00923524">
                <w:rPr>
                  <w:lang w:val="en-GB" w:eastAsia="hi-IN" w:bidi="hi-IN"/>
                </w:rPr>
                <w:t>RHI</w:t>
              </w:r>
            </w:smartTag>
            <w:r w:rsidRPr="00923524">
              <w:rPr>
                <w:lang w:val="en-GB" w:eastAsia="hi-IN" w:bidi="hi-IN"/>
              </w:rPr>
              <w:t xml:space="preserve"> Dobrich: </w:t>
            </w:r>
            <w:hyperlink r:id="rId14" w:history="1">
              <w:r w:rsidRPr="00923524">
                <w:rPr>
                  <w:rStyle w:val="Hyperlink"/>
                  <w:rFonts w:cs="Arial Unicode MS"/>
                  <w:lang w:val="en-GB" w:eastAsia="hi-IN" w:bidi="hi-IN"/>
                </w:rPr>
                <w:t>http://rzi-dobrich.org/</w:t>
              </w:r>
            </w:hyperlink>
          </w:p>
          <w:p w:rsidR="007C5EF5" w:rsidRPr="00923524" w:rsidRDefault="007C5EF5" w:rsidP="00F42AD7">
            <w:pPr>
              <w:pStyle w:val="BodyText"/>
              <w:spacing w:line="100" w:lineRule="atLeast"/>
              <w:rPr>
                <w:lang w:val="en-GB" w:eastAsia="hi-IN" w:bidi="hi-IN"/>
              </w:rPr>
            </w:pPr>
            <w:smartTag w:uri="urn:schemas-microsoft-com:office:smarttags" w:element="stockticker">
              <w:r w:rsidRPr="00923524">
                <w:rPr>
                  <w:lang w:val="en-GB" w:eastAsia="hi-IN" w:bidi="hi-IN"/>
                </w:rPr>
                <w:t>RHI</w:t>
              </w:r>
            </w:smartTag>
            <w:r w:rsidRPr="00923524">
              <w:rPr>
                <w:lang w:val="en-GB" w:eastAsia="hi-IN" w:bidi="hi-IN"/>
              </w:rPr>
              <w:t xml:space="preserve"> Varna: </w:t>
            </w:r>
            <w:hyperlink r:id="rId15" w:history="1">
              <w:r w:rsidRPr="00923524">
                <w:rPr>
                  <w:rStyle w:val="Hyperlink"/>
                  <w:rFonts w:cs="Arial Unicode MS"/>
                  <w:lang w:val="en-GB" w:eastAsia="hi-IN" w:bidi="hi-IN"/>
                </w:rPr>
                <w:t>http://www.rzi-varna.com/</w:t>
              </w:r>
            </w:hyperlink>
          </w:p>
          <w:p w:rsidR="007C5EF5" w:rsidRPr="00923524" w:rsidRDefault="007C5EF5" w:rsidP="00F42AD7">
            <w:pPr>
              <w:pStyle w:val="BodyText"/>
              <w:spacing w:line="100" w:lineRule="atLeast"/>
              <w:rPr>
                <w:rStyle w:val="Hyperlink"/>
                <w:rFonts w:cs="Arial Unicode MS"/>
                <w:lang w:val="en-GB" w:eastAsia="hi-IN" w:bidi="hi-IN"/>
              </w:rPr>
            </w:pPr>
            <w:smartTag w:uri="urn:schemas-microsoft-com:office:smarttags" w:element="stockticker">
              <w:r w:rsidRPr="00923524">
                <w:rPr>
                  <w:lang w:val="en-GB" w:eastAsia="hi-IN" w:bidi="hi-IN"/>
                </w:rPr>
                <w:t>RHI</w:t>
              </w:r>
            </w:smartTag>
            <w:r w:rsidRPr="00923524">
              <w:rPr>
                <w:lang w:val="en-GB" w:eastAsia="hi-IN" w:bidi="hi-IN"/>
              </w:rPr>
              <w:t xml:space="preserve"> Burgas: </w:t>
            </w:r>
            <w:hyperlink r:id="rId16" w:history="1">
              <w:r w:rsidRPr="00923524">
                <w:rPr>
                  <w:rStyle w:val="Hyperlink"/>
                  <w:rFonts w:cs="Arial Unicode MS"/>
                  <w:lang w:val="en-GB" w:eastAsia="hi-IN" w:bidi="hi-IN"/>
                </w:rPr>
                <w:t>http://www.rzi-burgas.com/</w:t>
              </w:r>
            </w:hyperlink>
          </w:p>
          <w:p w:rsidR="007C5EF5" w:rsidRPr="00923524" w:rsidRDefault="007C5EF5" w:rsidP="00F42AD7">
            <w:pPr>
              <w:pStyle w:val="BodyText"/>
              <w:spacing w:line="100" w:lineRule="atLeast"/>
              <w:rPr>
                <w:lang w:val="en-GB" w:eastAsia="hi-IN" w:bidi="hi-IN"/>
              </w:rPr>
            </w:pPr>
            <w:r w:rsidRPr="00923524">
              <w:rPr>
                <w:b/>
                <w:lang w:val="en-GB"/>
              </w:rPr>
              <w:t xml:space="preserve">Monitoring on the pressure from the atmospheric </w:t>
            </w:r>
            <w:r w:rsidRPr="00923524">
              <w:rPr>
                <w:b/>
                <w:lang w:val="en-GB"/>
              </w:rPr>
              <w:lastRenderedPageBreak/>
              <w:t>deposition of nutrients</w:t>
            </w:r>
            <w:r w:rsidRPr="00923524">
              <w:rPr>
                <w:lang w:val="en-GB"/>
              </w:rPr>
              <w:t xml:space="preserve"> (nitrates in rainwater) – National Institute of Meteorology and Hydrology (</w:t>
            </w:r>
            <w:hyperlink r:id="rId17" w:history="1">
              <w:r w:rsidRPr="00923524">
                <w:rPr>
                  <w:rStyle w:val="Hyperlink"/>
                  <w:rFonts w:cs="Arial Unicode MS"/>
                  <w:lang w:val="en-GB"/>
                </w:rPr>
                <w:t>http://www.meteo.bg/en</w:t>
              </w:r>
            </w:hyperlink>
            <w:r w:rsidRPr="00923524">
              <w:rPr>
                <w:lang w:val="en-GB"/>
              </w:rPr>
              <w:t>)</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lastRenderedPageBreak/>
              <w:t>Q4: Responsible institutions; relationship to Competent Authority (4b) +(4c)</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lastRenderedPageBreak/>
              <w:t>1.5 Additional information</w:t>
            </w:r>
          </w:p>
        </w:tc>
        <w:tc>
          <w:tcPr>
            <w:tcW w:w="5670" w:type="dxa"/>
          </w:tcPr>
          <w:p w:rsidR="007C5EF5" w:rsidRPr="00923524" w:rsidRDefault="007C5EF5" w:rsidP="00F42AD7">
            <w:pPr>
              <w:pStyle w:val="BodyText"/>
              <w:spacing w:line="240" w:lineRule="auto"/>
              <w:rPr>
                <w:i/>
                <w:lang w:val="en-GB"/>
              </w:rPr>
            </w:pPr>
            <w:r w:rsidRPr="00923524">
              <w:rPr>
                <w:i/>
                <w:lang w:val="en-GB"/>
              </w:rPr>
              <w:t>Where can additional information be found (e.g. via a web link)</w:t>
            </w:r>
          </w:p>
          <w:p w:rsidR="007C5EF5" w:rsidRPr="00923524" w:rsidRDefault="007C5EF5" w:rsidP="00F42AD7">
            <w:pPr>
              <w:pStyle w:val="BodyText"/>
              <w:spacing w:line="240" w:lineRule="auto"/>
              <w:rPr>
                <w:i/>
                <w:lang w:val="en-GB"/>
              </w:rPr>
            </w:pPr>
            <w:r w:rsidRPr="00923524">
              <w:rPr>
                <w:i/>
                <w:lang w:val="en-GB"/>
              </w:rPr>
              <w:t>Regarding regional coordination remember this project and other relevant joined projects</w:t>
            </w:r>
          </w:p>
          <w:p w:rsidR="007C5EF5" w:rsidRPr="00923524" w:rsidRDefault="007C5EF5" w:rsidP="00F42AD7">
            <w:pPr>
              <w:pStyle w:val="BodyText"/>
              <w:spacing w:line="240" w:lineRule="auto"/>
              <w:rPr>
                <w:lang w:val="en-GB"/>
              </w:rPr>
            </w:pPr>
            <w:r w:rsidRPr="00923524">
              <w:rPr>
                <w:lang w:val="en-GB"/>
              </w:rPr>
              <w:t>Black Sea Commission – Black Sea Integrated Monitoring and Assessment Programme (BSIMAP)</w:t>
            </w:r>
          </w:p>
          <w:p w:rsidR="007C5EF5" w:rsidRPr="00923524" w:rsidRDefault="003749C3" w:rsidP="00F42AD7">
            <w:pPr>
              <w:pStyle w:val="BodyText"/>
              <w:spacing w:line="240" w:lineRule="auto"/>
              <w:jc w:val="both"/>
              <w:rPr>
                <w:lang w:val="en-GB"/>
              </w:rPr>
            </w:pPr>
            <w:hyperlink r:id="rId18" w:history="1">
              <w:r w:rsidR="007C5EF5" w:rsidRPr="00923524">
                <w:rPr>
                  <w:rStyle w:val="Hyperlink"/>
                  <w:rFonts w:cs="Arial Unicode MS"/>
                  <w:lang w:val="en-GB"/>
                </w:rPr>
                <w:t>http://www.blacksea-commission.org/_bsimap.asp</w:t>
              </w:r>
            </w:hyperlink>
          </w:p>
          <w:p w:rsidR="007C5EF5" w:rsidRPr="00923524" w:rsidRDefault="007C5EF5" w:rsidP="00F42AD7">
            <w:pPr>
              <w:pStyle w:val="BodyText"/>
              <w:spacing w:line="240" w:lineRule="auto"/>
              <w:jc w:val="both"/>
              <w:rPr>
                <w:lang w:val="en-GB"/>
              </w:rPr>
            </w:pPr>
            <w:r w:rsidRPr="00923524">
              <w:rPr>
                <w:lang w:val="en-GB"/>
              </w:rPr>
              <w:t>MSFD Guiding Improvements in the Black Sea Integrated Monitoring System (MISIS) project</w:t>
            </w:r>
          </w:p>
          <w:p w:rsidR="007C5EF5" w:rsidRPr="00923524" w:rsidRDefault="003749C3" w:rsidP="00F42AD7">
            <w:pPr>
              <w:pStyle w:val="BodyText"/>
              <w:spacing w:line="240" w:lineRule="auto"/>
              <w:jc w:val="both"/>
              <w:rPr>
                <w:lang w:val="en-GB"/>
              </w:rPr>
            </w:pPr>
            <w:hyperlink r:id="rId19" w:history="1">
              <w:r w:rsidR="007C5EF5" w:rsidRPr="00923524">
                <w:rPr>
                  <w:rStyle w:val="Hyperlink"/>
                  <w:rFonts w:cs="Arial Unicode MS"/>
                  <w:lang w:val="en-GB"/>
                </w:rPr>
                <w:t>http://www.misisproject.eu</w:t>
              </w:r>
            </w:hyperlink>
            <w:r w:rsidR="007C5EF5" w:rsidRPr="00923524">
              <w:rPr>
                <w:lang w:val="en-GB"/>
              </w:rPr>
              <w:t xml:space="preserve"> </w:t>
            </w:r>
          </w:p>
          <w:p w:rsidR="007C5EF5" w:rsidRPr="00923524" w:rsidRDefault="007C5EF5" w:rsidP="00F42AD7">
            <w:pPr>
              <w:pStyle w:val="BodyText"/>
              <w:spacing w:line="240" w:lineRule="auto"/>
              <w:jc w:val="both"/>
              <w:rPr>
                <w:lang w:val="en-GB"/>
              </w:rPr>
            </w:pPr>
            <w:r w:rsidRPr="00923524">
              <w:rPr>
                <w:lang w:val="en-GB"/>
              </w:rPr>
              <w:t>Integrated Regional monitoring Implementation Strategy in the South European Seas (IRIS -</w:t>
            </w:r>
            <w:smartTag w:uri="urn:schemas-microsoft-com:office:smarttags" w:element="stockticker">
              <w:r w:rsidRPr="00923524">
                <w:rPr>
                  <w:lang w:val="en-GB"/>
                </w:rPr>
                <w:t>SES</w:t>
              </w:r>
            </w:smartTag>
            <w:r w:rsidRPr="00923524">
              <w:rPr>
                <w:lang w:val="en-GB"/>
              </w:rPr>
              <w:t>) project</w:t>
            </w:r>
          </w:p>
          <w:p w:rsidR="007C5EF5" w:rsidRPr="00923524" w:rsidRDefault="003749C3" w:rsidP="00F42AD7">
            <w:pPr>
              <w:pStyle w:val="BodyText"/>
              <w:spacing w:line="240" w:lineRule="auto"/>
              <w:jc w:val="both"/>
              <w:rPr>
                <w:lang w:val="en-GB"/>
              </w:rPr>
            </w:pPr>
            <w:hyperlink r:id="rId20" w:history="1">
              <w:r w:rsidR="007C5EF5" w:rsidRPr="00923524">
                <w:rPr>
                  <w:rStyle w:val="Hyperlink"/>
                  <w:rFonts w:cs="Arial Unicode MS"/>
                  <w:lang w:val="en-GB"/>
                </w:rPr>
                <w:t>http://iris-ses.eu/</w:t>
              </w:r>
            </w:hyperlink>
          </w:p>
          <w:p w:rsidR="007C5EF5" w:rsidRPr="00923524" w:rsidRDefault="007C5EF5" w:rsidP="00F42AD7">
            <w:pPr>
              <w:pStyle w:val="BodyText"/>
              <w:spacing w:line="240" w:lineRule="auto"/>
              <w:jc w:val="both"/>
              <w:rPr>
                <w:lang w:val="en-GB"/>
              </w:rPr>
            </w:pPr>
            <w:r w:rsidRPr="00923524">
              <w:rPr>
                <w:lang w:val="en-GB"/>
              </w:rPr>
              <w:t>Technical and administrative support for joint implementation of MSFD in Bulgaria and Romania</w:t>
            </w:r>
          </w:p>
          <w:p w:rsidR="007C5EF5" w:rsidRPr="00923524" w:rsidRDefault="007C5EF5" w:rsidP="00F42AD7">
            <w:pPr>
              <w:pStyle w:val="BodyText"/>
              <w:spacing w:line="240" w:lineRule="auto"/>
              <w:jc w:val="both"/>
              <w:rPr>
                <w:lang w:val="en-GB"/>
              </w:rPr>
            </w:pPr>
            <w:r w:rsidRPr="00923524">
              <w:rPr>
                <w:highlight w:val="yellow"/>
                <w:lang w:val="en-GB"/>
              </w:rPr>
              <w:t>No link available yet</w:t>
            </w:r>
          </w:p>
          <w:p w:rsidR="007C5EF5" w:rsidRPr="00923524" w:rsidRDefault="007C5EF5" w:rsidP="00F42AD7">
            <w:pPr>
              <w:pStyle w:val="NormalWeb"/>
              <w:spacing w:before="0" w:beforeAutospacing="0" w:after="120" w:afterAutospacing="0" w:line="276" w:lineRule="auto"/>
              <w:jc w:val="both"/>
              <w:rPr>
                <w:rFonts w:ascii="Calibri" w:hAnsi="Calibri" w:cs="Calibri-Italic"/>
                <w:iCs/>
                <w:sz w:val="22"/>
                <w:szCs w:val="20"/>
                <w:lang w:val="en-GB"/>
              </w:rPr>
            </w:pPr>
            <w:r w:rsidRPr="00923524">
              <w:rPr>
                <w:rFonts w:ascii="Calibri" w:hAnsi="Calibri"/>
                <w:sz w:val="22"/>
                <w:lang w:val="en-GB"/>
              </w:rPr>
              <w:t xml:space="preserve">Towards Integrated Marine Research Strategy and Programmes (SEAS-ERA) project - </w:t>
            </w:r>
            <w:r w:rsidRPr="00923524">
              <w:rPr>
                <w:rFonts w:ascii="Calibri" w:hAnsi="Calibri" w:cs="Calibri-Italic"/>
                <w:iCs/>
                <w:sz w:val="22"/>
                <w:szCs w:val="20"/>
                <w:lang w:val="en-GB"/>
              </w:rPr>
              <w:t>Strategic Research Agenda for the Black Sea Basin</w:t>
            </w:r>
          </w:p>
          <w:p w:rsidR="007C5EF5" w:rsidRPr="00923524" w:rsidRDefault="003749C3" w:rsidP="00F42AD7">
            <w:pPr>
              <w:pStyle w:val="BodyText"/>
              <w:spacing w:line="240" w:lineRule="auto"/>
              <w:rPr>
                <w:color w:val="0000FF"/>
                <w:u w:val="single"/>
                <w:lang w:val="en-GB"/>
              </w:rPr>
            </w:pPr>
            <w:hyperlink r:id="rId21" w:history="1">
              <w:r w:rsidR="007C5EF5" w:rsidRPr="00923524">
                <w:rPr>
                  <w:rStyle w:val="Hyperlink"/>
                  <w:rFonts w:cs="Arial Unicode MS"/>
                  <w:lang w:val="en-GB"/>
                </w:rPr>
                <w:t>http://www.seas-era.eu/</w:t>
              </w:r>
            </w:hyperlink>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Q3: Additional information on: Regional coordination; consideration of transboundary impacts; ability of programme to identify major changes in environment and new and emerging issues; (3a-c)</w:t>
            </w:r>
          </w:p>
        </w:tc>
      </w:tr>
      <w:tr w:rsidR="007C5EF5" w:rsidRPr="00923524">
        <w:tc>
          <w:tcPr>
            <w:tcW w:w="8330" w:type="dxa"/>
            <w:gridSpan w:val="2"/>
            <w:shd w:val="clear" w:color="auto" w:fill="4F81BD"/>
            <w:vAlign w:val="center"/>
          </w:tcPr>
          <w:p w:rsidR="007C5EF5" w:rsidRPr="00923524" w:rsidRDefault="007C5EF5" w:rsidP="00F42AD7">
            <w:pPr>
              <w:pStyle w:val="BodyText"/>
              <w:spacing w:line="240" w:lineRule="auto"/>
              <w:jc w:val="center"/>
              <w:rPr>
                <w:color w:val="FFFFFF"/>
                <w:lang w:val="en-GB"/>
              </w:rPr>
            </w:pPr>
            <w:r w:rsidRPr="00923524">
              <w:rPr>
                <w:color w:val="FFFFFF"/>
                <w:lang w:val="en-GB"/>
              </w:rPr>
              <w:t>2. Monitoring requirements and purpose</w:t>
            </w:r>
          </w:p>
        </w:tc>
        <w:tc>
          <w:tcPr>
            <w:tcW w:w="5605" w:type="dxa"/>
            <w:shd w:val="clear" w:color="auto" w:fill="4F81BD"/>
          </w:tcPr>
          <w:p w:rsidR="007C5EF5" w:rsidRPr="00923524" w:rsidRDefault="007C5EF5" w:rsidP="00F42AD7">
            <w:pPr>
              <w:pStyle w:val="BodyText"/>
              <w:spacing w:line="240" w:lineRule="auto"/>
              <w:rPr>
                <w:color w:val="FFFFFF"/>
                <w:lang w:val="en-GB"/>
              </w:rPr>
            </w:pP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2.1 Necessity</w:t>
            </w:r>
          </w:p>
        </w:tc>
        <w:tc>
          <w:tcPr>
            <w:tcW w:w="5670" w:type="dxa"/>
          </w:tcPr>
          <w:p w:rsidR="007C5EF5" w:rsidRPr="00923524" w:rsidRDefault="007C5EF5" w:rsidP="00F42AD7">
            <w:pPr>
              <w:pStyle w:val="BodyText"/>
              <w:spacing w:line="240" w:lineRule="auto"/>
              <w:rPr>
                <w:i/>
                <w:lang w:val="en-GB"/>
              </w:rPr>
            </w:pPr>
            <w:r w:rsidRPr="00923524">
              <w:rPr>
                <w:i/>
                <w:lang w:val="en-GB"/>
              </w:rPr>
              <w:t>Listed below are direct references to the monitoring requirements – EU directives, Black Sea Commission agreements, national plans, research programme requirements, other.</w:t>
            </w:r>
          </w:p>
          <w:p w:rsidR="007C5EF5" w:rsidRPr="00923524" w:rsidRDefault="007C5EF5" w:rsidP="00F42AD7">
            <w:pPr>
              <w:pStyle w:val="BodyText"/>
              <w:spacing w:line="240" w:lineRule="auto"/>
              <w:rPr>
                <w:i/>
                <w:lang w:val="en-GB"/>
              </w:rPr>
            </w:pPr>
            <w:r w:rsidRPr="00923524">
              <w:rPr>
                <w:i/>
                <w:lang w:val="en-GB"/>
              </w:rPr>
              <w:lastRenderedPageBreak/>
              <w:t xml:space="preserve">Delete/add rows </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lastRenderedPageBreak/>
              <w:t>The purpose of this section is to give an overview of existing monitoring requirements related to this programme and to help coordinate already existing monitoring</w:t>
            </w:r>
          </w:p>
          <w:p w:rsidR="007C5EF5" w:rsidRPr="00923524" w:rsidRDefault="007C5EF5" w:rsidP="00F42AD7">
            <w:pPr>
              <w:pStyle w:val="BodyText"/>
              <w:spacing w:line="240" w:lineRule="auto"/>
              <w:rPr>
                <w:color w:val="FF0000"/>
                <w:lang w:val="en-GB"/>
              </w:rPr>
            </w:pPr>
            <w:r w:rsidRPr="00923524">
              <w:rPr>
                <w:color w:val="FF0000"/>
                <w:lang w:val="en-GB"/>
              </w:rPr>
              <w:t xml:space="preserve">Q8a: Existing monitoring programmes deliver data to other </w:t>
            </w:r>
            <w:r w:rsidRPr="00923524">
              <w:rPr>
                <w:color w:val="FF0000"/>
                <w:lang w:val="en-GB"/>
              </w:rPr>
              <w:lastRenderedPageBreak/>
              <w:t xml:space="preserve">directives etc. This part of the monitoring fact sheet helps to give an overview of how and where the specific monitoring is used for many purposes/requirements (8a). </w:t>
            </w:r>
          </w:p>
          <w:p w:rsidR="007C5EF5" w:rsidRPr="00923524" w:rsidRDefault="007C5EF5" w:rsidP="00F42AD7">
            <w:pPr>
              <w:pStyle w:val="BodyText"/>
              <w:spacing w:line="240" w:lineRule="auto"/>
              <w:rPr>
                <w:color w:val="FF0000"/>
                <w:lang w:val="en-GB"/>
              </w:rPr>
            </w:pPr>
            <w:r w:rsidRPr="00923524">
              <w:rPr>
                <w:color w:val="FF0000"/>
                <w:lang w:val="en-GB"/>
              </w:rPr>
              <w:t xml:space="preserve">State where relevant monitoring is already carried out (or should be/is required) </w:t>
            </w:r>
          </w:p>
        </w:tc>
      </w:tr>
      <w:tr w:rsidR="007C5EF5" w:rsidRPr="00923524">
        <w:tc>
          <w:tcPr>
            <w:tcW w:w="2660" w:type="dxa"/>
          </w:tcPr>
          <w:p w:rsidR="007C5EF5" w:rsidRPr="00923524" w:rsidRDefault="007C5EF5" w:rsidP="00F42AD7">
            <w:pPr>
              <w:pStyle w:val="BodyText"/>
              <w:spacing w:line="240" w:lineRule="auto"/>
              <w:rPr>
                <w:lang w:val="en-GB"/>
              </w:rPr>
            </w:pPr>
            <w:r w:rsidRPr="00923524">
              <w:rPr>
                <w:lang w:val="en-GB"/>
              </w:rPr>
              <w:lastRenderedPageBreak/>
              <w:t>MSFD</w:t>
            </w:r>
          </w:p>
          <w:p w:rsidR="007C5EF5" w:rsidRPr="00923524" w:rsidRDefault="007C5EF5" w:rsidP="00F42AD7">
            <w:pPr>
              <w:pStyle w:val="BodyText"/>
              <w:spacing w:line="240" w:lineRule="auto"/>
              <w:rPr>
                <w:lang w:val="en-GB"/>
              </w:rPr>
            </w:pPr>
            <w:r w:rsidRPr="00923524">
              <w:rPr>
                <w:lang w:val="en-GB"/>
              </w:rPr>
              <w:t>Article 11</w:t>
            </w:r>
          </w:p>
          <w:p w:rsidR="007C5EF5" w:rsidRPr="00923524" w:rsidRDefault="007C5EF5" w:rsidP="00F42AD7">
            <w:pPr>
              <w:pStyle w:val="BodyText"/>
              <w:spacing w:line="240" w:lineRule="auto"/>
              <w:rPr>
                <w:lang w:val="en-GB"/>
              </w:rPr>
            </w:pPr>
            <w:r w:rsidRPr="00923524">
              <w:rPr>
                <w:lang w:val="en-GB"/>
              </w:rPr>
              <w:t xml:space="preserve">Article 8 </w:t>
            </w:r>
          </w:p>
          <w:p w:rsidR="007C5EF5" w:rsidRPr="00923524" w:rsidRDefault="007C5EF5" w:rsidP="00F42AD7">
            <w:pPr>
              <w:pStyle w:val="BodyText"/>
              <w:spacing w:line="240" w:lineRule="auto"/>
              <w:rPr>
                <w:lang w:val="en-GB"/>
              </w:rPr>
            </w:pPr>
            <w:proofErr w:type="gramStart"/>
            <w:r w:rsidRPr="00923524">
              <w:rPr>
                <w:lang w:val="en-GB"/>
              </w:rPr>
              <w:t>Annexes ..</w:t>
            </w:r>
            <w:proofErr w:type="gramEnd"/>
          </w:p>
        </w:tc>
        <w:tc>
          <w:tcPr>
            <w:tcW w:w="5670" w:type="dxa"/>
          </w:tcPr>
          <w:p w:rsidR="007C5EF5" w:rsidRPr="00923524" w:rsidRDefault="007C5EF5" w:rsidP="00F42AD7">
            <w:pPr>
              <w:pStyle w:val="BodyText"/>
              <w:spacing w:line="240" w:lineRule="auto"/>
              <w:rPr>
                <w:lang w:val="en-GB"/>
              </w:rPr>
            </w:pPr>
            <w:r w:rsidRPr="00923524">
              <w:rPr>
                <w:i/>
                <w:lang w:val="en-GB"/>
              </w:rPr>
              <w:t>Comments</w:t>
            </w:r>
          </w:p>
          <w:p w:rsidR="007C5EF5" w:rsidRPr="00923524" w:rsidRDefault="007C5EF5" w:rsidP="00F42AD7">
            <w:pPr>
              <w:pStyle w:val="BodyText"/>
              <w:spacing w:after="0" w:line="100" w:lineRule="atLeast"/>
              <w:rPr>
                <w:b/>
                <w:lang w:val="en-GB"/>
              </w:rPr>
            </w:pPr>
            <w:r w:rsidRPr="00923524">
              <w:rPr>
                <w:b/>
                <w:lang w:val="en-GB"/>
              </w:rPr>
              <w:t>Article 11</w:t>
            </w:r>
          </w:p>
          <w:p w:rsidR="007C5EF5" w:rsidRPr="00923524" w:rsidRDefault="007C5EF5" w:rsidP="00F42AD7">
            <w:pPr>
              <w:pStyle w:val="BodyText"/>
              <w:spacing w:after="0" w:line="100" w:lineRule="atLeast"/>
              <w:rPr>
                <w:lang w:val="en-GB"/>
              </w:rPr>
            </w:pPr>
            <w:r w:rsidRPr="00923524">
              <w:rPr>
                <w:lang w:val="en-GB"/>
              </w:rPr>
              <w:t xml:space="preserve">On the basis of the initial assessment made pursuant to Article 8(1), Member States shall establish and implement coordinated monitoring programmes for the ongoing assessment of the environmental status of their marine waters on the basis of the indicative lists of elements set out in Annex </w:t>
            </w:r>
            <w:smartTag w:uri="urn:schemas-microsoft-com:office:smarttags" w:element="stockticker">
              <w:r w:rsidRPr="00923524">
                <w:rPr>
                  <w:lang w:val="en-GB"/>
                </w:rPr>
                <w:t>III</w:t>
              </w:r>
            </w:smartTag>
            <w:r w:rsidRPr="00923524">
              <w:rPr>
                <w:lang w:val="en-GB"/>
              </w:rPr>
              <w:t xml:space="preserve"> and the list set out in Annex V, and by reference to the environmental targets established pursuant to Article 10.</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Which parts of MSFD requirements does the programme fulfil? Refer to the articles and annexes of the Directive that require that monitoring is carried out.</w:t>
            </w:r>
          </w:p>
        </w:tc>
      </w:tr>
      <w:tr w:rsidR="007C5EF5" w:rsidRPr="00923524">
        <w:tc>
          <w:tcPr>
            <w:tcW w:w="2660" w:type="dxa"/>
          </w:tcPr>
          <w:p w:rsidR="007C5EF5" w:rsidRPr="00923524" w:rsidRDefault="007C5EF5" w:rsidP="00F42AD7">
            <w:pPr>
              <w:pStyle w:val="BodyText"/>
              <w:spacing w:line="240" w:lineRule="auto"/>
              <w:rPr>
                <w:lang w:val="en-GB"/>
              </w:rPr>
            </w:pPr>
            <w:r w:rsidRPr="00923524">
              <w:rPr>
                <w:lang w:val="en-GB"/>
              </w:rPr>
              <w:t>Habitat Directive</w:t>
            </w:r>
          </w:p>
          <w:p w:rsidR="007C5EF5" w:rsidRPr="00923524" w:rsidRDefault="007C5EF5" w:rsidP="00F42AD7">
            <w:pPr>
              <w:pStyle w:val="BodyText"/>
              <w:spacing w:line="240" w:lineRule="auto"/>
              <w:rPr>
                <w:lang w:val="en-GB"/>
              </w:rPr>
            </w:pPr>
            <w:r w:rsidRPr="00923524">
              <w:rPr>
                <w:lang w:val="en-GB"/>
              </w:rPr>
              <w:t>Article 11</w:t>
            </w:r>
          </w:p>
        </w:tc>
        <w:tc>
          <w:tcPr>
            <w:tcW w:w="5670" w:type="dxa"/>
          </w:tcPr>
          <w:p w:rsidR="007C5EF5" w:rsidRPr="00923524" w:rsidRDefault="007C5EF5" w:rsidP="00F42AD7">
            <w:pPr>
              <w:pStyle w:val="BodyText"/>
              <w:spacing w:line="240" w:lineRule="auto"/>
              <w:rPr>
                <w:i/>
                <w:lang w:val="en-GB"/>
              </w:rPr>
            </w:pPr>
            <w:r w:rsidRPr="00923524">
              <w:rPr>
                <w:i/>
                <w:lang w:val="en-GB"/>
              </w:rPr>
              <w:t>Comments</w:t>
            </w:r>
          </w:p>
          <w:p w:rsidR="007C5EF5" w:rsidRPr="00923524" w:rsidRDefault="007C5EF5" w:rsidP="00F42AD7">
            <w:pPr>
              <w:pStyle w:val="BodyText"/>
              <w:spacing w:line="240" w:lineRule="auto"/>
              <w:rPr>
                <w:i/>
                <w:lang w:val="en-GB"/>
              </w:rPr>
            </w:pPr>
            <w:r w:rsidRPr="00923524">
              <w:rPr>
                <w:rFonts w:cs="TimesNewRoman"/>
                <w:b/>
                <w:lang w:val="en-GB" w:eastAsia="ro-RO"/>
              </w:rPr>
              <w:t>Art. 11</w:t>
            </w:r>
          </w:p>
          <w:p w:rsidR="007C5EF5" w:rsidRPr="00923524" w:rsidRDefault="007C5EF5" w:rsidP="00F42AD7">
            <w:pPr>
              <w:pStyle w:val="BodyText"/>
              <w:spacing w:line="240" w:lineRule="auto"/>
              <w:jc w:val="both"/>
              <w:rPr>
                <w:lang w:val="en-GB"/>
              </w:rPr>
            </w:pPr>
            <w:r w:rsidRPr="00923524">
              <w:rPr>
                <w:rFonts w:cs="TimesNewRoman"/>
                <w:lang w:val="en-GB" w:eastAsia="ro-RO"/>
              </w:rPr>
              <w:t>Member States shall undertake surveillance of the conservation status of the natural habitats and species referred to in Article 2 with particular regard to priority natural habitat types and priority species.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Which parts of HD requirements does the programme fulfil?</w:t>
            </w:r>
          </w:p>
          <w:p w:rsidR="007C5EF5" w:rsidRPr="00923524" w:rsidRDefault="007C5EF5" w:rsidP="00F42AD7">
            <w:pPr>
              <w:pStyle w:val="BodyText"/>
              <w:spacing w:line="240" w:lineRule="auto"/>
              <w:rPr>
                <w:color w:val="FF0000"/>
                <w:lang w:val="en-GB"/>
              </w:rPr>
            </w:pPr>
          </w:p>
        </w:tc>
      </w:tr>
      <w:tr w:rsidR="007C5EF5" w:rsidRPr="00923524">
        <w:tc>
          <w:tcPr>
            <w:tcW w:w="2660" w:type="dxa"/>
          </w:tcPr>
          <w:p w:rsidR="007C5EF5" w:rsidRPr="00923524" w:rsidRDefault="007C5EF5" w:rsidP="00F42AD7">
            <w:pPr>
              <w:pStyle w:val="BodyText"/>
              <w:spacing w:line="240" w:lineRule="auto"/>
              <w:rPr>
                <w:lang w:val="en-GB"/>
              </w:rPr>
            </w:pPr>
            <w:r w:rsidRPr="00923524">
              <w:rPr>
                <w:lang w:val="en-GB"/>
              </w:rPr>
              <w:t>WFD</w:t>
            </w:r>
          </w:p>
          <w:p w:rsidR="007C5EF5" w:rsidRPr="00923524" w:rsidRDefault="007C5EF5" w:rsidP="00F42AD7">
            <w:pPr>
              <w:pStyle w:val="BodyText"/>
              <w:spacing w:line="240" w:lineRule="auto"/>
              <w:rPr>
                <w:lang w:val="en-GB"/>
              </w:rPr>
            </w:pPr>
            <w:proofErr w:type="gramStart"/>
            <w:r w:rsidRPr="00923524">
              <w:rPr>
                <w:lang w:val="en-GB"/>
              </w:rPr>
              <w:t>Article ..</w:t>
            </w:r>
            <w:proofErr w:type="gramEnd"/>
          </w:p>
        </w:tc>
        <w:tc>
          <w:tcPr>
            <w:tcW w:w="5670" w:type="dxa"/>
          </w:tcPr>
          <w:p w:rsidR="007C5EF5" w:rsidRPr="00923524" w:rsidRDefault="007C5EF5" w:rsidP="00F42AD7">
            <w:pPr>
              <w:pStyle w:val="BodyText"/>
              <w:spacing w:line="240" w:lineRule="auto"/>
              <w:rPr>
                <w:i/>
                <w:lang w:val="en-GB"/>
              </w:rPr>
            </w:pPr>
            <w:r w:rsidRPr="00923524">
              <w:rPr>
                <w:i/>
                <w:lang w:val="en-GB"/>
              </w:rPr>
              <w:t>Comments</w:t>
            </w:r>
          </w:p>
          <w:p w:rsidR="007C5EF5" w:rsidRPr="00923524" w:rsidRDefault="007C5EF5" w:rsidP="00F42AD7">
            <w:pPr>
              <w:pStyle w:val="BodyText"/>
              <w:spacing w:line="240" w:lineRule="auto"/>
              <w:jc w:val="both"/>
              <w:rPr>
                <w:i/>
                <w:lang w:val="en-GB"/>
              </w:rPr>
            </w:pPr>
            <w:r w:rsidRPr="00923524">
              <w:rPr>
                <w:rFonts w:cs="TimesNewRoman"/>
                <w:b/>
                <w:lang w:val="en-GB" w:eastAsia="ro-RO"/>
              </w:rPr>
              <w:t>Art. 8</w:t>
            </w:r>
          </w:p>
          <w:p w:rsidR="007C5EF5" w:rsidRPr="00923524" w:rsidRDefault="007C5EF5" w:rsidP="00F42AD7">
            <w:pPr>
              <w:pStyle w:val="BodyText"/>
              <w:spacing w:before="120" w:line="100" w:lineRule="atLeast"/>
              <w:jc w:val="both"/>
              <w:rPr>
                <w:b/>
                <w:lang w:val="en-GB"/>
              </w:rPr>
            </w:pPr>
            <w:r w:rsidRPr="00923524">
              <w:rPr>
                <w:b/>
                <w:lang w:val="en-GB"/>
              </w:rPr>
              <w:t>Water Framework Directive</w:t>
            </w:r>
          </w:p>
          <w:p w:rsidR="007C5EF5" w:rsidRPr="00923524" w:rsidRDefault="007C5EF5" w:rsidP="00F42AD7">
            <w:pPr>
              <w:pStyle w:val="BodyText"/>
              <w:spacing w:before="120" w:line="100" w:lineRule="atLeast"/>
              <w:jc w:val="both"/>
              <w:rPr>
                <w:lang w:val="en-GB"/>
              </w:rPr>
            </w:pPr>
            <w:r w:rsidRPr="00923524">
              <w:rPr>
                <w:lang w:val="en-GB"/>
              </w:rPr>
              <w:t>According to Article 8 of the WFD, MS shall establish monitoring programmes within each river basin district for assessment of the surface water body ecological status, chemical status and ecological potential. This applies to the coastal and transitional waters. The monitoring of marine waters seawards from the coastal waters is implemented within the MSFD. However, the MSFD takes into account the coastal and transitional waters in Art. 8, point 2.</w:t>
            </w:r>
          </w:p>
          <w:p w:rsidR="007C5EF5" w:rsidRPr="00923524" w:rsidRDefault="007C5EF5" w:rsidP="00F42AD7">
            <w:pPr>
              <w:spacing w:after="120" w:line="240" w:lineRule="auto"/>
              <w:jc w:val="both"/>
              <w:rPr>
                <w:lang w:val="en-GB"/>
              </w:rPr>
            </w:pPr>
            <w:r w:rsidRPr="00923524">
              <w:rPr>
                <w:lang w:val="en-GB"/>
              </w:rPr>
              <w:t xml:space="preserve">Under the WFD, biological quality elements (BQE) are to be monitored as one of the </w:t>
            </w:r>
            <w:proofErr w:type="spellStart"/>
            <w:r w:rsidRPr="00923524">
              <w:rPr>
                <w:lang w:val="en-GB"/>
              </w:rPr>
              <w:t>physico</w:t>
            </w:r>
            <w:proofErr w:type="spellEnd"/>
            <w:r w:rsidRPr="00923524">
              <w:rPr>
                <w:lang w:val="en-GB"/>
              </w:rPr>
              <w:t xml:space="preserve">-chemical quality elements every three months in coastal waters that are subject to ecological assessment. The mandatory parameters are total nitrogen, total phosphorus, NO3and PO4. See also Annex V, 1.3.4. </w:t>
            </w:r>
          </w:p>
          <w:p w:rsidR="007C5EF5" w:rsidRPr="00923524" w:rsidRDefault="007C5EF5" w:rsidP="00F42AD7">
            <w:pPr>
              <w:spacing w:after="120" w:line="240" w:lineRule="auto"/>
              <w:jc w:val="both"/>
              <w:rPr>
                <w:rFonts w:cs="Arial"/>
                <w:b/>
                <w:lang w:val="en-GB" w:eastAsia="en-GB"/>
              </w:rPr>
            </w:pPr>
            <w:r w:rsidRPr="00923524">
              <w:rPr>
                <w:rFonts w:cs="Arial"/>
                <w:b/>
                <w:lang w:val="en-GB" w:eastAsia="en-GB"/>
              </w:rPr>
              <w:t xml:space="preserve">Annex V - 1.2.4 </w:t>
            </w:r>
          </w:p>
          <w:p w:rsidR="007C5EF5" w:rsidRPr="00923524" w:rsidRDefault="007C5EF5" w:rsidP="00F42AD7">
            <w:pPr>
              <w:spacing w:after="120" w:line="240" w:lineRule="auto"/>
              <w:jc w:val="both"/>
              <w:rPr>
                <w:rFonts w:cs="Arial"/>
                <w:lang w:val="en-GB" w:eastAsia="en-GB"/>
              </w:rPr>
            </w:pPr>
            <w:r w:rsidRPr="00923524">
              <w:rPr>
                <w:rFonts w:cs="Arial"/>
                <w:lang w:val="en-GB" w:eastAsia="en-GB"/>
              </w:rPr>
              <w:t>The WFD requires that the assessment of the phytoplankton quality element considers composition, abundance, biomass and planktonic blooms.</w:t>
            </w:r>
          </w:p>
          <w:p w:rsidR="007C5EF5" w:rsidRPr="00923524" w:rsidRDefault="007C5EF5" w:rsidP="00F42AD7">
            <w:pPr>
              <w:spacing w:after="120" w:line="240" w:lineRule="auto"/>
              <w:jc w:val="both"/>
              <w:rPr>
                <w:rFonts w:cs="Arial"/>
                <w:lang w:val="en-GB" w:eastAsia="en-GB"/>
              </w:rPr>
            </w:pPr>
            <w:r w:rsidRPr="00923524">
              <w:rPr>
                <w:rFonts w:cs="Arial"/>
                <w:lang w:val="en-GB" w:eastAsia="en-GB"/>
              </w:rPr>
              <w:t>The phytoplankton tool for coastal waters is formed of three  separate indices:</w:t>
            </w:r>
          </w:p>
          <w:p w:rsidR="007C5EF5" w:rsidRPr="00923524" w:rsidRDefault="007C5EF5" w:rsidP="00F42AD7">
            <w:pPr>
              <w:spacing w:after="120" w:line="240" w:lineRule="auto"/>
              <w:jc w:val="both"/>
              <w:rPr>
                <w:rFonts w:cs="Arial"/>
                <w:lang w:val="en-GB" w:eastAsia="en-GB"/>
              </w:rPr>
            </w:pPr>
            <w:r w:rsidRPr="00923524">
              <w:rPr>
                <w:rFonts w:cs="Arial"/>
                <w:lang w:val="en-GB" w:eastAsia="en-GB"/>
              </w:rPr>
              <w:t>(</w:t>
            </w:r>
            <w:proofErr w:type="spellStart"/>
            <w:r w:rsidRPr="00923524">
              <w:rPr>
                <w:rFonts w:cs="Arial"/>
                <w:lang w:val="en-GB" w:eastAsia="en-GB"/>
              </w:rPr>
              <w:t>i</w:t>
            </w:r>
            <w:proofErr w:type="spellEnd"/>
            <w:r w:rsidRPr="00923524">
              <w:rPr>
                <w:rFonts w:cs="Arial"/>
                <w:lang w:val="en-GB" w:eastAsia="en-GB"/>
              </w:rPr>
              <w:t>) Chlorophyll 90</w:t>
            </w:r>
            <w:r w:rsidRPr="00923524">
              <w:rPr>
                <w:rFonts w:cs="Arial"/>
                <w:vertAlign w:val="superscript"/>
                <w:lang w:val="en-GB" w:eastAsia="en-GB"/>
              </w:rPr>
              <w:t>th</w:t>
            </w:r>
            <w:r w:rsidRPr="00923524">
              <w:rPr>
                <w:rFonts w:cs="Arial"/>
                <w:lang w:val="en-GB" w:eastAsia="en-GB"/>
              </w:rPr>
              <w:t xml:space="preserve"> percentile metric</w:t>
            </w:r>
          </w:p>
          <w:p w:rsidR="007C5EF5" w:rsidRPr="00923524" w:rsidRDefault="007C5EF5" w:rsidP="00F42AD7">
            <w:pPr>
              <w:spacing w:after="120" w:line="240" w:lineRule="auto"/>
              <w:jc w:val="both"/>
              <w:rPr>
                <w:rFonts w:cs="Arial"/>
                <w:lang w:val="en-GB" w:eastAsia="en-GB"/>
              </w:rPr>
            </w:pPr>
            <w:r w:rsidRPr="00923524">
              <w:rPr>
                <w:rFonts w:cs="Arial"/>
                <w:lang w:val="en-GB" w:eastAsia="en-GB"/>
              </w:rPr>
              <w:t>(ii) Elevated count multi-metric</w:t>
            </w:r>
          </w:p>
          <w:p w:rsidR="007C5EF5" w:rsidRPr="00923524" w:rsidRDefault="007C5EF5" w:rsidP="00F42AD7">
            <w:pPr>
              <w:spacing w:after="120" w:line="240" w:lineRule="auto"/>
              <w:jc w:val="both"/>
              <w:rPr>
                <w:rFonts w:cs="Arial"/>
                <w:lang w:val="en-GB" w:eastAsia="en-GB"/>
              </w:rPr>
            </w:pPr>
            <w:r w:rsidRPr="00923524">
              <w:rPr>
                <w:rFonts w:cs="Arial"/>
                <w:lang w:val="en-GB" w:eastAsia="en-GB"/>
              </w:rPr>
              <w:t>(iii) Seasonal succession multi-metric</w:t>
            </w:r>
          </w:p>
          <w:p w:rsidR="007C5EF5" w:rsidRPr="00923524" w:rsidRDefault="007C5EF5" w:rsidP="00F42AD7">
            <w:pPr>
              <w:spacing w:after="120" w:line="240" w:lineRule="auto"/>
              <w:jc w:val="both"/>
              <w:rPr>
                <w:rFonts w:cs="Arial"/>
                <w:b/>
                <w:lang w:val="en-GB" w:eastAsia="en-GB"/>
              </w:rPr>
            </w:pPr>
            <w:r w:rsidRPr="00923524">
              <w:rPr>
                <w:rFonts w:cs="Arial"/>
                <w:b/>
                <w:lang w:val="en-GB" w:eastAsia="en-GB"/>
              </w:rPr>
              <w:t xml:space="preserve">Annex V – 1.3 </w:t>
            </w:r>
          </w:p>
          <w:p w:rsidR="007C5EF5" w:rsidRPr="00923524" w:rsidRDefault="007C5EF5" w:rsidP="00F42AD7">
            <w:pPr>
              <w:pStyle w:val="BodyText"/>
              <w:spacing w:line="240" w:lineRule="auto"/>
              <w:rPr>
                <w:rFonts w:cs="Adve06613w"/>
                <w:lang w:val="en-GB" w:eastAsia="ro-RO"/>
              </w:rPr>
            </w:pPr>
            <w:r w:rsidRPr="00923524">
              <w:rPr>
                <w:rFonts w:cs="Adve06613w"/>
                <w:lang w:val="en-GB" w:eastAsia="ro-RO"/>
              </w:rPr>
              <w:t>Member States shall monitor parameters which are indicative of the status of each relevant quality element. In selecting parameters for biological quality elements. Member States shall identify the appropriate taxonomic level required to achieve adequate confidence and precision in the classification of the quality elements.</w:t>
            </w:r>
          </w:p>
          <w:p w:rsidR="007C5EF5" w:rsidRPr="00923524" w:rsidRDefault="007C5EF5" w:rsidP="00F42AD7">
            <w:pPr>
              <w:pStyle w:val="BodyText"/>
              <w:spacing w:line="240" w:lineRule="auto"/>
              <w:rPr>
                <w:rFonts w:cs="Adve06613w"/>
                <w:lang w:val="en-GB" w:eastAsia="ro-RO"/>
              </w:rPr>
            </w:pPr>
            <w:r w:rsidRPr="00923524">
              <w:rPr>
                <w:rFonts w:cs="Adve06613w"/>
                <w:lang w:val="en-GB" w:eastAsia="ro-RO"/>
              </w:rPr>
              <w:t xml:space="preserve">The following parameters should be monitored (adopted  from  </w:t>
            </w:r>
            <w:proofErr w:type="spellStart"/>
            <w:r w:rsidRPr="00923524">
              <w:rPr>
                <w:rFonts w:cs="Adve06613w"/>
                <w:lang w:val="en-GB" w:eastAsia="ro-RO"/>
              </w:rPr>
              <w:t>Craglia</w:t>
            </w:r>
            <w:proofErr w:type="spellEnd"/>
            <w:r w:rsidRPr="00923524">
              <w:rPr>
                <w:rFonts w:cs="Adve06613w"/>
                <w:lang w:val="en-GB" w:eastAsia="ro-RO"/>
              </w:rPr>
              <w:t xml:space="preserve">  et  al.,  2010a, cited in </w:t>
            </w:r>
            <w:proofErr w:type="spellStart"/>
            <w:r w:rsidRPr="00923524">
              <w:rPr>
                <w:rFonts w:cs="Adve06613w"/>
                <w:lang w:val="en-GB" w:eastAsia="ro-RO"/>
              </w:rPr>
              <w:t>Zampoukas</w:t>
            </w:r>
            <w:proofErr w:type="spellEnd"/>
            <w:r w:rsidRPr="00923524">
              <w:rPr>
                <w:rFonts w:cs="Adve06613w"/>
                <w:lang w:val="en-GB" w:eastAsia="ro-RO"/>
              </w:rPr>
              <w:t xml:space="preserve"> et al., 2012):</w:t>
            </w:r>
          </w:p>
          <w:p w:rsidR="007C5EF5" w:rsidRPr="00923524" w:rsidRDefault="007C5EF5" w:rsidP="00F42AD7">
            <w:pPr>
              <w:pStyle w:val="BodyText"/>
              <w:spacing w:line="240" w:lineRule="auto"/>
              <w:rPr>
                <w:lang w:val="en-GB"/>
              </w:rPr>
            </w:pPr>
            <w:r w:rsidRPr="00923524">
              <w:rPr>
                <w:lang w:val="en-GB"/>
              </w:rPr>
              <w:t>Phytoplankton Abundance</w:t>
            </w:r>
          </w:p>
          <w:p w:rsidR="007C5EF5" w:rsidRPr="00923524" w:rsidRDefault="007C5EF5" w:rsidP="00F42AD7">
            <w:pPr>
              <w:pStyle w:val="BodyText"/>
              <w:spacing w:line="240" w:lineRule="auto"/>
              <w:rPr>
                <w:lang w:val="en-GB"/>
              </w:rPr>
            </w:pPr>
            <w:r w:rsidRPr="00923524">
              <w:rPr>
                <w:lang w:val="en-GB"/>
              </w:rPr>
              <w:t>Phytoplankton Biomass</w:t>
            </w:r>
          </w:p>
          <w:p w:rsidR="007C5EF5" w:rsidRPr="00923524" w:rsidRDefault="007C5EF5" w:rsidP="00F42AD7">
            <w:pPr>
              <w:pStyle w:val="BodyText"/>
              <w:spacing w:line="240" w:lineRule="auto"/>
              <w:rPr>
                <w:lang w:val="en-GB"/>
              </w:rPr>
            </w:pPr>
            <w:r w:rsidRPr="00923524">
              <w:rPr>
                <w:lang w:val="en-GB"/>
              </w:rPr>
              <w:t>Phytoplankton Bloom Frequency / Intensity</w:t>
            </w:r>
          </w:p>
          <w:p w:rsidR="007C5EF5" w:rsidRPr="00923524" w:rsidRDefault="007C5EF5" w:rsidP="00F42AD7">
            <w:pPr>
              <w:pStyle w:val="BodyText"/>
              <w:spacing w:line="240" w:lineRule="auto"/>
              <w:rPr>
                <w:lang w:val="en-GB"/>
              </w:rPr>
            </w:pPr>
            <w:r w:rsidRPr="00923524">
              <w:rPr>
                <w:lang w:val="en-GB"/>
              </w:rPr>
              <w:t>Phytoplankton Composition</w:t>
            </w:r>
          </w:p>
          <w:p w:rsidR="007C5EF5" w:rsidRPr="00923524" w:rsidRDefault="007C5EF5" w:rsidP="00F42AD7">
            <w:pPr>
              <w:pStyle w:val="BodyText"/>
              <w:spacing w:line="240" w:lineRule="auto"/>
              <w:rPr>
                <w:lang w:val="en-GB"/>
              </w:rPr>
            </w:pPr>
            <w:r w:rsidRPr="00923524">
              <w:rPr>
                <w:lang w:val="en-GB"/>
              </w:rPr>
              <w:t>Phytoplankton Diversity</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Which parts of WFD requirements does the programme fulfil?</w:t>
            </w:r>
          </w:p>
        </w:tc>
      </w:tr>
      <w:tr w:rsidR="007C5EF5" w:rsidRPr="00923524">
        <w:tc>
          <w:tcPr>
            <w:tcW w:w="2660" w:type="dxa"/>
          </w:tcPr>
          <w:p w:rsidR="007C5EF5" w:rsidRPr="00923524" w:rsidRDefault="007C5EF5" w:rsidP="00F42AD7">
            <w:pPr>
              <w:pStyle w:val="BodyText"/>
              <w:spacing w:line="240" w:lineRule="auto"/>
              <w:rPr>
                <w:lang w:val="en-GB"/>
              </w:rPr>
            </w:pPr>
            <w:r w:rsidRPr="00923524">
              <w:rPr>
                <w:lang w:val="en-GB"/>
              </w:rPr>
              <w:t>Black Sea Commission</w:t>
            </w:r>
          </w:p>
          <w:p w:rsidR="007C5EF5" w:rsidRPr="00923524" w:rsidRDefault="007C5EF5" w:rsidP="00F42AD7">
            <w:pPr>
              <w:pStyle w:val="BodyText"/>
              <w:spacing w:line="240" w:lineRule="auto"/>
              <w:rPr>
                <w:lang w:val="en-GB"/>
              </w:rPr>
            </w:pPr>
            <w:r w:rsidRPr="00923524">
              <w:rPr>
                <w:lang w:val="en-GB"/>
              </w:rPr>
              <w:t>Black Sea SAP</w:t>
            </w:r>
          </w:p>
        </w:tc>
        <w:tc>
          <w:tcPr>
            <w:tcW w:w="5670" w:type="dxa"/>
          </w:tcPr>
          <w:p w:rsidR="007C5EF5" w:rsidRPr="00923524" w:rsidRDefault="007C5EF5" w:rsidP="00F42AD7">
            <w:pPr>
              <w:pStyle w:val="BodyText"/>
              <w:spacing w:line="240" w:lineRule="auto"/>
              <w:rPr>
                <w:i/>
                <w:lang w:val="en-GB"/>
              </w:rPr>
            </w:pPr>
            <w:r w:rsidRPr="00923524">
              <w:rPr>
                <w:i/>
                <w:lang w:val="en-GB"/>
              </w:rPr>
              <w:t>Comments</w:t>
            </w:r>
          </w:p>
          <w:p w:rsidR="007C5EF5" w:rsidRPr="00923524" w:rsidRDefault="007C5EF5" w:rsidP="00F42AD7">
            <w:pPr>
              <w:spacing w:after="120" w:line="240" w:lineRule="auto"/>
              <w:outlineLvl w:val="1"/>
              <w:rPr>
                <w:rFonts w:cs="Times New Roman"/>
                <w:b/>
                <w:bCs/>
                <w:lang w:val="en-GB"/>
              </w:rPr>
            </w:pPr>
            <w:r w:rsidRPr="00923524">
              <w:rPr>
                <w:rFonts w:cs="Times New Roman"/>
                <w:b/>
                <w:bCs/>
                <w:lang w:val="en-GB"/>
              </w:rPr>
              <w:t>Convention on the Protection of the Black Sea Against Pollution</w:t>
            </w:r>
          </w:p>
          <w:p w:rsidR="007C5EF5" w:rsidRPr="00923524" w:rsidRDefault="007C5EF5" w:rsidP="00F42AD7">
            <w:pPr>
              <w:spacing w:after="120" w:line="240" w:lineRule="auto"/>
              <w:outlineLvl w:val="1"/>
              <w:rPr>
                <w:rFonts w:cs="Times New Roman"/>
                <w:b/>
                <w:bCs/>
                <w:lang w:val="en-GB"/>
              </w:rPr>
            </w:pPr>
            <w:r w:rsidRPr="00923524">
              <w:rPr>
                <w:rFonts w:cs="Times New Roman"/>
                <w:b/>
                <w:bCs/>
                <w:lang w:val="en-GB"/>
              </w:rPr>
              <w:t>Art. 15.</w:t>
            </w:r>
          </w:p>
          <w:p w:rsidR="007C5EF5" w:rsidRPr="00923524" w:rsidRDefault="007C5EF5" w:rsidP="00F42AD7">
            <w:pPr>
              <w:pStyle w:val="NormalWeb"/>
              <w:numPr>
                <w:ilvl w:val="0"/>
                <w:numId w:val="3"/>
              </w:numPr>
              <w:tabs>
                <w:tab w:val="clear" w:pos="720"/>
                <w:tab w:val="num" w:pos="256"/>
              </w:tabs>
              <w:spacing w:before="0" w:beforeAutospacing="0" w:after="120" w:afterAutospacing="0" w:line="276" w:lineRule="auto"/>
              <w:ind w:left="0" w:firstLine="0"/>
              <w:jc w:val="both"/>
              <w:rPr>
                <w:rFonts w:ascii="Calibri" w:hAnsi="Calibri"/>
                <w:sz w:val="22"/>
                <w:szCs w:val="22"/>
                <w:lang w:val="en-GB"/>
              </w:rPr>
            </w:pPr>
            <w:r w:rsidRPr="00923524">
              <w:rPr>
                <w:rFonts w:ascii="Calibri" w:hAnsi="Calibri"/>
                <w:sz w:val="22"/>
                <w:szCs w:val="22"/>
                <w:lang w:val="en-GB"/>
              </w:rPr>
              <w:t>The Contracting Parties shall cooperate in conducting scientific research aimed at protecting and preserving the marine environment of the Black Sea and shall undertake, where appropriate, joint programmes of scientific research, and exchange relevant scientific data and information.</w:t>
            </w:r>
          </w:p>
          <w:p w:rsidR="007C5EF5" w:rsidRPr="00923524" w:rsidRDefault="007C5EF5" w:rsidP="00F42AD7">
            <w:pPr>
              <w:pStyle w:val="Heading3"/>
              <w:spacing w:line="240" w:lineRule="auto"/>
              <w:jc w:val="both"/>
              <w:rPr>
                <w:rFonts w:ascii="Calibri" w:hAnsi="Calibri"/>
                <w:sz w:val="22"/>
                <w:lang w:val="en-GB"/>
              </w:rPr>
            </w:pPr>
            <w:bookmarkStart w:id="0" w:name="LBS2009"/>
            <w:r w:rsidRPr="00923524">
              <w:rPr>
                <w:rFonts w:ascii="Calibri" w:hAnsi="Calibri"/>
                <w:sz w:val="22"/>
                <w:lang w:val="en-GB"/>
              </w:rPr>
              <w:t>Protocol on the Protection of the Marine Environment of the Black Sea from Land-Based Sources and Activities (2009)</w:t>
            </w:r>
          </w:p>
          <w:p w:rsidR="007C5EF5" w:rsidRPr="00923524" w:rsidRDefault="007C5EF5" w:rsidP="00F42AD7">
            <w:pPr>
              <w:pStyle w:val="Heading3"/>
              <w:spacing w:line="240" w:lineRule="auto"/>
              <w:rPr>
                <w:rFonts w:ascii="Calibri" w:hAnsi="Calibri"/>
                <w:sz w:val="22"/>
                <w:lang w:val="en-GB"/>
              </w:rPr>
            </w:pPr>
            <w:r w:rsidRPr="00923524">
              <w:rPr>
                <w:rFonts w:ascii="Calibri" w:hAnsi="Calibri"/>
                <w:sz w:val="22"/>
                <w:lang w:val="en-GB"/>
              </w:rPr>
              <w:t>Art. 11</w:t>
            </w:r>
          </w:p>
          <w:p w:rsidR="007C5EF5" w:rsidRPr="00923524" w:rsidRDefault="007C5EF5" w:rsidP="00F42AD7">
            <w:pPr>
              <w:pStyle w:val="NormalWeb"/>
              <w:spacing w:before="0" w:beforeAutospacing="0" w:after="120" w:afterAutospacing="0" w:line="276" w:lineRule="auto"/>
              <w:jc w:val="both"/>
              <w:rPr>
                <w:rFonts w:ascii="Calibri" w:hAnsi="Calibri"/>
                <w:sz w:val="22"/>
                <w:lang w:val="en-GB"/>
              </w:rPr>
            </w:pPr>
            <w:r w:rsidRPr="00923524">
              <w:rPr>
                <w:rFonts w:ascii="Calibri" w:hAnsi="Calibri"/>
                <w:sz w:val="22"/>
                <w:lang w:val="en-GB"/>
              </w:rPr>
              <w:t xml:space="preserve">1. Within the framework of the provisions of, and the monitoring programmes provided for in Art. 15 of the Convention, and if necessary in cooperation with competent international organisations, the Contracting Parties shall: </w:t>
            </w:r>
          </w:p>
          <w:p w:rsidR="007C5EF5" w:rsidRPr="00923524" w:rsidRDefault="007C5EF5" w:rsidP="00F42AD7">
            <w:pPr>
              <w:pStyle w:val="NormalWeb"/>
              <w:spacing w:before="0" w:beforeAutospacing="0" w:after="120" w:afterAutospacing="0" w:line="276" w:lineRule="auto"/>
              <w:jc w:val="both"/>
              <w:rPr>
                <w:rFonts w:ascii="Calibri" w:hAnsi="Calibri"/>
                <w:sz w:val="20"/>
                <w:lang w:val="en-GB"/>
              </w:rPr>
            </w:pPr>
            <w:r w:rsidRPr="00923524">
              <w:rPr>
                <w:rFonts w:ascii="Calibri" w:hAnsi="Calibri"/>
                <w:sz w:val="22"/>
                <w:lang w:val="en-GB"/>
              </w:rPr>
              <w:t>a) Collect information and data on the conditions of the marine environment and coastal areas of the Black Sea as regards its physical, biological and chemical characteristics;</w:t>
            </w:r>
          </w:p>
          <w:p w:rsidR="007C5EF5" w:rsidRPr="00923524" w:rsidRDefault="007C5EF5" w:rsidP="00F42AD7">
            <w:pPr>
              <w:pStyle w:val="NormalWeb"/>
              <w:spacing w:before="0" w:beforeAutospacing="0" w:after="120" w:afterAutospacing="0" w:line="276" w:lineRule="auto"/>
              <w:jc w:val="both"/>
              <w:rPr>
                <w:rFonts w:ascii="Calibri" w:hAnsi="Calibri"/>
                <w:sz w:val="20"/>
                <w:lang w:val="en-GB"/>
              </w:rPr>
            </w:pPr>
            <w:r w:rsidRPr="00923524">
              <w:rPr>
                <w:rFonts w:ascii="Calibri" w:hAnsi="Calibri"/>
                <w:sz w:val="22"/>
                <w:lang w:val="en-GB"/>
              </w:rPr>
              <w:t>c) Systematically asses the state of the marine environment and coastal areas of the Black Sea;</w:t>
            </w:r>
          </w:p>
          <w:p w:rsidR="007C5EF5" w:rsidRPr="00923524" w:rsidRDefault="007C5EF5" w:rsidP="00F42AD7">
            <w:pPr>
              <w:pStyle w:val="NormalWeb"/>
              <w:spacing w:before="0" w:beforeAutospacing="0" w:after="120" w:afterAutospacing="0" w:line="276" w:lineRule="auto"/>
              <w:jc w:val="both"/>
              <w:rPr>
                <w:rFonts w:ascii="Calibri" w:hAnsi="Calibri"/>
                <w:sz w:val="22"/>
                <w:szCs w:val="22"/>
                <w:lang w:val="en-GB"/>
              </w:rPr>
            </w:pPr>
            <w:r w:rsidRPr="00923524">
              <w:rPr>
                <w:rFonts w:ascii="Calibri" w:hAnsi="Calibri"/>
                <w:sz w:val="22"/>
                <w:lang w:val="en-GB"/>
              </w:rPr>
              <w:t>2. The Contracting Parties shall collaborate in establishing a regional monitoring programme as well as compatible national monitoring programmes, and in facilitating data and information storage, retrieval and exchange.</w:t>
            </w:r>
            <w:bookmarkEnd w:id="0"/>
          </w:p>
          <w:p w:rsidR="007C5EF5" w:rsidRPr="00923524" w:rsidRDefault="007C5EF5" w:rsidP="00F42AD7">
            <w:pPr>
              <w:pStyle w:val="Heading1"/>
              <w:spacing w:before="0" w:after="120" w:line="240" w:lineRule="auto"/>
              <w:jc w:val="both"/>
              <w:rPr>
                <w:rFonts w:ascii="Calibri" w:hAnsi="Calibri"/>
                <w:sz w:val="22"/>
                <w:szCs w:val="22"/>
                <w:lang w:val="en-GB"/>
              </w:rPr>
            </w:pPr>
            <w:r w:rsidRPr="00923524">
              <w:rPr>
                <w:rFonts w:ascii="Calibri" w:hAnsi="Calibri"/>
                <w:sz w:val="22"/>
                <w:szCs w:val="22"/>
                <w:lang w:val="en-GB"/>
              </w:rPr>
              <w:t>Strategic Action Plan for the Environmental Protection and Rehabilitation of the Black Sea (2009)</w:t>
            </w:r>
          </w:p>
          <w:p w:rsidR="007C5EF5" w:rsidRPr="00923524" w:rsidRDefault="007C5EF5" w:rsidP="00F42AD7">
            <w:pPr>
              <w:pStyle w:val="BodyText"/>
              <w:spacing w:line="240" w:lineRule="auto"/>
              <w:rPr>
                <w:lang w:val="en-GB"/>
              </w:rPr>
            </w:pPr>
            <w:r w:rsidRPr="00923524">
              <w:rPr>
                <w:lang w:val="en-GB"/>
              </w:rPr>
              <w:t xml:space="preserve">A set of </w:t>
            </w:r>
            <w:r w:rsidRPr="00923524">
              <w:rPr>
                <w:rStyle w:val="Emphasis"/>
                <w:rFonts w:cs="Arial Unicode MS"/>
                <w:bCs/>
                <w:i w:val="0"/>
                <w:iCs/>
                <w:lang w:val="en-GB"/>
              </w:rPr>
              <w:t>preliminary</w:t>
            </w:r>
            <w:r w:rsidRPr="00923524">
              <w:rPr>
                <w:i/>
                <w:lang w:val="en-GB"/>
              </w:rPr>
              <w:t xml:space="preserve"> </w:t>
            </w:r>
            <w:r w:rsidRPr="00923524">
              <w:rPr>
                <w:lang w:val="en-GB"/>
              </w:rPr>
              <w:t xml:space="preserve">Monitor and Evaluate indicators are proposed in Annex IV (process, stress and environmental state indicators). Monitoring and Evaluation (M&amp;E) indicators are tools to monitor and verify SAP implementation (it is necessary to elaborate an indicator set that will measure progress towards the successful outcome of the </w:t>
            </w:r>
            <w:proofErr w:type="spellStart"/>
            <w:r w:rsidRPr="00923524">
              <w:rPr>
                <w:lang w:val="en-GB"/>
              </w:rPr>
              <w:t>EcoQOs</w:t>
            </w:r>
            <w:proofErr w:type="spellEnd"/>
            <w:r w:rsidRPr="00923524">
              <w:rPr>
                <w:lang w:val="en-GB"/>
              </w:rPr>
              <w:t xml:space="preserve"> and the short and long term management targets.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Does the programme fulfil any formal obligations to the BSC?</w:t>
            </w:r>
          </w:p>
        </w:tc>
      </w:tr>
      <w:tr w:rsidR="007C5EF5" w:rsidRPr="00923524">
        <w:tc>
          <w:tcPr>
            <w:tcW w:w="2660" w:type="dxa"/>
          </w:tcPr>
          <w:p w:rsidR="007C5EF5" w:rsidRPr="00923524" w:rsidRDefault="007C5EF5" w:rsidP="00F42AD7">
            <w:pPr>
              <w:pStyle w:val="BodyText"/>
              <w:spacing w:line="240" w:lineRule="auto"/>
              <w:rPr>
                <w:lang w:val="en-GB"/>
              </w:rPr>
            </w:pPr>
            <w:r w:rsidRPr="00923524">
              <w:rPr>
                <w:lang w:val="en-GB"/>
              </w:rPr>
              <w:t>Other plans and/or programmes</w:t>
            </w:r>
          </w:p>
          <w:p w:rsidR="007C5EF5" w:rsidRPr="00923524" w:rsidRDefault="007C5EF5" w:rsidP="00F42AD7">
            <w:pPr>
              <w:pStyle w:val="BodyText"/>
              <w:spacing w:line="240" w:lineRule="auto"/>
              <w:rPr>
                <w:lang w:val="en-GB"/>
              </w:rPr>
            </w:pPr>
            <w:r w:rsidRPr="00923524">
              <w:rPr>
                <w:lang w:val="en-GB"/>
              </w:rPr>
              <w:t>BWD</w:t>
            </w:r>
          </w:p>
          <w:p w:rsidR="007C5EF5" w:rsidRPr="00923524" w:rsidRDefault="007C5EF5" w:rsidP="00F42AD7">
            <w:pPr>
              <w:pStyle w:val="BodyText"/>
              <w:spacing w:line="240" w:lineRule="auto"/>
              <w:rPr>
                <w:lang w:val="en-GB"/>
              </w:rPr>
            </w:pPr>
            <w:r w:rsidRPr="00923524">
              <w:rPr>
                <w:lang w:val="en-GB"/>
              </w:rPr>
              <w:t>Article 3</w:t>
            </w:r>
          </w:p>
        </w:tc>
        <w:tc>
          <w:tcPr>
            <w:tcW w:w="5670" w:type="dxa"/>
          </w:tcPr>
          <w:p w:rsidR="007C5EF5" w:rsidRPr="00923524" w:rsidRDefault="007C5EF5" w:rsidP="00F42AD7">
            <w:pPr>
              <w:pStyle w:val="BodyText"/>
              <w:spacing w:line="240" w:lineRule="auto"/>
              <w:rPr>
                <w:i/>
                <w:lang w:val="en-GB"/>
              </w:rPr>
            </w:pPr>
            <w:r w:rsidRPr="00923524">
              <w:rPr>
                <w:i/>
                <w:lang w:val="en-GB"/>
              </w:rPr>
              <w:t>Comments</w:t>
            </w:r>
          </w:p>
          <w:p w:rsidR="007C5EF5" w:rsidRPr="00923524" w:rsidRDefault="007C5EF5" w:rsidP="00F42AD7">
            <w:pPr>
              <w:pStyle w:val="BodyText"/>
              <w:spacing w:line="240" w:lineRule="auto"/>
              <w:rPr>
                <w:b/>
                <w:lang w:val="en-GB"/>
              </w:rPr>
            </w:pPr>
            <w:r w:rsidRPr="00923524">
              <w:rPr>
                <w:b/>
                <w:lang w:val="en-GB"/>
              </w:rPr>
              <w:t>Bathing Waters Directive</w:t>
            </w:r>
          </w:p>
          <w:p w:rsidR="007C5EF5" w:rsidRPr="00923524" w:rsidRDefault="007C5EF5" w:rsidP="00F42AD7">
            <w:pPr>
              <w:pStyle w:val="BodyText"/>
              <w:spacing w:line="240" w:lineRule="auto"/>
              <w:rPr>
                <w:lang w:val="en-GB"/>
              </w:rPr>
            </w:pPr>
            <w:r w:rsidRPr="00923524">
              <w:rPr>
                <w:lang w:val="en-GB"/>
              </w:rPr>
              <w:t>Article 3 – Member states are required to conduct monitoring of the bathing waters within the coastal waters of the parameters set in Annex I, column A: Intestinal enterococci (</w:t>
            </w:r>
            <w:proofErr w:type="spellStart"/>
            <w:r w:rsidRPr="00923524">
              <w:rPr>
                <w:lang w:val="en-GB"/>
              </w:rPr>
              <w:t>cfu</w:t>
            </w:r>
            <w:proofErr w:type="spellEnd"/>
            <w:r w:rsidRPr="00923524">
              <w:rPr>
                <w:lang w:val="en-GB"/>
              </w:rPr>
              <w:t>/100 ml) and Escherichia coli (</w:t>
            </w:r>
            <w:proofErr w:type="spellStart"/>
            <w:r w:rsidRPr="00923524">
              <w:rPr>
                <w:lang w:val="en-GB"/>
              </w:rPr>
              <w:t>cfu</w:t>
            </w:r>
            <w:proofErr w:type="spellEnd"/>
            <w:r w:rsidRPr="00923524">
              <w:rPr>
                <w:lang w:val="en-GB"/>
              </w:rPr>
              <w:t>/100 ml). Member states assess the bathing waters quality, according to the values provided in Annex I and determine the bathing waters quality as either “poor”, “sufficient”, “good” or “excellent”. Member states also establish and maintain “bathing water profiles” to keep account of the bathing water quality and to prevent exposure to contamination, including information to the public.</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Does the programme fulfil any formal obligations to other plans and programmes?</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2.2 GES criteria</w:t>
            </w:r>
          </w:p>
        </w:tc>
        <w:tc>
          <w:tcPr>
            <w:tcW w:w="5670" w:type="dxa"/>
          </w:tcPr>
          <w:p w:rsidR="007C5EF5" w:rsidRPr="00923524" w:rsidRDefault="007C5EF5" w:rsidP="00F42AD7">
            <w:pPr>
              <w:pStyle w:val="BodyText"/>
              <w:spacing w:line="240" w:lineRule="auto"/>
              <w:rPr>
                <w:i/>
                <w:lang w:val="en-GB"/>
              </w:rPr>
            </w:pPr>
            <w:r w:rsidRPr="00923524">
              <w:rPr>
                <w:i/>
                <w:lang w:val="en-GB"/>
              </w:rPr>
              <w:t>Li</w:t>
            </w:r>
            <w:r w:rsidRPr="00923524">
              <w:rPr>
                <w:lang w:val="en-GB"/>
              </w:rPr>
              <w:t xml:space="preserve">st </w:t>
            </w:r>
            <w:r w:rsidRPr="00923524">
              <w:rPr>
                <w:i/>
                <w:lang w:val="en-GB"/>
              </w:rPr>
              <w:t xml:space="preserve">relevant GES Criteria and characteristics </w:t>
            </w:r>
            <w:r w:rsidRPr="00923524">
              <w:rPr>
                <w:i/>
                <w:lang w:val="en-GB"/>
              </w:rPr>
              <w:sym w:font="Symbol" w:char="F05B"/>
            </w:r>
            <w:r w:rsidRPr="00923524">
              <w:rPr>
                <w:i/>
                <w:lang w:val="en-GB"/>
              </w:rPr>
              <w:t>indicators</w:t>
            </w:r>
            <w:r w:rsidRPr="00923524">
              <w:rPr>
                <w:i/>
                <w:lang w:val="en-GB"/>
              </w:rPr>
              <w:sym w:font="Symbol" w:char="F05D"/>
            </w:r>
            <w:r w:rsidRPr="00923524">
              <w:rPr>
                <w:i/>
                <w:lang w:val="en-GB"/>
              </w:rPr>
              <w:t xml:space="preserve">  </w:t>
            </w:r>
            <w:r w:rsidRPr="00923524">
              <w:rPr>
                <w:lang w:val="en-GB"/>
              </w:rPr>
              <w:t xml:space="preserve">(see </w:t>
            </w:r>
            <w:r w:rsidRPr="00923524">
              <w:rPr>
                <w:i/>
                <w:lang w:val="en-GB"/>
              </w:rPr>
              <w:t>Commission Decision of 1. September 2010)</w:t>
            </w:r>
          </w:p>
          <w:p w:rsidR="007C5EF5" w:rsidRPr="00923524" w:rsidRDefault="007C5EF5" w:rsidP="00F42AD7">
            <w:pPr>
              <w:pStyle w:val="BodyText"/>
              <w:spacing w:line="240" w:lineRule="auto"/>
              <w:rPr>
                <w:lang w:val="en-GB"/>
              </w:rPr>
            </w:pPr>
            <w:r w:rsidRPr="00923524">
              <w:rPr>
                <w:lang w:val="en-GB"/>
              </w:rPr>
              <w:t>Criteria:</w:t>
            </w:r>
          </w:p>
          <w:p w:rsidR="007C5EF5" w:rsidRPr="00923524" w:rsidRDefault="007C5EF5" w:rsidP="00F42AD7">
            <w:pPr>
              <w:pStyle w:val="BodyText"/>
              <w:spacing w:line="240" w:lineRule="auto"/>
              <w:rPr>
                <w:lang w:val="en-GB"/>
              </w:rPr>
            </w:pPr>
            <w:r w:rsidRPr="00923524">
              <w:rPr>
                <w:lang w:val="en-GB"/>
              </w:rPr>
              <w:t>1.6 Species composition, abundance and/or biomass</w:t>
            </w:r>
          </w:p>
          <w:p w:rsidR="007C5EF5" w:rsidRPr="00923524" w:rsidRDefault="007C5EF5" w:rsidP="00F42AD7">
            <w:pPr>
              <w:pStyle w:val="BodyText"/>
              <w:spacing w:line="240" w:lineRule="auto"/>
              <w:rPr>
                <w:lang w:val="en-GB"/>
              </w:rPr>
            </w:pPr>
            <w:r w:rsidRPr="00923524">
              <w:rPr>
                <w:lang w:val="en-GB"/>
              </w:rPr>
              <w:t>— Relative abundance and/or biomass, as appropriate (1.6.2)</w:t>
            </w:r>
          </w:p>
          <w:p w:rsidR="007C5EF5" w:rsidRPr="00923524" w:rsidRDefault="007C5EF5" w:rsidP="00F42AD7">
            <w:pPr>
              <w:pStyle w:val="BodyText"/>
              <w:spacing w:line="240" w:lineRule="auto"/>
              <w:rPr>
                <w:lang w:val="en-GB"/>
              </w:rPr>
            </w:pPr>
            <w:r w:rsidRPr="00923524">
              <w:rPr>
                <w:lang w:val="en-GB"/>
              </w:rPr>
              <w:t>4.3 Abundance/distribution of key trophic groups/species</w:t>
            </w:r>
          </w:p>
          <w:p w:rsidR="007C5EF5" w:rsidRPr="00923524" w:rsidRDefault="007C5EF5" w:rsidP="00F42AD7">
            <w:pPr>
              <w:pStyle w:val="BodyText"/>
              <w:spacing w:line="240" w:lineRule="auto"/>
              <w:rPr>
                <w:lang w:val="en-GB"/>
              </w:rPr>
            </w:pPr>
            <w:r w:rsidRPr="00923524">
              <w:rPr>
                <w:lang w:val="en-GB"/>
              </w:rPr>
              <w:t xml:space="preserve">— Abundance trends of functionally important selected </w:t>
            </w:r>
            <w:r w:rsidR="008C2363">
              <w:rPr>
                <w:lang w:val="en-GB"/>
              </w:rPr>
              <w:t>groups/species (4.3.1)</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Which GES criteria are addressed/monitored by the programme (5a)</w:t>
            </w:r>
            <w:proofErr w:type="gramStart"/>
            <w:r w:rsidRPr="00923524">
              <w:rPr>
                <w:color w:val="FF0000"/>
                <w:lang w:val="en-GB"/>
              </w:rPr>
              <w:t>.</w:t>
            </w:r>
            <w:proofErr w:type="gramEnd"/>
            <w:r w:rsidRPr="00923524">
              <w:rPr>
                <w:color w:val="FF0000"/>
                <w:lang w:val="en-GB"/>
              </w:rPr>
              <w:t xml:space="preserve"> Select the relevant criteria</w:t>
            </w:r>
          </w:p>
          <w:p w:rsidR="007C5EF5" w:rsidRPr="00923524" w:rsidRDefault="007C5EF5" w:rsidP="00F42AD7">
            <w:pPr>
              <w:pStyle w:val="BodyText"/>
              <w:spacing w:line="240" w:lineRule="auto"/>
              <w:rPr>
                <w:i/>
                <w:lang w:val="en-GB"/>
              </w:rPr>
            </w:pPr>
            <w:r w:rsidRPr="00923524">
              <w:rPr>
                <w:color w:val="FF0000"/>
                <w:lang w:val="en-GB"/>
              </w:rPr>
              <w:t xml:space="preserve">Which characteristics </w:t>
            </w:r>
            <w:r w:rsidRPr="00923524">
              <w:rPr>
                <w:color w:val="FF0000"/>
                <w:lang w:val="en-GB"/>
              </w:rPr>
              <w:sym w:font="Symbol" w:char="F05B"/>
            </w:r>
            <w:r w:rsidRPr="00923524">
              <w:rPr>
                <w:color w:val="FF0000"/>
                <w:lang w:val="en-GB"/>
              </w:rPr>
              <w:t>indicators</w:t>
            </w:r>
            <w:r w:rsidRPr="00923524">
              <w:rPr>
                <w:color w:val="FF0000"/>
                <w:lang w:val="en-GB"/>
              </w:rPr>
              <w:sym w:font="Symbol" w:char="F05D"/>
            </w:r>
            <w:r w:rsidRPr="00923524">
              <w:rPr>
                <w:color w:val="FF0000"/>
                <w:lang w:val="en-GB"/>
              </w:rPr>
              <w:t xml:space="preserve"> are addressed/monitored (5b)</w:t>
            </w:r>
          </w:p>
          <w:p w:rsidR="007C5EF5" w:rsidRPr="00923524" w:rsidRDefault="007C5EF5" w:rsidP="00F42AD7">
            <w:pPr>
              <w:pStyle w:val="BodyText"/>
              <w:spacing w:line="240" w:lineRule="auto"/>
              <w:rPr>
                <w:color w:val="FF0000"/>
                <w:lang w:val="en-GB"/>
              </w:rPr>
            </w:pP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2.3 Features, pressures and impacts</w:t>
            </w:r>
          </w:p>
        </w:tc>
        <w:tc>
          <w:tcPr>
            <w:tcW w:w="5670" w:type="dxa"/>
          </w:tcPr>
          <w:p w:rsidR="007C5EF5" w:rsidRPr="00923524" w:rsidRDefault="007C5EF5" w:rsidP="00F42AD7">
            <w:pPr>
              <w:pStyle w:val="BodyText"/>
              <w:spacing w:line="240" w:lineRule="auto"/>
              <w:rPr>
                <w:i/>
                <w:lang w:val="en-GB"/>
              </w:rPr>
            </w:pPr>
            <w:r w:rsidRPr="00923524">
              <w:rPr>
                <w:i/>
                <w:lang w:val="en-GB"/>
              </w:rPr>
              <w:t>List relevant features and pressures from MSFD Annex III</w:t>
            </w:r>
          </w:p>
          <w:p w:rsidR="007C5EF5" w:rsidRPr="00923524" w:rsidRDefault="007C5EF5" w:rsidP="00F42AD7">
            <w:pPr>
              <w:spacing w:before="60" w:after="60" w:line="240" w:lineRule="auto"/>
              <w:rPr>
                <w:rFonts w:cs="Calibri"/>
                <w:sz w:val="20"/>
                <w:szCs w:val="20"/>
                <w:lang w:val="en-GB"/>
              </w:rPr>
            </w:pPr>
            <w:r w:rsidRPr="00923524">
              <w:rPr>
                <w:rFonts w:cs="Calibri"/>
                <w:sz w:val="20"/>
                <w:szCs w:val="20"/>
                <w:lang w:val="en-GB"/>
              </w:rPr>
              <w:t>Predominant habitats</w:t>
            </w:r>
          </w:p>
          <w:p w:rsidR="007C5EF5" w:rsidRPr="00923524" w:rsidRDefault="007C5EF5" w:rsidP="00F42AD7">
            <w:pPr>
              <w:pStyle w:val="ListParagraph"/>
              <w:numPr>
                <w:ilvl w:val="0"/>
                <w:numId w:val="1"/>
              </w:numPr>
              <w:spacing w:before="60" w:after="60" w:line="240" w:lineRule="auto"/>
              <w:ind w:left="360"/>
              <w:rPr>
                <w:rFonts w:cs="Calibri"/>
                <w:sz w:val="20"/>
                <w:szCs w:val="20"/>
                <w:lang w:val="en-GB"/>
              </w:rPr>
            </w:pPr>
            <w:r w:rsidRPr="00923524">
              <w:rPr>
                <w:rFonts w:cs="Calibri"/>
                <w:sz w:val="20"/>
                <w:szCs w:val="20"/>
                <w:lang w:val="en-GB"/>
              </w:rPr>
              <w:t>Water column habitats</w:t>
            </w:r>
          </w:p>
          <w:p w:rsidR="007C5EF5" w:rsidRPr="00923524" w:rsidRDefault="007C5EF5" w:rsidP="00F42AD7">
            <w:pPr>
              <w:spacing w:before="60" w:after="60" w:line="240" w:lineRule="auto"/>
              <w:rPr>
                <w:rFonts w:cs="Calibri"/>
                <w:sz w:val="20"/>
                <w:szCs w:val="20"/>
                <w:lang w:val="en-GB"/>
              </w:rPr>
            </w:pPr>
            <w:r w:rsidRPr="00923524">
              <w:rPr>
                <w:rFonts w:cs="Calibri"/>
                <w:sz w:val="20"/>
                <w:szCs w:val="20"/>
                <w:lang w:val="en-GB"/>
              </w:rPr>
              <w:t>Pressures</w:t>
            </w:r>
          </w:p>
          <w:p w:rsidR="007C5EF5" w:rsidRPr="00923524" w:rsidRDefault="007C5EF5" w:rsidP="00F42AD7">
            <w:pPr>
              <w:pStyle w:val="ListParagraph"/>
              <w:numPr>
                <w:ilvl w:val="0"/>
                <w:numId w:val="1"/>
              </w:numPr>
              <w:spacing w:before="60" w:after="60" w:line="240" w:lineRule="auto"/>
              <w:ind w:left="360"/>
              <w:rPr>
                <w:lang w:val="en-GB"/>
              </w:rPr>
            </w:pPr>
            <w:r w:rsidRPr="00923524">
              <w:rPr>
                <w:lang w:val="en-GB"/>
              </w:rPr>
              <w:t>Pressures on the will be addressed in the relevant monitoring programmes under D2 and D5</w:t>
            </w:r>
          </w:p>
          <w:p w:rsidR="007C5EF5" w:rsidRPr="00923524" w:rsidRDefault="007C5EF5" w:rsidP="00F42AD7">
            <w:pPr>
              <w:pStyle w:val="BodyText"/>
              <w:spacing w:line="240" w:lineRule="auto"/>
              <w:rPr>
                <w:i/>
                <w:lang w:val="en-GB"/>
              </w:rPr>
            </w:pPr>
            <w:r w:rsidRPr="00923524">
              <w:rPr>
                <w:i/>
                <w:lang w:val="en-GB"/>
              </w:rPr>
              <w:t>Refer to section 6 regarding gaps and plans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Which elements of Annex III (ecosystem components, pressures/impacts) are addressed/monitored by the programme (5c)</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2.4 GES</w:t>
            </w:r>
          </w:p>
        </w:tc>
        <w:tc>
          <w:tcPr>
            <w:tcW w:w="5670" w:type="dxa"/>
          </w:tcPr>
          <w:p w:rsidR="007C5EF5" w:rsidRPr="00923524" w:rsidRDefault="007C5EF5" w:rsidP="00F42AD7">
            <w:pPr>
              <w:pStyle w:val="BodyText"/>
              <w:spacing w:line="240" w:lineRule="auto"/>
              <w:rPr>
                <w:i/>
                <w:lang w:val="en-GB"/>
              </w:rPr>
            </w:pPr>
            <w:r w:rsidRPr="00923524">
              <w:rPr>
                <w:i/>
                <w:lang w:val="en-GB"/>
              </w:rPr>
              <w:t>Assessment of GES (GES as defined in the article 9 reporting)</w:t>
            </w:r>
          </w:p>
          <w:p w:rsidR="007C5EF5" w:rsidRPr="00923524" w:rsidRDefault="007C5EF5" w:rsidP="00F42AD7">
            <w:pPr>
              <w:pStyle w:val="BodyText"/>
              <w:spacing w:line="240" w:lineRule="auto"/>
              <w:rPr>
                <w:lang w:val="en-GB"/>
              </w:rPr>
            </w:pPr>
            <w:r w:rsidRPr="00923524">
              <w:rPr>
                <w:lang w:val="en-GB"/>
              </w:rPr>
              <w:t>Good Environmental Status (GES) definition:</w:t>
            </w:r>
          </w:p>
          <w:p w:rsidR="007C5EF5" w:rsidRPr="00923524" w:rsidRDefault="007C5EF5" w:rsidP="00F42AD7">
            <w:pPr>
              <w:pStyle w:val="BodyText"/>
              <w:spacing w:line="240" w:lineRule="auto"/>
              <w:rPr>
                <w:lang w:val="en-GB"/>
              </w:rPr>
            </w:pPr>
            <w:r w:rsidRPr="00923524">
              <w:rPr>
                <w:lang w:val="en-GB"/>
              </w:rPr>
              <w:t>Overall GES definition: the trophic phytoplankton and zooplankton species are abundant and support stable and/ or increasing fish communities without negatively affecting the physical, chemical or hydrographical conditions of the marine environment.  The populations of non-trophic (gelatinous) zooplankton do not trigger strong (statistically significant) positive feedback loops, leading to population decline of the upper trophic levels. The bathing waters are at least at “good” water quality and there are no signs of water contamination or fish (and other seafood) contamination, giving rise to health effects in the human population.</w:t>
            </w:r>
          </w:p>
          <w:p w:rsidR="007C5EF5" w:rsidRPr="00923524" w:rsidRDefault="007C5EF5" w:rsidP="00F42AD7">
            <w:pPr>
              <w:pStyle w:val="BodyText"/>
              <w:spacing w:line="240" w:lineRule="auto"/>
              <w:rPr>
                <w:lang w:val="en-GB"/>
              </w:rPr>
            </w:pPr>
            <w:r w:rsidRPr="00923524">
              <w:rPr>
                <w:lang w:val="en-GB"/>
              </w:rPr>
              <w:t>1.6 The abundance and biomass of the trophic phytoplankton and zooplankton are within the GES threshold values and do not negatively affect the physical, chemical and hydrographic conditions.</w:t>
            </w:r>
          </w:p>
          <w:p w:rsidR="007C5EF5" w:rsidRPr="00923524" w:rsidRDefault="007C5EF5" w:rsidP="00F42AD7">
            <w:pPr>
              <w:pStyle w:val="BodyText"/>
              <w:spacing w:line="240" w:lineRule="auto"/>
              <w:rPr>
                <w:lang w:val="en-GB"/>
              </w:rPr>
            </w:pPr>
            <w:r w:rsidRPr="00923524">
              <w:rPr>
                <w:lang w:val="en-GB"/>
              </w:rPr>
              <w:t>4.3 The functionally important trophic groups of mesozooplankton (e.g. Copepods), expressed by their biomass and relative importance (Shannon-</w:t>
            </w:r>
            <w:proofErr w:type="spellStart"/>
            <w:r w:rsidRPr="00923524">
              <w:rPr>
                <w:lang w:val="en-GB"/>
              </w:rPr>
              <w:t>Wienner</w:t>
            </w:r>
            <w:proofErr w:type="spellEnd"/>
            <w:r w:rsidRPr="00923524">
              <w:rPr>
                <w:lang w:val="en-GB"/>
              </w:rPr>
              <w:t xml:space="preserve"> Index), show stable and/or increasing trend in their abundance. The trend in the non-trophic gelatinous zooplankton (</w:t>
            </w:r>
            <w:r w:rsidRPr="00923524">
              <w:rPr>
                <w:i/>
                <w:lang w:val="en-GB"/>
              </w:rPr>
              <w:t>Mnemiopsis leydii, Noctiluca scintillans</w:t>
            </w:r>
            <w:r w:rsidRPr="00923524">
              <w:rPr>
                <w:lang w:val="en-GB"/>
              </w:rPr>
              <w:t>) and other jellyfish species does not trigger strong (statistically significant) positive feedback loop, leading to population decline of the dependant higher trophic level – planktivorous fish.</w:t>
            </w:r>
          </w:p>
          <w:p w:rsidR="007C5EF5" w:rsidRPr="00923524" w:rsidRDefault="007C5EF5" w:rsidP="00F42AD7">
            <w:pPr>
              <w:pStyle w:val="BodyText"/>
              <w:spacing w:line="240" w:lineRule="auto"/>
              <w:rPr>
                <w:lang w:val="en-GB"/>
              </w:rPr>
            </w:pPr>
            <w:r w:rsidRPr="00923524">
              <w:rPr>
                <w:lang w:val="en-GB"/>
              </w:rPr>
              <w:t>Describe how the programme:</w:t>
            </w:r>
          </w:p>
          <w:p w:rsidR="0063435D" w:rsidRPr="0063435D" w:rsidRDefault="0063435D" w:rsidP="001E6CE6">
            <w:pPr>
              <w:pStyle w:val="BodyText"/>
              <w:numPr>
                <w:ilvl w:val="0"/>
                <w:numId w:val="6"/>
              </w:numPr>
              <w:spacing w:line="240" w:lineRule="auto"/>
              <w:ind w:left="360"/>
              <w:rPr>
                <w:lang w:val="en-GB"/>
              </w:rPr>
            </w:pPr>
            <w:r w:rsidRPr="0063435D">
              <w:rPr>
                <w:lang w:val="en-GB"/>
              </w:rPr>
              <w:t>addresses assessment needs for the relevant Descriptor(s) and targets – the monitoring programme addresses the assessment needs by stating a GES definition in coherence with S. M. A. R. T. (Specific, Measurable</w:t>
            </w:r>
            <w:proofErr w:type="gramStart"/>
            <w:r w:rsidRPr="0063435D">
              <w:rPr>
                <w:lang w:val="en-GB"/>
              </w:rPr>
              <w:t>,  Achievable</w:t>
            </w:r>
            <w:proofErr w:type="gramEnd"/>
            <w:r w:rsidRPr="0063435D">
              <w:rPr>
                <w:lang w:val="en-GB"/>
              </w:rPr>
              <w:t>, Realistic, Timely) targets and, if necessary, by updating the GES definitions and targets to be able to provide assessment of the current environmental status and determine the distance from GES. The monitoring programme also defines targets addressing the pressure from human activities, state and impact of the marine environment.</w:t>
            </w:r>
          </w:p>
          <w:p w:rsidR="0063435D" w:rsidRPr="0063435D" w:rsidRDefault="0063435D" w:rsidP="001E6CE6">
            <w:pPr>
              <w:pStyle w:val="BodyText"/>
              <w:numPr>
                <w:ilvl w:val="0"/>
                <w:numId w:val="6"/>
              </w:numPr>
              <w:spacing w:line="240" w:lineRule="auto"/>
              <w:ind w:left="360"/>
              <w:rPr>
                <w:lang w:val="en-GB"/>
              </w:rPr>
            </w:pPr>
            <w:proofErr w:type="gramStart"/>
            <w:r w:rsidRPr="0063435D">
              <w:rPr>
                <w:lang w:val="en-GB"/>
              </w:rPr>
              <w:t>meets</w:t>
            </w:r>
            <w:proofErr w:type="gramEnd"/>
            <w:r w:rsidRPr="0063435D">
              <w:rPr>
                <w:lang w:val="en-GB"/>
              </w:rPr>
              <w:t xml:space="preserve"> the needs of providing data/ information to support assessment of the Descriptor (or particular biodiversity component programme for D1, 4, 6) – the existing monitoring programme does not provide data/information for asse</w:t>
            </w:r>
            <w:r>
              <w:rPr>
                <w:lang w:val="en-GB"/>
              </w:rPr>
              <w:t>ssment of the Descriptor 1, 4</w:t>
            </w:r>
            <w:r w:rsidRPr="0063435D">
              <w:rPr>
                <w:lang w:val="en-GB"/>
              </w:rPr>
              <w:t>. Specific plans for assessment of GES and targets are designed to make the programme adequate in providing data and information for a</w:t>
            </w:r>
            <w:r>
              <w:rPr>
                <w:lang w:val="en-GB"/>
              </w:rPr>
              <w:t>ssessment of Descriptor 1, 4</w:t>
            </w:r>
            <w:r w:rsidRPr="0063435D">
              <w:rPr>
                <w:lang w:val="en-GB"/>
              </w:rPr>
              <w:t>;</w:t>
            </w:r>
          </w:p>
          <w:p w:rsidR="0063435D" w:rsidRPr="0063435D" w:rsidRDefault="0063435D" w:rsidP="001E6CE6">
            <w:pPr>
              <w:pStyle w:val="BodyText"/>
              <w:numPr>
                <w:ilvl w:val="0"/>
                <w:numId w:val="6"/>
              </w:numPr>
              <w:spacing w:line="240" w:lineRule="auto"/>
              <w:ind w:left="360"/>
              <w:rPr>
                <w:lang w:val="en-GB"/>
              </w:rPr>
            </w:pPr>
            <w:r w:rsidRPr="0063435D">
              <w:rPr>
                <w:lang w:val="en-GB"/>
              </w:rPr>
              <w:t>contributes to determining distance from GES and trends in status – the existing monitoring programme does not fully meet the requirements of the MSFD and does not contribute in determining the distance from GES and trends in status. By updating the GES definitions, threshold or trend-based targets, and implementing plans for data and information on GES and targets, the programme will be able to provide information on the distance from GES and trends in status;</w:t>
            </w:r>
          </w:p>
          <w:p w:rsidR="0063435D" w:rsidRPr="0063435D" w:rsidRDefault="0063435D" w:rsidP="001E6CE6">
            <w:pPr>
              <w:pStyle w:val="BodyText"/>
              <w:numPr>
                <w:ilvl w:val="0"/>
                <w:numId w:val="6"/>
              </w:numPr>
              <w:spacing w:line="240" w:lineRule="auto"/>
              <w:ind w:left="360"/>
              <w:rPr>
                <w:lang w:val="en-GB"/>
              </w:rPr>
            </w:pPr>
            <w:proofErr w:type="gramStart"/>
            <w:r w:rsidRPr="0063435D">
              <w:rPr>
                <w:lang w:val="en-GB"/>
              </w:rPr>
              <w:t>addresses</w:t>
            </w:r>
            <w:proofErr w:type="gramEnd"/>
            <w:r w:rsidRPr="0063435D">
              <w:rPr>
                <w:lang w:val="en-GB"/>
              </w:rPr>
              <w:t xml:space="preserve"> natural and climatic variability and distinguish this from the effects of anthropogenic pressures – the existing monitoring programme does not provide information to distinguish the effect of natural and climatic variability from the anthropogenic pressures. The problem should be addressed in the Plans for information on GES. </w:t>
            </w:r>
          </w:p>
          <w:p w:rsidR="007C5EF5" w:rsidRPr="00923524" w:rsidRDefault="0063435D" w:rsidP="001E6CE6">
            <w:pPr>
              <w:pStyle w:val="BodyText"/>
              <w:numPr>
                <w:ilvl w:val="0"/>
                <w:numId w:val="6"/>
              </w:numPr>
              <w:spacing w:line="240" w:lineRule="auto"/>
              <w:ind w:left="360"/>
              <w:rPr>
                <w:lang w:val="en-GB"/>
              </w:rPr>
            </w:pPr>
            <w:r w:rsidRPr="0063435D">
              <w:rPr>
                <w:lang w:val="en-GB"/>
              </w:rPr>
              <w:t>responds to risks of not achieving GES – the minimum requirement is to make the existing monitoring programme adequate to the requirements of the MSFD (in accordance with the Plans for information on GES and targets, listed below).The monitoring programme responds to the risk of not achieving GES by updating GES definition and targets to be able to detect if GES is achieved. GES targets should be reviewed and updated annually to reflect new information on GES, acquired from the yearly monitoring programme of the Bulgarian marine waters.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State the definition of GES reported for the relevant descriptor and describe how the programme: addresses assessment needs for the relevant descriptor; contributes to determining distance from GES and trends in status; addresses natural and climatic variability; responds to risk of not achieving GES (5f)</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2.5 Environmental targets</w:t>
            </w:r>
          </w:p>
          <w:p w:rsidR="007C5EF5" w:rsidRPr="00923524" w:rsidRDefault="007C5EF5" w:rsidP="00F42AD7">
            <w:pPr>
              <w:pStyle w:val="BodyText"/>
              <w:spacing w:line="240" w:lineRule="auto"/>
              <w:rPr>
                <w:lang w:val="en-GB"/>
              </w:rPr>
            </w:pPr>
            <w:r w:rsidRPr="00923524">
              <w:rPr>
                <w:lang w:val="en-GB"/>
              </w:rPr>
              <w:t>MSFD</w:t>
            </w:r>
          </w:p>
          <w:p w:rsidR="007C5EF5" w:rsidRPr="00923524" w:rsidRDefault="007C5EF5" w:rsidP="00F42AD7">
            <w:pPr>
              <w:pStyle w:val="BodyText"/>
              <w:spacing w:line="240" w:lineRule="auto"/>
              <w:rPr>
                <w:color w:val="4F81BD"/>
                <w:lang w:val="en-GB"/>
              </w:rPr>
            </w:pPr>
          </w:p>
        </w:tc>
        <w:tc>
          <w:tcPr>
            <w:tcW w:w="5670" w:type="dxa"/>
          </w:tcPr>
          <w:p w:rsidR="007C5EF5" w:rsidRPr="00923524" w:rsidRDefault="007C5EF5" w:rsidP="00F42AD7">
            <w:pPr>
              <w:pStyle w:val="BodyText"/>
              <w:spacing w:line="240" w:lineRule="auto"/>
              <w:rPr>
                <w:i/>
                <w:lang w:val="en-GB"/>
              </w:rPr>
            </w:pPr>
            <w:r w:rsidRPr="00923524">
              <w:rPr>
                <w:i/>
                <w:lang w:val="en-GB"/>
              </w:rPr>
              <w:t>Relevant MSFD targets defined in the article 10 reporting</w:t>
            </w:r>
          </w:p>
          <w:p w:rsidR="007C5EF5" w:rsidRPr="00923524" w:rsidRDefault="007C5EF5" w:rsidP="00F42AD7">
            <w:pPr>
              <w:pStyle w:val="BodyText"/>
              <w:spacing w:line="240" w:lineRule="auto"/>
              <w:rPr>
                <w:i/>
                <w:lang w:val="en-GB"/>
              </w:rPr>
            </w:pPr>
            <w:r w:rsidRPr="00923524">
              <w:rPr>
                <w:i/>
                <w:lang w:val="en-GB"/>
              </w:rPr>
              <w:t>State relevant targets from other obligations (see section 2.1) that are addressed by the monitoring</w:t>
            </w:r>
          </w:p>
          <w:p w:rsidR="00FE4369" w:rsidRPr="00923524" w:rsidRDefault="00FE4369" w:rsidP="00F42AD7">
            <w:pPr>
              <w:pStyle w:val="BodyText"/>
              <w:spacing w:line="240" w:lineRule="auto"/>
              <w:rPr>
                <w:lang w:val="en-GB"/>
              </w:rPr>
            </w:pPr>
            <w:r w:rsidRPr="00923524">
              <w:rPr>
                <w:lang w:val="en-GB"/>
              </w:rPr>
              <w:t>PRESSURE TARGETS</w:t>
            </w:r>
          </w:p>
          <w:p w:rsidR="007C5EF5" w:rsidRPr="00923524" w:rsidRDefault="00BD4869" w:rsidP="00F42AD7">
            <w:pPr>
              <w:pStyle w:val="BodyText"/>
              <w:spacing w:line="240" w:lineRule="auto"/>
              <w:rPr>
                <w:lang w:val="en-GB"/>
              </w:rPr>
            </w:pPr>
            <w:r w:rsidRPr="00923524">
              <w:rPr>
                <w:lang w:val="en-GB"/>
              </w:rPr>
              <w:t>Relevant p</w:t>
            </w:r>
            <w:r w:rsidR="007C5EF5" w:rsidRPr="00923524">
              <w:rPr>
                <w:lang w:val="en-GB"/>
              </w:rPr>
              <w:t xml:space="preserve">ressure targets are defined under the </w:t>
            </w:r>
            <w:r w:rsidR="003C48E3" w:rsidRPr="00923524">
              <w:rPr>
                <w:lang w:val="en-GB"/>
              </w:rPr>
              <w:t xml:space="preserve">D2 – Non-indigenous species, D8 – Concentration of contaminants water, </w:t>
            </w:r>
            <w:r w:rsidR="007C5EF5" w:rsidRPr="00923524">
              <w:rPr>
                <w:lang w:val="en-GB"/>
              </w:rPr>
              <w:t xml:space="preserve">D5 </w:t>
            </w:r>
            <w:r w:rsidRPr="00923524">
              <w:rPr>
                <w:lang w:val="en-GB"/>
              </w:rPr>
              <w:t xml:space="preserve">- Eutrophication </w:t>
            </w:r>
            <w:r w:rsidR="007C5EF5" w:rsidRPr="00923524">
              <w:rPr>
                <w:lang w:val="en-GB"/>
              </w:rPr>
              <w:t xml:space="preserve">and D10 </w:t>
            </w:r>
            <w:r w:rsidRPr="00923524">
              <w:rPr>
                <w:lang w:val="en-GB"/>
              </w:rPr>
              <w:t xml:space="preserve">- Marine litter </w:t>
            </w:r>
            <w:r w:rsidR="007C5EF5" w:rsidRPr="00923524">
              <w:rPr>
                <w:lang w:val="en-GB"/>
              </w:rPr>
              <w:t>monitoring programmes</w:t>
            </w:r>
          </w:p>
          <w:p w:rsidR="007C5EF5" w:rsidRPr="00923524" w:rsidRDefault="00FE4369" w:rsidP="00F42AD7">
            <w:pPr>
              <w:pStyle w:val="BodyText"/>
              <w:spacing w:line="240" w:lineRule="auto"/>
              <w:rPr>
                <w:sz w:val="24"/>
                <w:lang w:val="en-GB"/>
              </w:rPr>
            </w:pPr>
            <w:r w:rsidRPr="00923524">
              <w:rPr>
                <w:sz w:val="24"/>
                <w:lang w:val="en-GB"/>
              </w:rPr>
              <w:t>STATE TARGETS</w:t>
            </w:r>
          </w:p>
          <w:p w:rsidR="00A76A7D" w:rsidRPr="00923524" w:rsidRDefault="00FE4369" w:rsidP="00FE4369">
            <w:pPr>
              <w:pStyle w:val="BodyText"/>
              <w:spacing w:line="240" w:lineRule="auto"/>
              <w:jc w:val="both"/>
              <w:rPr>
                <w:lang w:val="en-GB"/>
              </w:rPr>
            </w:pPr>
            <w:r w:rsidRPr="00923524">
              <w:rPr>
                <w:lang w:val="en-GB"/>
              </w:rPr>
              <w:t>1.6.2. Target: 90th percentile of the samples show that phytoplankton biomass do not exceed the thresholds values in 10 % of the summer observations for the last 6 years. Thresholds (Source: Table I.3.1.2, MSFD Articl</w:t>
            </w:r>
            <w:r w:rsidR="00A76A7D" w:rsidRPr="00923524">
              <w:rPr>
                <w:lang w:val="en-GB"/>
              </w:rPr>
              <w:t>e 9 GES report):</w:t>
            </w:r>
          </w:p>
          <w:p w:rsidR="00EF707B" w:rsidRPr="00923524" w:rsidRDefault="00EF707B" w:rsidP="00FE4369">
            <w:pPr>
              <w:pStyle w:val="BodyText"/>
              <w:spacing w:line="240" w:lineRule="auto"/>
              <w:jc w:val="both"/>
              <w:rPr>
                <w:lang w:val="en-GB"/>
              </w:rPr>
            </w:pPr>
            <w:r w:rsidRPr="00923524">
              <w:rPr>
                <w:lang w:val="en-GB"/>
              </w:rPr>
              <w:t>Spring:</w:t>
            </w:r>
          </w:p>
          <w:p w:rsidR="00EF707B" w:rsidRPr="00923524" w:rsidRDefault="00FE4369" w:rsidP="00EF707B">
            <w:pPr>
              <w:pStyle w:val="BodyText"/>
              <w:spacing w:after="0" w:line="240" w:lineRule="auto"/>
              <w:jc w:val="both"/>
              <w:rPr>
                <w:lang w:val="en-GB"/>
              </w:rPr>
            </w:pPr>
            <w:r w:rsidRPr="00923524">
              <w:rPr>
                <w:lang w:val="en-GB"/>
              </w:rPr>
              <w:t>Coastal assessment area (GE</w:t>
            </w:r>
            <w:r w:rsidR="00EF707B" w:rsidRPr="00923524">
              <w:rPr>
                <w:lang w:val="en-GB"/>
              </w:rPr>
              <w:t>S threshold: 2.2 - 3.0 mg/m^3);</w:t>
            </w:r>
          </w:p>
          <w:p w:rsidR="00EF707B" w:rsidRPr="00923524" w:rsidRDefault="00FE4369" w:rsidP="00EF707B">
            <w:pPr>
              <w:pStyle w:val="BodyText"/>
              <w:spacing w:after="0" w:line="240" w:lineRule="auto"/>
              <w:jc w:val="both"/>
              <w:rPr>
                <w:lang w:val="en-GB"/>
              </w:rPr>
            </w:pPr>
            <w:r w:rsidRPr="00923524">
              <w:rPr>
                <w:lang w:val="en-GB"/>
              </w:rPr>
              <w:t>Shelf assessment area (GE</w:t>
            </w:r>
            <w:r w:rsidR="00EF707B" w:rsidRPr="00923524">
              <w:rPr>
                <w:lang w:val="en-GB"/>
              </w:rPr>
              <w:t>S threshold: 0.6 - 1.0 mg/m^3);</w:t>
            </w:r>
          </w:p>
          <w:p w:rsidR="00A76A7D" w:rsidRPr="00923524" w:rsidRDefault="00FE4369" w:rsidP="00FE4369">
            <w:pPr>
              <w:pStyle w:val="BodyText"/>
              <w:spacing w:line="240" w:lineRule="auto"/>
              <w:jc w:val="both"/>
              <w:rPr>
                <w:lang w:val="en-GB"/>
              </w:rPr>
            </w:pPr>
            <w:r w:rsidRPr="00923524">
              <w:rPr>
                <w:lang w:val="en-GB"/>
              </w:rPr>
              <w:t xml:space="preserve">Open sea assessment area (GES </w:t>
            </w:r>
            <w:r w:rsidR="00A76A7D" w:rsidRPr="00923524">
              <w:rPr>
                <w:lang w:val="en-GB"/>
              </w:rPr>
              <w:t>threshold: 0.15 - 0.22 mg/m^3).</w:t>
            </w:r>
          </w:p>
          <w:p w:rsidR="00EF707B" w:rsidRPr="00923524" w:rsidRDefault="00FE4369" w:rsidP="00FE4369">
            <w:pPr>
              <w:pStyle w:val="BodyText"/>
              <w:spacing w:line="240" w:lineRule="auto"/>
              <w:jc w:val="both"/>
              <w:rPr>
                <w:lang w:val="en-GB"/>
              </w:rPr>
            </w:pPr>
            <w:r w:rsidRPr="00923524">
              <w:rPr>
                <w:lang w:val="en-GB"/>
              </w:rPr>
              <w:t xml:space="preserve">Summer: </w:t>
            </w:r>
          </w:p>
          <w:p w:rsidR="00EF707B" w:rsidRPr="00923524" w:rsidRDefault="00FE4369" w:rsidP="00EF707B">
            <w:pPr>
              <w:pStyle w:val="BodyText"/>
              <w:spacing w:after="0" w:line="240" w:lineRule="auto"/>
              <w:jc w:val="both"/>
              <w:rPr>
                <w:lang w:val="en-GB"/>
              </w:rPr>
            </w:pPr>
            <w:r w:rsidRPr="00923524">
              <w:rPr>
                <w:lang w:val="en-GB"/>
              </w:rPr>
              <w:t>Coastal assessment area (GES threshold: 0.55 - 0.8 mg/m^3);</w:t>
            </w:r>
          </w:p>
          <w:p w:rsidR="00EF707B" w:rsidRPr="00923524" w:rsidRDefault="00FE4369" w:rsidP="00EF707B">
            <w:pPr>
              <w:pStyle w:val="BodyText"/>
              <w:spacing w:after="0" w:line="240" w:lineRule="auto"/>
              <w:jc w:val="both"/>
              <w:rPr>
                <w:lang w:val="en-GB"/>
              </w:rPr>
            </w:pPr>
            <w:r w:rsidRPr="00923524">
              <w:rPr>
                <w:lang w:val="en-GB"/>
              </w:rPr>
              <w:t>Shelf assessment area (GES</w:t>
            </w:r>
            <w:r w:rsidR="00EF707B" w:rsidRPr="00923524">
              <w:rPr>
                <w:lang w:val="en-GB"/>
              </w:rPr>
              <w:t xml:space="preserve"> threshold: 0.46 - 0.6 mg/m^3);</w:t>
            </w:r>
          </w:p>
          <w:p w:rsidR="00FE4369" w:rsidRPr="00923524" w:rsidRDefault="00FE4369" w:rsidP="00EF707B">
            <w:pPr>
              <w:pStyle w:val="BodyText"/>
              <w:spacing w:after="0" w:line="240" w:lineRule="auto"/>
              <w:jc w:val="both"/>
              <w:rPr>
                <w:lang w:val="en-GB"/>
              </w:rPr>
            </w:pPr>
            <w:r w:rsidRPr="00923524">
              <w:rPr>
                <w:lang w:val="en-GB"/>
              </w:rPr>
              <w:t>Open sea assessment area (GES threshold: 0.10 - 0.15 mg/m^3).</w:t>
            </w:r>
          </w:p>
          <w:p w:rsidR="00FE4369" w:rsidRPr="00923524" w:rsidRDefault="00FE4369" w:rsidP="00EF707B">
            <w:pPr>
              <w:pStyle w:val="BodyText"/>
              <w:spacing w:before="120" w:line="240" w:lineRule="auto"/>
              <w:jc w:val="both"/>
              <w:rPr>
                <w:lang w:val="en-GB"/>
              </w:rPr>
            </w:pPr>
            <w:r w:rsidRPr="00923524">
              <w:rPr>
                <w:lang w:val="en-GB"/>
              </w:rPr>
              <w:t>1.6.2. Target: Mesozooplankton biomass (mg/m^3) GES threshold (Source: Table I.3.2.2, MSFD Article 9 GES report): Coastal assessment area: 20-550 mg/m^3; Shelf assessment area: 15-300 mg/m^3; Open sea assessment area: 10-200 mg/m^3.</w:t>
            </w:r>
          </w:p>
          <w:p w:rsidR="00FE4369" w:rsidRPr="00923524" w:rsidRDefault="00FE4369" w:rsidP="00FE4369">
            <w:pPr>
              <w:pStyle w:val="BodyText"/>
              <w:spacing w:line="240" w:lineRule="auto"/>
              <w:jc w:val="both"/>
              <w:rPr>
                <w:lang w:val="en-GB"/>
              </w:rPr>
            </w:pPr>
            <w:r w:rsidRPr="00923524">
              <w:rPr>
                <w:lang w:val="en-GB"/>
              </w:rPr>
              <w:t>4.3.1 Maintain the CP % ratio (Copepods biomass/ mesozooplankton biomass) &gt; 42% (Source: Figure I.3.2.1, MSFD Article 9 GES report).</w:t>
            </w:r>
          </w:p>
          <w:p w:rsidR="003C48E3" w:rsidRPr="00923524" w:rsidRDefault="00FE4369" w:rsidP="00FE4369">
            <w:pPr>
              <w:pStyle w:val="BodyText"/>
              <w:spacing w:line="240" w:lineRule="auto"/>
              <w:jc w:val="both"/>
              <w:rPr>
                <w:lang w:val="en-GB"/>
              </w:rPr>
            </w:pPr>
            <w:r w:rsidRPr="00923524">
              <w:rPr>
                <w:lang w:val="en-GB"/>
              </w:rPr>
              <w:t xml:space="preserve">The concentrations of microbial </w:t>
            </w:r>
            <w:r w:rsidR="001F3C92" w:rsidRPr="00923524">
              <w:rPr>
                <w:lang w:val="en-GB"/>
              </w:rPr>
              <w:t>pathogens</w:t>
            </w:r>
            <w:r w:rsidRPr="00923524">
              <w:rPr>
                <w:lang w:val="en-GB"/>
              </w:rPr>
              <w:t xml:space="preserve"> (Annex I, Bathing Waters Directive) in the bathing waters are within the values indicative o</w:t>
            </w:r>
            <w:r w:rsidR="00E57CB8" w:rsidRPr="00923524">
              <w:rPr>
                <w:lang w:val="en-GB"/>
              </w:rPr>
              <w:t>f “good” water quality by 2020.</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 xml:space="preserve">Q6: State the targets addressed by the monitoring. </w:t>
            </w:r>
          </w:p>
          <w:p w:rsidR="007C5EF5" w:rsidRPr="00923524" w:rsidRDefault="007C5EF5" w:rsidP="00F42AD7">
            <w:pPr>
              <w:pStyle w:val="BodyText"/>
              <w:spacing w:line="240" w:lineRule="auto"/>
              <w:rPr>
                <w:color w:val="FF0000"/>
                <w:lang w:val="en-GB"/>
              </w:rPr>
            </w:pPr>
            <w:r w:rsidRPr="00923524">
              <w:rPr>
                <w:color w:val="FF0000"/>
                <w:lang w:val="en-GB"/>
              </w:rPr>
              <w:t>Which reported targets are addressed (6a)?</w:t>
            </w:r>
          </w:p>
          <w:p w:rsidR="007C5EF5" w:rsidRPr="00923524" w:rsidRDefault="007C5EF5" w:rsidP="00F42AD7">
            <w:pPr>
              <w:pStyle w:val="BodyText"/>
              <w:spacing w:line="240" w:lineRule="auto"/>
              <w:rPr>
                <w:color w:val="FF0000"/>
                <w:lang w:val="en-GB"/>
              </w:rPr>
            </w:pPr>
            <w:r w:rsidRPr="00923524">
              <w:rPr>
                <w:color w:val="FF0000"/>
                <w:lang w:val="en-GB"/>
              </w:rPr>
              <w:t>Will the programme provide adequate data to assess progress towards achievement of target and will the collected data enable updating of targets (6b-c)?</w:t>
            </w:r>
          </w:p>
          <w:p w:rsidR="007C5EF5" w:rsidRPr="00923524" w:rsidRDefault="007C5EF5" w:rsidP="00F42AD7">
            <w:pPr>
              <w:pStyle w:val="BodyText"/>
              <w:spacing w:line="240" w:lineRule="auto"/>
              <w:rPr>
                <w:color w:val="FF0000"/>
                <w:lang w:val="en-GB"/>
              </w:rPr>
            </w:pPr>
            <w:r w:rsidRPr="00923524">
              <w:rPr>
                <w:color w:val="FF0000"/>
                <w:lang w:val="en-GB"/>
              </w:rPr>
              <w:t>Explain how the programme will contribute to the assessment of progress with targets (6d)</w:t>
            </w:r>
          </w:p>
          <w:p w:rsidR="007C5EF5" w:rsidRPr="00923524" w:rsidRDefault="007C5EF5" w:rsidP="00F42AD7">
            <w:pPr>
              <w:pStyle w:val="BodyText"/>
              <w:spacing w:line="240" w:lineRule="auto"/>
              <w:rPr>
                <w:color w:val="FF0000"/>
                <w:lang w:val="en-GB"/>
              </w:rPr>
            </w:pPr>
            <w:r w:rsidRPr="00923524">
              <w:rPr>
                <w:color w:val="FF0000"/>
                <w:lang w:val="en-GB"/>
              </w:rPr>
              <w:t>Add targets relevant to other directives and commitments</w:t>
            </w:r>
          </w:p>
        </w:tc>
      </w:tr>
      <w:tr w:rsidR="007C5EF5" w:rsidRPr="00923524">
        <w:trPr>
          <w:trHeight w:val="335"/>
        </w:trPr>
        <w:tc>
          <w:tcPr>
            <w:tcW w:w="2660" w:type="dxa"/>
          </w:tcPr>
          <w:p w:rsidR="007C5EF5" w:rsidRPr="00923524" w:rsidRDefault="007C5EF5" w:rsidP="00F42AD7">
            <w:pPr>
              <w:pStyle w:val="BodyText"/>
              <w:spacing w:line="240" w:lineRule="auto"/>
              <w:rPr>
                <w:lang w:val="en-GB"/>
              </w:rPr>
            </w:pPr>
            <w:r w:rsidRPr="00923524">
              <w:rPr>
                <w:lang w:val="en-GB"/>
              </w:rPr>
              <w:t>BWD</w:t>
            </w:r>
          </w:p>
        </w:tc>
        <w:tc>
          <w:tcPr>
            <w:tcW w:w="5670" w:type="dxa"/>
          </w:tcPr>
          <w:p w:rsidR="007C5EF5" w:rsidRPr="00923524" w:rsidRDefault="007C5EF5" w:rsidP="00F42AD7">
            <w:pPr>
              <w:pStyle w:val="BodyText"/>
              <w:spacing w:line="240" w:lineRule="auto"/>
              <w:rPr>
                <w:b/>
                <w:lang w:val="en-GB"/>
              </w:rPr>
            </w:pPr>
            <w:r w:rsidRPr="00923524">
              <w:rPr>
                <w:b/>
                <w:lang w:val="en-GB"/>
              </w:rPr>
              <w:t>Bathing Waters Directive (Directive 2006/7/EC)</w:t>
            </w:r>
          </w:p>
          <w:p w:rsidR="007C5EF5" w:rsidRPr="00923524" w:rsidRDefault="007C5EF5" w:rsidP="00EF707B">
            <w:pPr>
              <w:autoSpaceDE w:val="0"/>
              <w:autoSpaceDN w:val="0"/>
              <w:adjustRightInd w:val="0"/>
              <w:spacing w:after="0" w:line="240" w:lineRule="auto"/>
              <w:jc w:val="both"/>
              <w:rPr>
                <w:rFonts w:cs="TimesNewRoman"/>
                <w:szCs w:val="19"/>
                <w:lang w:val="en-GB"/>
              </w:rPr>
            </w:pPr>
            <w:r w:rsidRPr="00923524">
              <w:rPr>
                <w:rFonts w:cs="TimesNewRoman"/>
                <w:szCs w:val="19"/>
                <w:lang w:val="en-GB"/>
              </w:rPr>
              <w:t xml:space="preserve">Member States shall ensure that, by the end of the 2015 bathing season, all bathing waters are at least </w:t>
            </w:r>
            <w:r w:rsidRPr="00923524">
              <w:rPr>
                <w:rFonts w:cs="TimesNewRoman+20"/>
                <w:szCs w:val="19"/>
                <w:lang w:val="en-GB"/>
              </w:rPr>
              <w:t>‘</w:t>
            </w:r>
            <w:r w:rsidRPr="00923524">
              <w:rPr>
                <w:rFonts w:cs="TimesNewRoman"/>
                <w:szCs w:val="19"/>
                <w:lang w:val="en-GB"/>
              </w:rPr>
              <w:t>sufficient</w:t>
            </w:r>
            <w:r w:rsidRPr="00923524">
              <w:rPr>
                <w:rFonts w:cs="TimesNewRoman+20"/>
                <w:szCs w:val="19"/>
                <w:lang w:val="en-GB"/>
              </w:rPr>
              <w:t>’</w:t>
            </w:r>
            <w:r w:rsidRPr="00923524">
              <w:rPr>
                <w:rFonts w:cs="TimesNewRoman"/>
                <w:szCs w:val="19"/>
                <w:lang w:val="en-GB"/>
              </w:rPr>
              <w:t xml:space="preserve"> (see Annexes I and II – BWD)</w:t>
            </w:r>
            <w:r w:rsidR="00FE4369" w:rsidRPr="00923524">
              <w:rPr>
                <w:rFonts w:cs="TimesNewRoman"/>
                <w:szCs w:val="19"/>
                <w:lang w:val="en-GB"/>
              </w:rPr>
              <w:t xml:space="preserve">. </w:t>
            </w:r>
            <w:r w:rsidR="00FE4369" w:rsidRPr="00923524">
              <w:rPr>
                <w:lang w:val="en-GB"/>
              </w:rPr>
              <w:t xml:space="preserve">The concentrations of microbial </w:t>
            </w:r>
            <w:proofErr w:type="spellStart"/>
            <w:r w:rsidR="00FE4369" w:rsidRPr="00923524">
              <w:rPr>
                <w:lang w:val="en-GB"/>
              </w:rPr>
              <w:t>patogens</w:t>
            </w:r>
            <w:proofErr w:type="spellEnd"/>
            <w:r w:rsidR="00FE4369" w:rsidRPr="00923524">
              <w:rPr>
                <w:lang w:val="en-GB"/>
              </w:rPr>
              <w:t xml:space="preserve"> (Annex I, Bathing Waters Directive) in the bathing waters are within the values indicative of “good”</w:t>
            </w:r>
            <w:r w:rsidR="00EF707B" w:rsidRPr="00923524">
              <w:rPr>
                <w:lang w:val="en-GB"/>
              </w:rPr>
              <w:t xml:space="preserve"> or “very good” water quality</w:t>
            </w:r>
            <w:r w:rsidR="00FE4369" w:rsidRPr="00923524">
              <w:rPr>
                <w:lang w:val="en-GB"/>
              </w:rPr>
              <w:t xml:space="preserve">.  </w:t>
            </w:r>
          </w:p>
        </w:tc>
        <w:tc>
          <w:tcPr>
            <w:tcW w:w="5605" w:type="dxa"/>
          </w:tcPr>
          <w:p w:rsidR="007C5EF5" w:rsidRPr="00923524" w:rsidRDefault="007C5EF5" w:rsidP="00F42AD7">
            <w:pPr>
              <w:pStyle w:val="BodyText"/>
              <w:spacing w:line="240" w:lineRule="auto"/>
              <w:rPr>
                <w:color w:val="FF0000"/>
                <w:lang w:val="en-GB"/>
              </w:rPr>
            </w:pPr>
          </w:p>
        </w:tc>
      </w:tr>
      <w:tr w:rsidR="007C5EF5" w:rsidRPr="00923524">
        <w:trPr>
          <w:trHeight w:val="335"/>
        </w:trPr>
        <w:tc>
          <w:tcPr>
            <w:tcW w:w="2660" w:type="dxa"/>
          </w:tcPr>
          <w:p w:rsidR="007C5EF5" w:rsidRPr="00923524" w:rsidRDefault="007C5EF5" w:rsidP="00F42AD7">
            <w:pPr>
              <w:pStyle w:val="BodyText"/>
              <w:spacing w:line="240" w:lineRule="auto"/>
              <w:rPr>
                <w:color w:val="4F81BD"/>
                <w:lang w:val="en-GB"/>
              </w:rPr>
            </w:pPr>
            <w:r w:rsidRPr="00923524">
              <w:rPr>
                <w:lang w:val="en-GB"/>
              </w:rPr>
              <w:t>HD</w:t>
            </w:r>
          </w:p>
        </w:tc>
        <w:tc>
          <w:tcPr>
            <w:tcW w:w="5670" w:type="dxa"/>
          </w:tcPr>
          <w:p w:rsidR="007C5EF5" w:rsidRPr="00923524" w:rsidRDefault="007C5EF5" w:rsidP="00F42AD7">
            <w:pPr>
              <w:pStyle w:val="BodyText"/>
              <w:spacing w:line="240" w:lineRule="auto"/>
              <w:rPr>
                <w:b/>
                <w:lang w:val="en-GB"/>
              </w:rPr>
            </w:pPr>
            <w:r w:rsidRPr="00923524">
              <w:rPr>
                <w:b/>
                <w:lang w:val="en-GB"/>
              </w:rPr>
              <w:t>Council Directive 92/43/EEC on the conservation of natural habitats and of wild fauna and flora</w:t>
            </w:r>
          </w:p>
          <w:p w:rsidR="007C5EF5" w:rsidRPr="00923524" w:rsidRDefault="007C5EF5" w:rsidP="00F42AD7">
            <w:pPr>
              <w:pStyle w:val="BodyText"/>
              <w:spacing w:line="240" w:lineRule="auto"/>
              <w:rPr>
                <w:lang w:val="en-GB"/>
              </w:rPr>
            </w:pPr>
            <w:r w:rsidRPr="00923524">
              <w:rPr>
                <w:lang w:val="en-GB"/>
              </w:rPr>
              <w:t>Article 2</w:t>
            </w:r>
          </w:p>
          <w:p w:rsidR="007C5EF5" w:rsidRPr="00923524" w:rsidRDefault="007C5EF5" w:rsidP="00F42AD7">
            <w:pPr>
              <w:pStyle w:val="BodyText"/>
              <w:spacing w:line="240" w:lineRule="auto"/>
              <w:rPr>
                <w:lang w:val="en-GB"/>
              </w:rPr>
            </w:pPr>
            <w:r w:rsidRPr="00923524">
              <w:rPr>
                <w:lang w:val="en-GB"/>
              </w:rPr>
              <w:t>The aim of HF shall be to contribute towards ensuring bio-diversity through the conservation of natural habitats and of wild fauna and flora in the European territory of the Member States.</w:t>
            </w:r>
          </w:p>
          <w:p w:rsidR="003168CA" w:rsidRPr="00923524" w:rsidRDefault="003168CA" w:rsidP="003168CA">
            <w:pPr>
              <w:pStyle w:val="BodyText"/>
              <w:spacing w:line="240" w:lineRule="auto"/>
              <w:jc w:val="both"/>
              <w:rPr>
                <w:b/>
                <w:lang w:val="en-GB"/>
              </w:rPr>
            </w:pPr>
            <w:r w:rsidRPr="00923524">
              <w:rPr>
                <w:b/>
                <w:lang w:val="en-GB"/>
              </w:rPr>
              <w:t>Water Framework Directive (</w:t>
            </w:r>
            <w:r w:rsidRPr="00923524">
              <w:rPr>
                <w:rFonts w:ascii="Tahoma" w:hAnsi="Tahoma" w:cs="Tahoma"/>
                <w:b/>
                <w:color w:val="000000"/>
                <w:sz w:val="18"/>
                <w:szCs w:val="18"/>
                <w:lang w:val="en-GB"/>
              </w:rPr>
              <w:t>Directive 2000/60/EC</w:t>
            </w:r>
            <w:r w:rsidRPr="00923524">
              <w:rPr>
                <w:b/>
                <w:lang w:val="en-GB"/>
              </w:rPr>
              <w:t>)</w:t>
            </w:r>
          </w:p>
          <w:p w:rsidR="003168CA" w:rsidRPr="00923524" w:rsidRDefault="003168CA" w:rsidP="003168CA">
            <w:pPr>
              <w:pStyle w:val="BodyText"/>
              <w:spacing w:line="240" w:lineRule="auto"/>
              <w:rPr>
                <w:lang w:val="en-GB"/>
              </w:rPr>
            </w:pPr>
            <w:r w:rsidRPr="00923524">
              <w:rPr>
                <w:lang w:val="en-GB"/>
              </w:rPr>
              <w:t>According to Article 4 of the Water Framework Directive, Member States shall implement the necessary measures to prevent deterioration of the status of all bodies of surface water, including the coastal waters, by 2015 (15 years after the adoption of the Directive).</w:t>
            </w:r>
          </w:p>
        </w:tc>
        <w:tc>
          <w:tcPr>
            <w:tcW w:w="5605" w:type="dxa"/>
          </w:tcPr>
          <w:p w:rsidR="007C5EF5" w:rsidRPr="00923524" w:rsidRDefault="007C5EF5" w:rsidP="00F42AD7">
            <w:pPr>
              <w:pStyle w:val="BodyText"/>
              <w:spacing w:line="240" w:lineRule="auto"/>
              <w:rPr>
                <w:color w:val="FF0000"/>
                <w:lang w:val="en-GB"/>
              </w:rPr>
            </w:pPr>
          </w:p>
        </w:tc>
      </w:tr>
      <w:tr w:rsidR="007C5EF5" w:rsidRPr="00923524">
        <w:trPr>
          <w:trHeight w:val="402"/>
        </w:trPr>
        <w:tc>
          <w:tcPr>
            <w:tcW w:w="2660" w:type="dxa"/>
          </w:tcPr>
          <w:p w:rsidR="007C5EF5" w:rsidRPr="00923524" w:rsidRDefault="007C5EF5" w:rsidP="00F42AD7">
            <w:pPr>
              <w:pStyle w:val="BodyText"/>
              <w:spacing w:line="240" w:lineRule="auto"/>
              <w:rPr>
                <w:lang w:val="en-GB"/>
              </w:rPr>
            </w:pPr>
            <w:r w:rsidRPr="00923524">
              <w:rPr>
                <w:lang w:val="en-GB"/>
              </w:rPr>
              <w:t>WFD</w:t>
            </w:r>
          </w:p>
        </w:tc>
        <w:tc>
          <w:tcPr>
            <w:tcW w:w="5670" w:type="dxa"/>
          </w:tcPr>
          <w:p w:rsidR="007C5EF5" w:rsidRPr="00923524" w:rsidRDefault="007C5EF5" w:rsidP="00F42AD7">
            <w:pPr>
              <w:pStyle w:val="BodyText"/>
              <w:spacing w:line="240" w:lineRule="auto"/>
              <w:jc w:val="both"/>
              <w:rPr>
                <w:b/>
                <w:lang w:val="en-GB"/>
              </w:rPr>
            </w:pPr>
            <w:r w:rsidRPr="00923524">
              <w:rPr>
                <w:b/>
                <w:lang w:val="en-GB"/>
              </w:rPr>
              <w:t>Water Framework Directive (</w:t>
            </w:r>
            <w:r w:rsidRPr="00923524">
              <w:rPr>
                <w:rFonts w:ascii="Tahoma" w:hAnsi="Tahoma" w:cs="Tahoma"/>
                <w:b/>
                <w:color w:val="000000"/>
                <w:sz w:val="18"/>
                <w:szCs w:val="18"/>
                <w:lang w:val="en-GB"/>
              </w:rPr>
              <w:t>Directive 2000/60/EC</w:t>
            </w:r>
            <w:r w:rsidRPr="00923524">
              <w:rPr>
                <w:b/>
                <w:lang w:val="en-GB"/>
              </w:rPr>
              <w:t>)</w:t>
            </w:r>
          </w:p>
          <w:p w:rsidR="007C5EF5" w:rsidRPr="00923524" w:rsidRDefault="007C5EF5" w:rsidP="00F42AD7">
            <w:pPr>
              <w:pStyle w:val="BodyText"/>
              <w:spacing w:line="240" w:lineRule="auto"/>
              <w:jc w:val="both"/>
              <w:rPr>
                <w:lang w:val="en-GB"/>
              </w:rPr>
            </w:pPr>
            <w:r w:rsidRPr="00923524">
              <w:rPr>
                <w:lang w:val="en-GB"/>
              </w:rPr>
              <w:t>According to A</w:t>
            </w:r>
            <w:bookmarkStart w:id="1" w:name="_GoBack"/>
            <w:bookmarkEnd w:id="1"/>
            <w:r w:rsidRPr="00923524">
              <w:rPr>
                <w:lang w:val="en-GB"/>
              </w:rPr>
              <w:t>rticle 4 of the Water Framework Directive, Member States shall implement the necessary measures to prevent deterioration of the status of all bodies of surface water, including the coastal waters, by 2015 (15 years after the adoption of the Directive).</w:t>
            </w:r>
          </w:p>
        </w:tc>
        <w:tc>
          <w:tcPr>
            <w:tcW w:w="5605" w:type="dxa"/>
          </w:tcPr>
          <w:p w:rsidR="007C5EF5" w:rsidRPr="00923524" w:rsidRDefault="007C5EF5" w:rsidP="00F42AD7">
            <w:pPr>
              <w:pStyle w:val="BodyText"/>
              <w:spacing w:line="240" w:lineRule="auto"/>
              <w:rPr>
                <w:color w:val="FF0000"/>
                <w:lang w:val="en-GB"/>
              </w:rPr>
            </w:pPr>
          </w:p>
        </w:tc>
      </w:tr>
      <w:tr w:rsidR="007C5EF5" w:rsidRPr="00923524">
        <w:trPr>
          <w:trHeight w:val="502"/>
        </w:trPr>
        <w:tc>
          <w:tcPr>
            <w:tcW w:w="2660" w:type="dxa"/>
          </w:tcPr>
          <w:p w:rsidR="007C5EF5" w:rsidRPr="00923524" w:rsidRDefault="007C5EF5" w:rsidP="00F42AD7">
            <w:pPr>
              <w:pStyle w:val="BodyText"/>
              <w:spacing w:line="240" w:lineRule="auto"/>
              <w:rPr>
                <w:lang w:val="en-GB"/>
              </w:rPr>
            </w:pPr>
            <w:r w:rsidRPr="00923524">
              <w:rPr>
                <w:lang w:val="en-GB"/>
              </w:rPr>
              <w:t>BSC</w:t>
            </w:r>
          </w:p>
        </w:tc>
        <w:tc>
          <w:tcPr>
            <w:tcW w:w="5670" w:type="dxa"/>
          </w:tcPr>
          <w:p w:rsidR="00923524" w:rsidRPr="00923524" w:rsidRDefault="003749C3" w:rsidP="00DF7F02">
            <w:pPr>
              <w:pStyle w:val="BodyText"/>
              <w:spacing w:line="240" w:lineRule="auto"/>
              <w:rPr>
                <w:lang w:val="en-GB"/>
              </w:rPr>
            </w:pPr>
            <w:r w:rsidRPr="003749C3">
              <w:rPr>
                <w:lang w:val="en-GB"/>
              </w:rPr>
              <w:t>(50). Harmonise environmental quality standards throughout the Black Sea region and elaborate regionally agreed criteria for assessment of the state of the Black Sea environment</w:t>
            </w:r>
            <w:r>
              <w:rPr>
                <w:lang w:val="en-GB"/>
              </w:rPr>
              <w:t>.</w:t>
            </w:r>
          </w:p>
        </w:tc>
        <w:tc>
          <w:tcPr>
            <w:tcW w:w="5605" w:type="dxa"/>
          </w:tcPr>
          <w:p w:rsidR="007C5EF5" w:rsidRPr="00923524" w:rsidRDefault="007C5EF5" w:rsidP="00F42AD7">
            <w:pPr>
              <w:pStyle w:val="BodyText"/>
              <w:spacing w:line="240" w:lineRule="auto"/>
              <w:rPr>
                <w:color w:val="FF0000"/>
                <w:lang w:val="en-GB"/>
              </w:rPr>
            </w:pP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2.6 Spatial allocation</w:t>
            </w:r>
          </w:p>
        </w:tc>
        <w:tc>
          <w:tcPr>
            <w:tcW w:w="5670" w:type="dxa"/>
          </w:tcPr>
          <w:p w:rsidR="007C5EF5" w:rsidRPr="00923524" w:rsidRDefault="007C5EF5" w:rsidP="00F42AD7">
            <w:pPr>
              <w:pStyle w:val="BodyText"/>
              <w:spacing w:line="240" w:lineRule="auto"/>
              <w:rPr>
                <w:i/>
                <w:lang w:val="en-GB"/>
              </w:rPr>
            </w:pPr>
            <w:r w:rsidRPr="00923524">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4"/>
              <w:gridCol w:w="1015"/>
              <w:gridCol w:w="1269"/>
              <w:gridCol w:w="1667"/>
            </w:tblGrid>
            <w:tr w:rsidR="007C5EF5" w:rsidRPr="00923524">
              <w:tc>
                <w:tcPr>
                  <w:tcW w:w="851"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p>
              </w:tc>
              <w:tc>
                <w:tcPr>
                  <w:tcW w:w="534"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EEZ</w:t>
                  </w:r>
                </w:p>
              </w:tc>
              <w:tc>
                <w:tcPr>
                  <w:tcW w:w="1015"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12-nm zone</w:t>
                  </w:r>
                </w:p>
              </w:tc>
              <w:tc>
                <w:tcPr>
                  <w:tcW w:w="1269"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Coastal waters</w:t>
                  </w:r>
                </w:p>
              </w:tc>
              <w:tc>
                <w:tcPr>
                  <w:tcW w:w="1667"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Transitional waters</w:t>
                  </w:r>
                </w:p>
              </w:tc>
            </w:tr>
            <w:tr w:rsidR="007C5EF5" w:rsidRPr="00923524">
              <w:tc>
                <w:tcPr>
                  <w:tcW w:w="851"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MSFD</w:t>
                  </w:r>
                </w:p>
              </w:tc>
              <w:tc>
                <w:tcPr>
                  <w:tcW w:w="534"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015"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269"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667"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w:t>
                  </w:r>
                </w:p>
              </w:tc>
            </w:tr>
            <w:tr w:rsidR="007C5EF5" w:rsidRPr="00923524">
              <w:tc>
                <w:tcPr>
                  <w:tcW w:w="851"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HD</w:t>
                  </w:r>
                </w:p>
              </w:tc>
              <w:tc>
                <w:tcPr>
                  <w:tcW w:w="534"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015"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269"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667"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r>
            <w:tr w:rsidR="007C5EF5" w:rsidRPr="00923524">
              <w:tc>
                <w:tcPr>
                  <w:tcW w:w="851"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WFD</w:t>
                  </w:r>
                </w:p>
              </w:tc>
              <w:tc>
                <w:tcPr>
                  <w:tcW w:w="534"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w:t>
                  </w:r>
                </w:p>
              </w:tc>
              <w:tc>
                <w:tcPr>
                  <w:tcW w:w="1015"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w:t>
                  </w:r>
                </w:p>
              </w:tc>
              <w:tc>
                <w:tcPr>
                  <w:tcW w:w="1269"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c>
                <w:tcPr>
                  <w:tcW w:w="1667"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jc w:val="center"/>
                    <w:rPr>
                      <w:lang w:val="en-GB"/>
                    </w:rPr>
                  </w:pPr>
                  <w:r w:rsidRPr="00923524">
                    <w:rPr>
                      <w:lang w:val="en-GB"/>
                    </w:rPr>
                    <w:t>x</w:t>
                  </w:r>
                </w:p>
              </w:tc>
            </w:tr>
            <w:tr w:rsidR="007C5EF5" w:rsidRPr="00923524">
              <w:tc>
                <w:tcPr>
                  <w:tcW w:w="851"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pStyle w:val="BodyText"/>
                    <w:spacing w:line="240" w:lineRule="auto"/>
                    <w:rPr>
                      <w:lang w:val="en-GB"/>
                    </w:rPr>
                  </w:pPr>
                  <w:r w:rsidRPr="00923524">
                    <w:rPr>
                      <w:lang w:val="en-GB"/>
                    </w:rPr>
                    <w:t>BSC</w:t>
                  </w:r>
                </w:p>
              </w:tc>
              <w:tc>
                <w:tcPr>
                  <w:tcW w:w="534"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spacing w:after="0" w:line="240" w:lineRule="auto"/>
                    <w:jc w:val="center"/>
                    <w:rPr>
                      <w:lang w:val="en-GB"/>
                    </w:rPr>
                  </w:pPr>
                  <w:r w:rsidRPr="00923524">
                    <w:rPr>
                      <w:lang w:val="en-GB"/>
                    </w:rPr>
                    <w:t>x</w:t>
                  </w:r>
                </w:p>
              </w:tc>
              <w:tc>
                <w:tcPr>
                  <w:tcW w:w="1015"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spacing w:after="0" w:line="240" w:lineRule="auto"/>
                    <w:jc w:val="center"/>
                    <w:rPr>
                      <w:lang w:val="en-GB"/>
                    </w:rPr>
                  </w:pPr>
                  <w:r w:rsidRPr="00923524">
                    <w:rPr>
                      <w:lang w:val="en-GB"/>
                    </w:rPr>
                    <w:t>x</w:t>
                  </w:r>
                </w:p>
              </w:tc>
              <w:tc>
                <w:tcPr>
                  <w:tcW w:w="1269"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spacing w:after="0" w:line="240" w:lineRule="auto"/>
                    <w:jc w:val="center"/>
                    <w:rPr>
                      <w:lang w:val="en-GB"/>
                    </w:rPr>
                  </w:pPr>
                  <w:r w:rsidRPr="00923524">
                    <w:rPr>
                      <w:lang w:val="en-GB"/>
                    </w:rPr>
                    <w:t>x</w:t>
                  </w:r>
                </w:p>
              </w:tc>
              <w:tc>
                <w:tcPr>
                  <w:tcW w:w="1667" w:type="dxa"/>
                  <w:tcBorders>
                    <w:top w:val="single" w:sz="4" w:space="0" w:color="auto"/>
                    <w:left w:val="single" w:sz="4" w:space="0" w:color="auto"/>
                    <w:bottom w:val="single" w:sz="4" w:space="0" w:color="auto"/>
                    <w:right w:val="single" w:sz="4" w:space="0" w:color="auto"/>
                  </w:tcBorders>
                </w:tcPr>
                <w:p w:rsidR="007C5EF5" w:rsidRPr="00923524" w:rsidRDefault="007C5EF5" w:rsidP="00F42AD7">
                  <w:pPr>
                    <w:spacing w:after="0" w:line="240" w:lineRule="auto"/>
                    <w:jc w:val="center"/>
                    <w:rPr>
                      <w:lang w:val="en-GB"/>
                    </w:rPr>
                  </w:pPr>
                  <w:r w:rsidRPr="00923524">
                    <w:rPr>
                      <w:lang w:val="en-GB"/>
                    </w:rPr>
                    <w:t>-</w:t>
                  </w:r>
                </w:p>
              </w:tc>
            </w:tr>
          </w:tbl>
          <w:p w:rsidR="007C5EF5" w:rsidRPr="00923524" w:rsidRDefault="007C5EF5" w:rsidP="00F42AD7">
            <w:pPr>
              <w:pStyle w:val="BodyText"/>
              <w:spacing w:line="240" w:lineRule="auto"/>
              <w:rPr>
                <w:lang w:val="en-GB"/>
              </w:rPr>
            </w:pP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Q4: Geographical coverage by reference to the 4 zones in table 1 of the "concept paper" (4i)</w:t>
            </w:r>
          </w:p>
        </w:tc>
      </w:tr>
      <w:tr w:rsidR="007C5EF5" w:rsidRPr="00923524">
        <w:tc>
          <w:tcPr>
            <w:tcW w:w="8330" w:type="dxa"/>
            <w:gridSpan w:val="2"/>
            <w:shd w:val="clear" w:color="auto" w:fill="4F81BD"/>
            <w:vAlign w:val="center"/>
          </w:tcPr>
          <w:p w:rsidR="007C5EF5" w:rsidRPr="00923524" w:rsidRDefault="007C5EF5" w:rsidP="00F42AD7">
            <w:pPr>
              <w:pStyle w:val="BodyText"/>
              <w:spacing w:line="240" w:lineRule="auto"/>
              <w:jc w:val="center"/>
              <w:rPr>
                <w:b/>
                <w:color w:val="FFFFFF"/>
                <w:lang w:val="en-GB"/>
              </w:rPr>
            </w:pPr>
            <w:r w:rsidRPr="00923524">
              <w:rPr>
                <w:b/>
                <w:color w:val="FFFFFF"/>
                <w:lang w:val="en-GB"/>
              </w:rPr>
              <w:t>3 Monitoring concept</w:t>
            </w:r>
          </w:p>
        </w:tc>
        <w:tc>
          <w:tcPr>
            <w:tcW w:w="5605" w:type="dxa"/>
            <w:shd w:val="clear" w:color="auto" w:fill="4F81BD"/>
          </w:tcPr>
          <w:p w:rsidR="007C5EF5" w:rsidRPr="00923524" w:rsidRDefault="007C5EF5" w:rsidP="00F42AD7">
            <w:pPr>
              <w:pStyle w:val="BodyText"/>
              <w:spacing w:line="240" w:lineRule="auto"/>
              <w:rPr>
                <w:b/>
                <w:color w:val="FFFFFF"/>
                <w:lang w:val="en-GB"/>
              </w:rPr>
            </w:pP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 xml:space="preserve">3.1 General description of relevant </w:t>
            </w:r>
            <w:proofErr w:type="spellStart"/>
            <w:r w:rsidRPr="00923524">
              <w:rPr>
                <w:color w:val="4F81BD"/>
                <w:lang w:val="en-GB"/>
              </w:rPr>
              <w:t>subprogrammes</w:t>
            </w:r>
            <w:proofErr w:type="spellEnd"/>
            <w:r w:rsidRPr="00923524">
              <w:rPr>
                <w:color w:val="4F81BD"/>
                <w:lang w:val="en-GB"/>
              </w:rPr>
              <w:t xml:space="preserve"> in monitoring programme</w:t>
            </w:r>
          </w:p>
        </w:tc>
        <w:tc>
          <w:tcPr>
            <w:tcW w:w="5670" w:type="dxa"/>
          </w:tcPr>
          <w:p w:rsidR="007C5EF5" w:rsidRPr="00923524" w:rsidRDefault="007C5EF5" w:rsidP="00F42AD7">
            <w:pPr>
              <w:pStyle w:val="BodyText"/>
              <w:spacing w:line="240" w:lineRule="auto"/>
              <w:rPr>
                <w:lang w:val="en-GB"/>
              </w:rPr>
            </w:pPr>
            <w:r w:rsidRPr="00923524">
              <w:rPr>
                <w:lang w:val="en-GB"/>
              </w:rPr>
              <w:t xml:space="preserve">List </w:t>
            </w:r>
            <w:proofErr w:type="spellStart"/>
            <w:r w:rsidRPr="00923524">
              <w:rPr>
                <w:lang w:val="en-GB"/>
              </w:rPr>
              <w:t>subprogrammes</w:t>
            </w:r>
            <w:proofErr w:type="spellEnd"/>
            <w:r w:rsidRPr="00923524">
              <w:rPr>
                <w:lang w:val="en-GB"/>
              </w:rPr>
              <w:t xml:space="preserve"> monitored under this programme (only general description)</w:t>
            </w:r>
          </w:p>
          <w:p w:rsidR="007C5EF5" w:rsidRPr="00923524" w:rsidRDefault="007C5EF5" w:rsidP="00F42AD7">
            <w:pPr>
              <w:pStyle w:val="BodyText"/>
              <w:spacing w:before="120" w:after="0" w:line="240" w:lineRule="auto"/>
              <w:rPr>
                <w:b/>
                <w:u w:val="single"/>
                <w:lang w:val="en-GB"/>
              </w:rPr>
            </w:pPr>
            <w:r w:rsidRPr="00923524">
              <w:rPr>
                <w:b/>
                <w:u w:val="single"/>
                <w:lang w:val="en-GB"/>
              </w:rPr>
              <w:t>Subprogramme 1: Water column</w:t>
            </w:r>
          </w:p>
          <w:p w:rsidR="007C5EF5" w:rsidRPr="00923524" w:rsidRDefault="007C5EF5" w:rsidP="00F42AD7">
            <w:pPr>
              <w:pStyle w:val="BodyText"/>
              <w:spacing w:line="240" w:lineRule="auto"/>
              <w:rPr>
                <w:lang w:val="en-GB"/>
              </w:rPr>
            </w:pPr>
            <w:r w:rsidRPr="00923524">
              <w:rPr>
                <w:lang w:val="en-GB"/>
              </w:rPr>
              <w:t>Subprogramme criteria:</w:t>
            </w:r>
          </w:p>
          <w:p w:rsidR="007C5EF5" w:rsidRPr="00923524" w:rsidRDefault="007C5EF5" w:rsidP="00F42AD7">
            <w:pPr>
              <w:pStyle w:val="BodyText"/>
              <w:spacing w:line="240" w:lineRule="auto"/>
              <w:rPr>
                <w:b/>
                <w:lang w:val="en-GB"/>
              </w:rPr>
            </w:pPr>
            <w:r w:rsidRPr="00923524">
              <w:rPr>
                <w:b/>
                <w:lang w:val="en-GB"/>
              </w:rPr>
              <w:t xml:space="preserve">1.1 Pelagic community composition and species abundance </w:t>
            </w:r>
          </w:p>
          <w:p w:rsidR="007C5EF5" w:rsidRPr="00923524" w:rsidRDefault="007C5EF5" w:rsidP="00F42AD7">
            <w:pPr>
              <w:pStyle w:val="BodyText"/>
              <w:spacing w:line="240" w:lineRule="auto"/>
              <w:rPr>
                <w:lang w:val="en-GB"/>
              </w:rPr>
            </w:pPr>
            <w:r w:rsidRPr="00923524">
              <w:rPr>
                <w:lang w:val="en-GB"/>
              </w:rPr>
              <w:t>Parameters: Species composition, abundance (number of individuals and/or biomass)</w:t>
            </w:r>
          </w:p>
          <w:p w:rsidR="007C5EF5" w:rsidRPr="00923524" w:rsidRDefault="007C5EF5" w:rsidP="00F42AD7">
            <w:pPr>
              <w:pStyle w:val="BodyText"/>
              <w:spacing w:line="240" w:lineRule="auto"/>
              <w:rPr>
                <w:lang w:val="en-GB"/>
              </w:rPr>
            </w:pPr>
            <w:r w:rsidRPr="00923524">
              <w:rPr>
                <w:lang w:val="en-GB"/>
              </w:rPr>
              <w:t>Subprogramme criteria:</w:t>
            </w:r>
          </w:p>
          <w:p w:rsidR="007C5EF5" w:rsidRPr="00923524" w:rsidRDefault="007C5EF5" w:rsidP="00F42AD7">
            <w:pPr>
              <w:pStyle w:val="BodyText"/>
              <w:spacing w:line="240" w:lineRule="auto"/>
              <w:rPr>
                <w:b/>
                <w:lang w:val="en-GB"/>
              </w:rPr>
            </w:pPr>
            <w:r w:rsidRPr="00923524">
              <w:rPr>
                <w:b/>
                <w:lang w:val="en-GB"/>
              </w:rPr>
              <w:t>1.2 Plankton biomass</w:t>
            </w:r>
          </w:p>
          <w:p w:rsidR="007C5EF5" w:rsidRPr="00923524" w:rsidRDefault="007C5EF5" w:rsidP="00F42AD7">
            <w:pPr>
              <w:pStyle w:val="BodyText"/>
              <w:spacing w:line="240" w:lineRule="auto"/>
              <w:rPr>
                <w:lang w:val="en-GB"/>
              </w:rPr>
            </w:pPr>
            <w:r w:rsidRPr="00923524">
              <w:rPr>
                <w:lang w:val="en-GB"/>
              </w:rPr>
              <w:t>Parameters: Species composition, abundance (number of individuals and/or biomass - chlorophyll a)</w:t>
            </w:r>
          </w:p>
          <w:p w:rsidR="007C5EF5" w:rsidRPr="00923524" w:rsidRDefault="007C5EF5" w:rsidP="00F42AD7">
            <w:pPr>
              <w:pStyle w:val="BodyText"/>
              <w:spacing w:before="120" w:after="0" w:line="240" w:lineRule="auto"/>
              <w:rPr>
                <w:b/>
                <w:u w:val="single"/>
                <w:lang w:val="en-GB"/>
              </w:rPr>
            </w:pPr>
            <w:r w:rsidRPr="00923524">
              <w:rPr>
                <w:b/>
                <w:u w:val="single"/>
                <w:lang w:val="en-GB"/>
              </w:rPr>
              <w:t>Subprogramme 2: Activities</w:t>
            </w:r>
          </w:p>
          <w:p w:rsidR="007C5EF5" w:rsidRPr="00923524" w:rsidRDefault="007C5EF5" w:rsidP="00F42AD7">
            <w:pPr>
              <w:pStyle w:val="BodyText"/>
              <w:spacing w:before="120" w:after="0" w:line="240" w:lineRule="auto"/>
              <w:rPr>
                <w:lang w:val="en-GB"/>
              </w:rPr>
            </w:pPr>
            <w:r w:rsidRPr="00923524">
              <w:rPr>
                <w:lang w:val="en-GB"/>
              </w:rPr>
              <w:t>Subprogramme criteria:</w:t>
            </w:r>
          </w:p>
          <w:p w:rsidR="007C5EF5" w:rsidRPr="00923524" w:rsidRDefault="007C5EF5" w:rsidP="00F42AD7">
            <w:pPr>
              <w:pStyle w:val="BodyText"/>
              <w:spacing w:before="120" w:after="0" w:line="240" w:lineRule="auto"/>
              <w:rPr>
                <w:b/>
                <w:lang w:val="en-GB"/>
              </w:rPr>
            </w:pPr>
            <w:r w:rsidRPr="00923524">
              <w:rPr>
                <w:b/>
                <w:lang w:val="en-GB"/>
              </w:rPr>
              <w:t>2.1 Distribution, extent &amp; frequency of relevant activities</w:t>
            </w:r>
          </w:p>
          <w:p w:rsidR="007C5EF5" w:rsidRPr="00923524" w:rsidRDefault="007C5EF5" w:rsidP="00F42AD7">
            <w:pPr>
              <w:pStyle w:val="BodyText"/>
              <w:spacing w:before="120" w:after="0" w:line="240" w:lineRule="auto"/>
              <w:rPr>
                <w:lang w:val="en-GB"/>
              </w:rPr>
            </w:pPr>
            <w:r w:rsidRPr="00923524">
              <w:rPr>
                <w:lang w:val="en-GB"/>
              </w:rPr>
              <w:t>Parameters: Distribution in space &amp; time, intensity</w:t>
            </w:r>
          </w:p>
          <w:p w:rsidR="007C5EF5" w:rsidRPr="00923524" w:rsidRDefault="007C5EF5" w:rsidP="00F42AD7">
            <w:pPr>
              <w:pStyle w:val="BodyText"/>
              <w:spacing w:before="120" w:after="0" w:line="240" w:lineRule="auto"/>
              <w:rPr>
                <w:b/>
                <w:u w:val="single"/>
                <w:lang w:val="en-GB"/>
              </w:rPr>
            </w:pPr>
            <w:r w:rsidRPr="00923524">
              <w:rPr>
                <w:b/>
                <w:u w:val="single"/>
                <w:lang w:val="en-GB"/>
              </w:rPr>
              <w:t>Subprogramme 3: Measures</w:t>
            </w:r>
          </w:p>
          <w:p w:rsidR="007C5EF5" w:rsidRPr="00923524" w:rsidRDefault="007C5EF5" w:rsidP="00F42AD7">
            <w:pPr>
              <w:pStyle w:val="BodyText"/>
              <w:spacing w:before="120" w:after="0" w:line="240" w:lineRule="auto"/>
              <w:rPr>
                <w:lang w:val="en-GB"/>
              </w:rPr>
            </w:pPr>
            <w:r w:rsidRPr="00923524">
              <w:rPr>
                <w:lang w:val="en-GB"/>
              </w:rPr>
              <w:t xml:space="preserve">Subprogramme criteria: </w:t>
            </w:r>
          </w:p>
          <w:p w:rsidR="007C5EF5" w:rsidRPr="00923524" w:rsidRDefault="007C5EF5" w:rsidP="00F42AD7">
            <w:pPr>
              <w:pStyle w:val="BodyText"/>
              <w:spacing w:before="120" w:after="0" w:line="240" w:lineRule="auto"/>
              <w:rPr>
                <w:b/>
                <w:lang w:val="en-GB"/>
              </w:rPr>
            </w:pPr>
            <w:r w:rsidRPr="00923524">
              <w:rPr>
                <w:b/>
                <w:lang w:val="en-GB"/>
              </w:rPr>
              <w:t>3.1 Effectiveness of measures</w:t>
            </w:r>
          </w:p>
          <w:p w:rsidR="007C5EF5" w:rsidRPr="00923524" w:rsidRDefault="007C5EF5" w:rsidP="00F42AD7">
            <w:pPr>
              <w:pStyle w:val="BodyText"/>
              <w:spacing w:before="120" w:after="0" w:line="240" w:lineRule="auto"/>
              <w:rPr>
                <w:lang w:val="en-GB"/>
              </w:rPr>
            </w:pPr>
            <w:r w:rsidRPr="00923524">
              <w:rPr>
                <w:lang w:val="en-GB"/>
              </w:rPr>
              <w:t>Parameters: To be developed</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 xml:space="preserve">Use list In document DIKE_9-2014-03_Art11ReportingPackage.doc and BS-CBE </w:t>
            </w:r>
            <w:proofErr w:type="spellStart"/>
            <w:r w:rsidRPr="00923524">
              <w:rPr>
                <w:color w:val="FF0000"/>
                <w:lang w:val="en-GB"/>
              </w:rPr>
              <w:t>Jan_MFS</w:t>
            </w:r>
            <w:proofErr w:type="spellEnd"/>
            <w:r w:rsidRPr="00923524">
              <w:rPr>
                <w:color w:val="FF0000"/>
                <w:lang w:val="en-GB"/>
              </w:rPr>
              <w:t xml:space="preserve"> </w:t>
            </w:r>
            <w:proofErr w:type="spellStart"/>
            <w:proofErr w:type="gramStart"/>
            <w:r w:rsidRPr="00923524">
              <w:rPr>
                <w:color w:val="FF0000"/>
                <w:lang w:val="en-GB"/>
              </w:rPr>
              <w:t>Pgm</w:t>
            </w:r>
            <w:proofErr w:type="spellEnd"/>
            <w:r w:rsidRPr="00923524">
              <w:rPr>
                <w:color w:val="FF0000"/>
                <w:lang w:val="en-GB"/>
              </w:rPr>
              <w:t xml:space="preserve">  Subpgm</w:t>
            </w:r>
            <w:proofErr w:type="gramEnd"/>
            <w:r w:rsidRPr="00923524">
              <w:rPr>
                <w:color w:val="FF0000"/>
                <w:lang w:val="en-GB"/>
              </w:rPr>
              <w:t xml:space="preserve">_list_rev.xls for subprogramme names. New ones may be added if necessary. Use BS-CBE </w:t>
            </w:r>
            <w:proofErr w:type="spellStart"/>
            <w:r w:rsidRPr="00923524">
              <w:rPr>
                <w:color w:val="FF0000"/>
                <w:lang w:val="en-GB"/>
              </w:rPr>
              <w:t>Jan_MFS</w:t>
            </w:r>
            <w:proofErr w:type="spellEnd"/>
            <w:r w:rsidRPr="00923524">
              <w:rPr>
                <w:color w:val="FF0000"/>
                <w:lang w:val="en-GB"/>
              </w:rPr>
              <w:t xml:space="preserve"> </w:t>
            </w:r>
            <w:proofErr w:type="spellStart"/>
            <w:r w:rsidRPr="00923524">
              <w:rPr>
                <w:color w:val="FF0000"/>
                <w:lang w:val="en-GB"/>
              </w:rPr>
              <w:t>Pgm</w:t>
            </w:r>
            <w:proofErr w:type="spellEnd"/>
            <w:r w:rsidRPr="00923524">
              <w:rPr>
                <w:color w:val="FF0000"/>
                <w:lang w:val="en-GB"/>
              </w:rPr>
              <w:t xml:space="preserve">  Subpgm_list_rev.xls to see/check parameters measured in subprogramme</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3.2 Description of monitoring network</w:t>
            </w:r>
          </w:p>
        </w:tc>
        <w:tc>
          <w:tcPr>
            <w:tcW w:w="5670" w:type="dxa"/>
          </w:tcPr>
          <w:p w:rsidR="007C5EF5" w:rsidRPr="00923524" w:rsidRDefault="007C5EF5" w:rsidP="00F42AD7">
            <w:pPr>
              <w:pStyle w:val="BodyText"/>
              <w:spacing w:line="240" w:lineRule="auto"/>
              <w:rPr>
                <w:i/>
                <w:lang w:val="en-GB"/>
              </w:rPr>
            </w:pPr>
            <w:r w:rsidRPr="00923524">
              <w:rPr>
                <w:i/>
                <w:lang w:val="en-GB"/>
              </w:rPr>
              <w:t>Description + maps (describing the spatial resolution of the entire programme)</w:t>
            </w:r>
          </w:p>
          <w:p w:rsidR="007C5EF5" w:rsidRPr="00923524" w:rsidRDefault="0098482D" w:rsidP="00F42AD7">
            <w:pPr>
              <w:pStyle w:val="BodyText"/>
              <w:keepNext/>
              <w:spacing w:line="240" w:lineRule="auto"/>
              <w:rPr>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7.9pt;height:379.25pt;visibility:visible">
                  <v:imagedata r:id="rId22" o:title=""/>
                </v:shape>
              </w:pict>
            </w:r>
          </w:p>
          <w:p w:rsidR="007C5EF5" w:rsidRPr="00923524" w:rsidRDefault="007C5EF5" w:rsidP="00F42AD7">
            <w:pPr>
              <w:pStyle w:val="Caption"/>
              <w:spacing w:after="0"/>
              <w:rPr>
                <w:sz w:val="22"/>
                <w:szCs w:val="22"/>
                <w:lang w:val="en-GB"/>
              </w:rPr>
            </w:pPr>
            <w:r w:rsidRPr="00923524">
              <w:rPr>
                <w:sz w:val="22"/>
                <w:szCs w:val="22"/>
                <w:lang w:val="en-GB"/>
              </w:rPr>
              <w:t xml:space="preserve">Figure </w:t>
            </w:r>
            <w:r w:rsidRPr="00923524">
              <w:rPr>
                <w:sz w:val="22"/>
                <w:szCs w:val="22"/>
                <w:lang w:val="en-GB"/>
              </w:rPr>
              <w:fldChar w:fldCharType="begin"/>
            </w:r>
            <w:r w:rsidRPr="00923524">
              <w:rPr>
                <w:sz w:val="22"/>
                <w:szCs w:val="22"/>
                <w:lang w:val="en-GB"/>
              </w:rPr>
              <w:instrText xml:space="preserve"> SEQ Figure \* ARABIC </w:instrText>
            </w:r>
            <w:r w:rsidRPr="00923524">
              <w:rPr>
                <w:sz w:val="22"/>
                <w:szCs w:val="22"/>
                <w:lang w:val="en-GB"/>
              </w:rPr>
              <w:fldChar w:fldCharType="separate"/>
            </w:r>
            <w:r w:rsidRPr="00923524">
              <w:rPr>
                <w:noProof/>
                <w:sz w:val="22"/>
                <w:szCs w:val="22"/>
                <w:lang w:val="en-GB"/>
              </w:rPr>
              <w:t>1</w:t>
            </w:r>
            <w:r w:rsidRPr="00923524">
              <w:rPr>
                <w:sz w:val="22"/>
                <w:szCs w:val="22"/>
                <w:lang w:val="en-GB"/>
              </w:rPr>
              <w:fldChar w:fldCharType="end"/>
            </w:r>
            <w:r w:rsidRPr="00923524">
              <w:rPr>
                <w:sz w:val="22"/>
                <w:szCs w:val="22"/>
                <w:lang w:val="en-GB"/>
              </w:rPr>
              <w:t xml:space="preserve"> – Map of the 2014 monitoring network of the water column and seabed habitats.</w:t>
            </w:r>
          </w:p>
          <w:p w:rsidR="007C5EF5" w:rsidRDefault="007C5EF5" w:rsidP="00F42AD7">
            <w:pPr>
              <w:pStyle w:val="BodyText"/>
              <w:spacing w:line="240" w:lineRule="auto"/>
              <w:rPr>
                <w:lang w:val="en-GB"/>
              </w:rPr>
            </w:pPr>
            <w:r w:rsidRPr="00923524">
              <w:rPr>
                <w:lang w:val="en-GB"/>
              </w:rPr>
              <w:t>The monitoring framework in 2013 and 2014 comprises 20 sampling stations in the coastal waters. The water column habitat parameters (phytoplankton and zooplankton species composition, abundance, biomass and chlorophyll-a concentration) are measured seasonally. The current monitoring programme is conducted only within the coastal waters and is not adequate to the requirements of the MSFD. The spatial resolution and temporal density are not determined based on statistically robust methods. The data cannot be considered representative for assessing the status of the marine environment and the distance from and the progress towards GES.</w:t>
            </w:r>
          </w:p>
          <w:p w:rsidR="005F19A7" w:rsidRPr="00923524" w:rsidRDefault="005F19A7" w:rsidP="007979D7">
            <w:pPr>
              <w:pStyle w:val="BodyText"/>
              <w:spacing w:line="240" w:lineRule="auto"/>
              <w:rPr>
                <w:lang w:val="en-GB"/>
              </w:rPr>
            </w:pPr>
            <w:r>
              <w:rPr>
                <w:lang w:val="en-GB"/>
              </w:rPr>
              <w:t xml:space="preserve">The monitoring of microbial pathogens is conducted by the Regional Health Inspectorates (Ministry of Health) of Dobrich, Varna and Burgas </w:t>
            </w:r>
            <w:r w:rsidR="007979D7">
              <w:rPr>
                <w:lang w:val="en-GB"/>
              </w:rPr>
              <w:t>in the bathing waters, according</w:t>
            </w:r>
            <w:r>
              <w:rPr>
                <w:lang w:val="en-GB"/>
              </w:rPr>
              <w:t xml:space="preserve"> to the Bathing Waters Directive. Monitoring parameters: </w:t>
            </w:r>
            <w:r w:rsidRPr="005F19A7">
              <w:rPr>
                <w:lang w:val="en-GB"/>
              </w:rPr>
              <w:t>intestinal Enterococci</w:t>
            </w:r>
            <w:r>
              <w:rPr>
                <w:lang w:val="en-GB"/>
              </w:rPr>
              <w:t xml:space="preserve"> and Escherichia coli. The monitoring includes also contaminants: petroleum, PAHs, phenols, dissolved oxygen. </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Spatial resolution (density op sampling). Show sampling network on map. Describe the rationale for the geographical scope of the programme ("4j")</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3.3 Threats, activities and measures</w:t>
            </w:r>
          </w:p>
        </w:tc>
        <w:tc>
          <w:tcPr>
            <w:tcW w:w="5670" w:type="dxa"/>
          </w:tcPr>
          <w:p w:rsidR="007C5EF5" w:rsidRPr="00923524" w:rsidRDefault="007C5EF5" w:rsidP="00F42AD7">
            <w:pPr>
              <w:pStyle w:val="BodyText"/>
              <w:spacing w:line="240" w:lineRule="auto"/>
              <w:rPr>
                <w:i/>
                <w:lang w:val="en-GB"/>
              </w:rPr>
            </w:pPr>
            <w:r w:rsidRPr="00923524">
              <w:rPr>
                <w:i/>
                <w:lang w:val="en-GB"/>
              </w:rPr>
              <w:t>Which threats are identified</w:t>
            </w:r>
          </w:p>
          <w:p w:rsidR="007C5EF5" w:rsidRPr="00923524" w:rsidRDefault="007C5EF5" w:rsidP="00F42AD7">
            <w:pPr>
              <w:pStyle w:val="BodyText"/>
              <w:spacing w:line="240" w:lineRule="auto"/>
              <w:rPr>
                <w:i/>
                <w:lang w:val="en-GB"/>
              </w:rPr>
            </w:pPr>
            <w:r w:rsidRPr="00923524">
              <w:rPr>
                <w:i/>
                <w:lang w:val="en-GB"/>
              </w:rPr>
              <w:t>Which human activities will be measured by the programme</w:t>
            </w:r>
          </w:p>
          <w:p w:rsidR="007C5EF5" w:rsidRPr="00923524" w:rsidRDefault="007C5EF5" w:rsidP="00F42AD7">
            <w:pPr>
              <w:pStyle w:val="BodyText"/>
              <w:spacing w:line="240" w:lineRule="auto"/>
              <w:rPr>
                <w:i/>
                <w:lang w:val="en-GB"/>
              </w:rPr>
            </w:pPr>
            <w:r w:rsidRPr="00923524">
              <w:rPr>
                <w:i/>
                <w:lang w:val="en-GB"/>
              </w:rPr>
              <w:t>Which measures will be measured by the programme</w:t>
            </w:r>
          </w:p>
          <w:p w:rsidR="007C5EF5" w:rsidRPr="00923524" w:rsidRDefault="007C5EF5" w:rsidP="00F42AD7">
            <w:pPr>
              <w:pStyle w:val="BodyText"/>
              <w:spacing w:line="240" w:lineRule="auto"/>
              <w:rPr>
                <w:lang w:val="en-GB"/>
              </w:rPr>
            </w:pPr>
            <w:r w:rsidRPr="00923524">
              <w:rPr>
                <w:b/>
                <w:lang w:val="en-GB"/>
              </w:rPr>
              <w:t>Relevant human activities:</w:t>
            </w:r>
            <w:r w:rsidRPr="00923524">
              <w:rPr>
                <w:lang w:val="en-GB"/>
              </w:rPr>
              <w:t xml:space="preserve"> </w:t>
            </w:r>
          </w:p>
          <w:p w:rsidR="007C5EF5" w:rsidRPr="00923524" w:rsidRDefault="007C5EF5" w:rsidP="00F42AD7">
            <w:pPr>
              <w:pStyle w:val="BodyText"/>
              <w:spacing w:line="240" w:lineRule="auto"/>
              <w:rPr>
                <w:lang w:val="en-GB"/>
              </w:rPr>
            </w:pPr>
            <w:r w:rsidRPr="00923524">
              <w:rPr>
                <w:lang w:val="en-GB"/>
              </w:rPr>
              <w:t>Agriculture</w:t>
            </w:r>
          </w:p>
          <w:p w:rsidR="007C5EF5" w:rsidRPr="00923524" w:rsidRDefault="007C5EF5" w:rsidP="00F42AD7">
            <w:pPr>
              <w:pStyle w:val="BodyText"/>
              <w:spacing w:line="240" w:lineRule="auto"/>
              <w:rPr>
                <w:lang w:val="en-GB"/>
              </w:rPr>
            </w:pPr>
            <w:r w:rsidRPr="00923524">
              <w:rPr>
                <w:lang w:val="en-GB"/>
              </w:rPr>
              <w:t>Industry</w:t>
            </w:r>
          </w:p>
          <w:p w:rsidR="007C5EF5" w:rsidRPr="00923524" w:rsidRDefault="007C5EF5" w:rsidP="00F42AD7">
            <w:pPr>
              <w:pStyle w:val="BodyText"/>
              <w:spacing w:line="240" w:lineRule="auto"/>
              <w:rPr>
                <w:lang w:val="en-GB"/>
              </w:rPr>
            </w:pPr>
            <w:r w:rsidRPr="00923524">
              <w:rPr>
                <w:lang w:val="en-GB"/>
              </w:rPr>
              <w:t>Urbanization</w:t>
            </w:r>
          </w:p>
          <w:p w:rsidR="007C5EF5" w:rsidRPr="00923524" w:rsidRDefault="007C5EF5" w:rsidP="00F42AD7">
            <w:pPr>
              <w:pStyle w:val="BodyText"/>
              <w:spacing w:line="240" w:lineRule="auto"/>
              <w:rPr>
                <w:lang w:val="en-GB"/>
              </w:rPr>
            </w:pPr>
            <w:r w:rsidRPr="00923524">
              <w:rPr>
                <w:lang w:val="en-GB"/>
              </w:rPr>
              <w:t>Tourism and recreational</w:t>
            </w:r>
          </w:p>
          <w:p w:rsidR="007C5EF5" w:rsidRPr="00923524" w:rsidRDefault="007C5EF5" w:rsidP="00F42AD7">
            <w:pPr>
              <w:pStyle w:val="BodyText"/>
              <w:spacing w:line="240" w:lineRule="auto"/>
              <w:rPr>
                <w:lang w:val="en-GB"/>
              </w:rPr>
            </w:pPr>
            <w:r w:rsidRPr="00923524">
              <w:rPr>
                <w:lang w:val="en-GB"/>
              </w:rPr>
              <w:t>Maritime traffic (in relation to non-indigenous species)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Q7: Relevant activities (7a);</w:t>
            </w:r>
          </w:p>
        </w:tc>
      </w:tr>
      <w:tr w:rsidR="007C5EF5" w:rsidRPr="00923524">
        <w:tc>
          <w:tcPr>
            <w:tcW w:w="2660" w:type="dxa"/>
          </w:tcPr>
          <w:p w:rsidR="007C5EF5" w:rsidRPr="00923524" w:rsidRDefault="007C5EF5" w:rsidP="00F42AD7">
            <w:pPr>
              <w:pStyle w:val="BodyText"/>
              <w:spacing w:line="240" w:lineRule="auto"/>
              <w:rPr>
                <w:color w:val="4F81BD"/>
                <w:lang w:val="en-GB"/>
              </w:rPr>
            </w:pPr>
          </w:p>
        </w:tc>
        <w:tc>
          <w:tcPr>
            <w:tcW w:w="5670" w:type="dxa"/>
          </w:tcPr>
          <w:p w:rsidR="007C5EF5" w:rsidRPr="00923524" w:rsidRDefault="007C5EF5" w:rsidP="00F42AD7">
            <w:pPr>
              <w:pStyle w:val="BodyText"/>
              <w:spacing w:line="240" w:lineRule="auto"/>
              <w:rPr>
                <w:lang w:val="en-GB"/>
              </w:rPr>
            </w:pPr>
            <w:r w:rsidRPr="00923524">
              <w:rPr>
                <w:lang w:val="en-GB"/>
              </w:rPr>
              <w:t>Agriculture - see: Monitoring programme D5 Eutrophication</w:t>
            </w:r>
          </w:p>
          <w:p w:rsidR="007C5EF5" w:rsidRPr="00923524" w:rsidRDefault="007C5EF5" w:rsidP="00F42AD7">
            <w:pPr>
              <w:pStyle w:val="BodyText"/>
              <w:spacing w:line="240" w:lineRule="auto"/>
              <w:rPr>
                <w:lang w:val="en-GB"/>
              </w:rPr>
            </w:pPr>
            <w:r w:rsidRPr="00923524">
              <w:rPr>
                <w:lang w:val="en-GB"/>
              </w:rPr>
              <w:t>Industry - see: Monitoring programme D5 Eutrophication</w:t>
            </w:r>
          </w:p>
          <w:p w:rsidR="007C5EF5" w:rsidRPr="00923524" w:rsidRDefault="007C5EF5" w:rsidP="00F42AD7">
            <w:pPr>
              <w:pStyle w:val="BodyText"/>
              <w:spacing w:line="240" w:lineRule="auto"/>
              <w:rPr>
                <w:lang w:val="en-GB"/>
              </w:rPr>
            </w:pPr>
            <w:r w:rsidRPr="00923524">
              <w:rPr>
                <w:lang w:val="en-GB"/>
              </w:rPr>
              <w:t>Urbanization - see: Monitoring programme D5 Eutrophication</w:t>
            </w:r>
          </w:p>
          <w:p w:rsidR="007C5EF5" w:rsidRPr="00923524" w:rsidRDefault="007C5EF5" w:rsidP="00F42AD7">
            <w:pPr>
              <w:pStyle w:val="BodyText"/>
              <w:spacing w:line="240" w:lineRule="auto"/>
              <w:rPr>
                <w:lang w:val="en-GB"/>
              </w:rPr>
            </w:pPr>
            <w:r w:rsidRPr="00923524">
              <w:rPr>
                <w:lang w:val="en-GB"/>
              </w:rPr>
              <w:t>Tourism and recreational activities - see: Monitoring programme D5 Eutrophication</w:t>
            </w:r>
          </w:p>
          <w:p w:rsidR="007C5EF5" w:rsidRPr="00923524" w:rsidRDefault="007C5EF5" w:rsidP="00F42AD7">
            <w:pPr>
              <w:pStyle w:val="BodyText"/>
              <w:spacing w:line="240" w:lineRule="auto"/>
              <w:rPr>
                <w:lang w:val="en-GB"/>
              </w:rPr>
            </w:pPr>
            <w:r w:rsidRPr="00923524">
              <w:rPr>
                <w:lang w:val="en-GB"/>
              </w:rPr>
              <w:t>Maritime traffic (in relation to: non-indigenous species) - see: Monitoring programme D2 Non-indigenous species (NIS).</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describe the nature of activity or pressure (7b)</w:t>
            </w:r>
          </w:p>
        </w:tc>
      </w:tr>
      <w:tr w:rsidR="007C5EF5" w:rsidRPr="00923524">
        <w:tc>
          <w:tcPr>
            <w:tcW w:w="2660" w:type="dxa"/>
          </w:tcPr>
          <w:p w:rsidR="007C5EF5" w:rsidRPr="00923524" w:rsidRDefault="007C5EF5" w:rsidP="00F42AD7">
            <w:pPr>
              <w:pStyle w:val="BodyText"/>
              <w:spacing w:line="240" w:lineRule="auto"/>
              <w:rPr>
                <w:color w:val="4F81BD"/>
                <w:lang w:val="en-GB"/>
              </w:rPr>
            </w:pPr>
          </w:p>
        </w:tc>
        <w:tc>
          <w:tcPr>
            <w:tcW w:w="5670" w:type="dxa"/>
          </w:tcPr>
          <w:p w:rsidR="007C5EF5" w:rsidRPr="00923524" w:rsidRDefault="007C5EF5" w:rsidP="00F42AD7">
            <w:pPr>
              <w:pStyle w:val="BodyText"/>
              <w:spacing w:line="240" w:lineRule="auto"/>
              <w:rPr>
                <w:lang w:val="en-GB"/>
              </w:rPr>
            </w:pP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relevant existing measures (if any) (7c)</w:t>
            </w:r>
          </w:p>
        </w:tc>
      </w:tr>
      <w:tr w:rsidR="007C5EF5" w:rsidRPr="00923524">
        <w:tc>
          <w:tcPr>
            <w:tcW w:w="2660" w:type="dxa"/>
          </w:tcPr>
          <w:p w:rsidR="007C5EF5" w:rsidRPr="00923524" w:rsidRDefault="007C5EF5" w:rsidP="00F42AD7">
            <w:pPr>
              <w:pStyle w:val="BodyText"/>
              <w:spacing w:line="240" w:lineRule="auto"/>
              <w:rPr>
                <w:color w:val="4F81BD"/>
                <w:lang w:val="en-GB"/>
              </w:rPr>
            </w:pPr>
          </w:p>
        </w:tc>
        <w:tc>
          <w:tcPr>
            <w:tcW w:w="5670" w:type="dxa"/>
          </w:tcPr>
          <w:p w:rsidR="007C5EF5" w:rsidRPr="00923524" w:rsidRDefault="007C5EF5" w:rsidP="00F42AD7">
            <w:pPr>
              <w:pStyle w:val="BodyText"/>
              <w:spacing w:line="240" w:lineRule="auto"/>
              <w:rPr>
                <w:lang w:val="en-GB"/>
              </w:rPr>
            </w:pP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how are existing measures monitored (7d)</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3.4 Data management</w:t>
            </w:r>
          </w:p>
        </w:tc>
        <w:tc>
          <w:tcPr>
            <w:tcW w:w="5670" w:type="dxa"/>
          </w:tcPr>
          <w:p w:rsidR="007C5EF5" w:rsidRPr="00923524" w:rsidRDefault="007C5EF5" w:rsidP="00F42AD7">
            <w:pPr>
              <w:pStyle w:val="BodyText"/>
              <w:spacing w:line="240" w:lineRule="auto"/>
              <w:rPr>
                <w:i/>
                <w:lang w:val="en-GB"/>
              </w:rPr>
            </w:pPr>
            <w:r w:rsidRPr="00923524">
              <w:rPr>
                <w:i/>
                <w:lang w:val="en-GB"/>
              </w:rPr>
              <w:t>How and where are data managed? How and where can data be accessed? (General description – programme level)</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Q10 (+Q3): Access to data; use rights; INSPIRE standards; when will data become available; updates when; how will data be made available to the EEA</w:t>
            </w:r>
          </w:p>
        </w:tc>
      </w:tr>
      <w:tr w:rsidR="007C5EF5" w:rsidRPr="00923524">
        <w:tc>
          <w:tcPr>
            <w:tcW w:w="8330" w:type="dxa"/>
            <w:gridSpan w:val="2"/>
            <w:shd w:val="clear" w:color="auto" w:fill="4F81BD"/>
            <w:vAlign w:val="center"/>
          </w:tcPr>
          <w:p w:rsidR="007C5EF5" w:rsidRPr="00923524" w:rsidRDefault="007C5EF5" w:rsidP="00F42AD7">
            <w:pPr>
              <w:pStyle w:val="BodyText"/>
              <w:spacing w:line="240" w:lineRule="auto"/>
              <w:jc w:val="center"/>
              <w:rPr>
                <w:b/>
                <w:i/>
                <w:color w:val="FFFFFF"/>
                <w:lang w:val="en-GB"/>
              </w:rPr>
            </w:pPr>
            <w:r w:rsidRPr="00923524">
              <w:rPr>
                <w:b/>
                <w:color w:val="FFFFFF"/>
                <w:lang w:val="en-GB"/>
              </w:rPr>
              <w:t>4. Assessment</w:t>
            </w:r>
          </w:p>
        </w:tc>
        <w:tc>
          <w:tcPr>
            <w:tcW w:w="5605" w:type="dxa"/>
            <w:shd w:val="clear" w:color="auto" w:fill="4F81BD"/>
          </w:tcPr>
          <w:p w:rsidR="007C5EF5" w:rsidRPr="00923524" w:rsidRDefault="007C5EF5" w:rsidP="00F42AD7">
            <w:pPr>
              <w:pStyle w:val="BodyText"/>
              <w:spacing w:line="240" w:lineRule="auto"/>
              <w:rPr>
                <w:b/>
                <w:color w:val="FFFFFF"/>
                <w:lang w:val="en-GB"/>
              </w:rPr>
            </w:pP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4.1 Assessments</w:t>
            </w:r>
          </w:p>
        </w:tc>
        <w:tc>
          <w:tcPr>
            <w:tcW w:w="5670" w:type="dxa"/>
          </w:tcPr>
          <w:p w:rsidR="007C5EF5" w:rsidRPr="00923524" w:rsidRDefault="007C5EF5" w:rsidP="00F42AD7">
            <w:pPr>
              <w:pStyle w:val="BodyText"/>
              <w:spacing w:line="240" w:lineRule="auto"/>
              <w:rPr>
                <w:i/>
                <w:lang w:val="en-GB"/>
              </w:rPr>
            </w:pPr>
            <w:r w:rsidRPr="00923524">
              <w:rPr>
                <w:i/>
                <w:lang w:val="en-GB"/>
              </w:rPr>
              <w:t>Existing assessments</w:t>
            </w:r>
          </w:p>
          <w:p w:rsidR="007C5EF5" w:rsidRPr="00923524" w:rsidRDefault="007C5EF5" w:rsidP="00F42AD7">
            <w:pPr>
              <w:pStyle w:val="BodyText"/>
              <w:spacing w:line="240" w:lineRule="auto"/>
              <w:rPr>
                <w:lang w:val="en-GB"/>
              </w:rPr>
            </w:pPr>
            <w:r w:rsidRPr="00923524">
              <w:rPr>
                <w:lang w:val="en-GB"/>
              </w:rPr>
              <w:t>National text based reports on the Initial assessment of the marine environment (Art. 8, MSFD) is uploaded on the EIONET Common Data Repository.</w:t>
            </w:r>
          </w:p>
          <w:p w:rsidR="007C5EF5" w:rsidRPr="00923524" w:rsidRDefault="007C5EF5" w:rsidP="00F42AD7">
            <w:pPr>
              <w:pStyle w:val="BodyText"/>
              <w:spacing w:line="240" w:lineRule="auto"/>
              <w:rPr>
                <w:i/>
                <w:lang w:val="en-GB"/>
              </w:rPr>
            </w:pPr>
            <w:r w:rsidRPr="00923524">
              <w:rPr>
                <w:i/>
                <w:lang w:val="en-GB"/>
              </w:rPr>
              <w:t>Provide information about or URL links to existing assessments (</w:t>
            </w:r>
            <w:proofErr w:type="spellStart"/>
            <w:r w:rsidRPr="00923524">
              <w:rPr>
                <w:i/>
                <w:lang w:val="en-GB"/>
              </w:rPr>
              <w:t>eg</w:t>
            </w:r>
            <w:proofErr w:type="spellEnd"/>
            <w:r w:rsidRPr="00923524">
              <w:rPr>
                <w:i/>
                <w:lang w:val="en-GB"/>
              </w:rPr>
              <w:t>. Initial Assessment)</w:t>
            </w:r>
          </w:p>
          <w:p w:rsidR="007C5EF5" w:rsidRPr="00923524" w:rsidRDefault="007C5EF5" w:rsidP="00F42AD7">
            <w:pPr>
              <w:pStyle w:val="BodyText"/>
              <w:spacing w:line="240" w:lineRule="auto"/>
              <w:rPr>
                <w:lang w:val="en-GB"/>
              </w:rPr>
            </w:pPr>
            <w:r w:rsidRPr="00923524">
              <w:rPr>
                <w:lang w:val="en-GB"/>
              </w:rPr>
              <w:t xml:space="preserve">URL: </w:t>
            </w:r>
            <w:hyperlink r:id="rId23" w:history="1">
              <w:r w:rsidRPr="00923524">
                <w:rPr>
                  <w:rStyle w:val="Hyperlink"/>
                  <w:rFonts w:cs="Arial Unicode MS"/>
                  <w:lang w:val="en-GB"/>
                </w:rPr>
                <w:t>http://cdr.eionet.europa.eu/bg/eu/msfd8910/msfd4text/envubapw</w:t>
              </w:r>
            </w:hyperlink>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 xml:space="preserve">This is for information purpose only. Where can stakeholders </w:t>
            </w:r>
            <w:proofErr w:type="spellStart"/>
            <w:r w:rsidRPr="00923524">
              <w:rPr>
                <w:color w:val="FF0000"/>
                <w:lang w:val="en-GB"/>
              </w:rPr>
              <w:t>etc</w:t>
            </w:r>
            <w:proofErr w:type="spellEnd"/>
            <w:r w:rsidRPr="00923524">
              <w:rPr>
                <w:color w:val="FF0000"/>
                <w:lang w:val="en-GB"/>
              </w:rPr>
              <w:t xml:space="preserve"> find existing assessments on issues relevant to the programme </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4.2 Assessment of GES</w:t>
            </w:r>
          </w:p>
        </w:tc>
        <w:tc>
          <w:tcPr>
            <w:tcW w:w="5670" w:type="dxa"/>
          </w:tcPr>
          <w:p w:rsidR="007C5EF5" w:rsidRPr="00923524" w:rsidRDefault="007C5EF5" w:rsidP="00F42AD7">
            <w:pPr>
              <w:pStyle w:val="BodyText"/>
              <w:spacing w:line="240" w:lineRule="auto"/>
              <w:rPr>
                <w:i/>
                <w:lang w:val="en-GB"/>
              </w:rPr>
            </w:pPr>
            <w:r w:rsidRPr="00923524">
              <w:rPr>
                <w:i/>
                <w:lang w:val="en-GB"/>
              </w:rPr>
              <w:t>Will assessment of GES be carried out by the programme</w:t>
            </w:r>
          </w:p>
          <w:p w:rsidR="007C5EF5" w:rsidRPr="00923524" w:rsidRDefault="007C5EF5" w:rsidP="00F42AD7">
            <w:pPr>
              <w:pStyle w:val="BodyText"/>
              <w:spacing w:line="240" w:lineRule="auto"/>
              <w:rPr>
                <w:lang w:val="en-GB"/>
              </w:rPr>
            </w:pPr>
            <w:r w:rsidRPr="00923524">
              <w:rPr>
                <w:lang w:val="en-GB"/>
              </w:rPr>
              <w:t>The current programme will not provide adequate data and information enabling periodic assessment of environmental status and distance to progress towards GES. Necessary changes and recommendation outlined in Section 6.</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Q5: Will the programme enable periodic assessment of environmental status and distance to and progress towards GES (5d). Describe how and refer to section 6 to describe if programme is not considered fully adequate.</w:t>
            </w:r>
          </w:p>
        </w:tc>
      </w:tr>
      <w:tr w:rsidR="007C5EF5" w:rsidRPr="00923524">
        <w:tc>
          <w:tcPr>
            <w:tcW w:w="8330" w:type="dxa"/>
            <w:gridSpan w:val="2"/>
            <w:shd w:val="clear" w:color="auto" w:fill="4F81BD"/>
            <w:vAlign w:val="center"/>
          </w:tcPr>
          <w:p w:rsidR="007C5EF5" w:rsidRPr="00923524" w:rsidRDefault="007C5EF5" w:rsidP="00F42AD7">
            <w:pPr>
              <w:pStyle w:val="BodyText"/>
              <w:spacing w:line="240" w:lineRule="auto"/>
              <w:jc w:val="center"/>
              <w:rPr>
                <w:b/>
                <w:color w:val="FFFFFF"/>
                <w:lang w:val="en-GB"/>
              </w:rPr>
            </w:pPr>
            <w:r w:rsidRPr="00923524">
              <w:rPr>
                <w:b/>
                <w:color w:val="FFFFFF"/>
                <w:lang w:val="en-GB"/>
              </w:rPr>
              <w:t>5. Literature</w:t>
            </w:r>
          </w:p>
        </w:tc>
        <w:tc>
          <w:tcPr>
            <w:tcW w:w="5605" w:type="dxa"/>
            <w:shd w:val="clear" w:color="auto" w:fill="4F81BD"/>
          </w:tcPr>
          <w:p w:rsidR="007C5EF5" w:rsidRPr="00923524" w:rsidRDefault="007C5EF5" w:rsidP="00F42AD7">
            <w:pPr>
              <w:pStyle w:val="BodyText"/>
              <w:spacing w:line="240" w:lineRule="auto"/>
              <w:rPr>
                <w:b/>
                <w:color w:val="FFFFFF"/>
                <w:lang w:val="en-GB"/>
              </w:rPr>
            </w:pPr>
          </w:p>
        </w:tc>
      </w:tr>
      <w:tr w:rsidR="007C5EF5" w:rsidRPr="00923524">
        <w:tc>
          <w:tcPr>
            <w:tcW w:w="2660" w:type="dxa"/>
          </w:tcPr>
          <w:p w:rsidR="007C5EF5" w:rsidRPr="00923524" w:rsidRDefault="007C5EF5" w:rsidP="00F42AD7">
            <w:pPr>
              <w:pStyle w:val="BodyText"/>
              <w:spacing w:line="240" w:lineRule="auto"/>
              <w:rPr>
                <w:lang w:val="en-GB"/>
              </w:rPr>
            </w:pPr>
          </w:p>
        </w:tc>
        <w:tc>
          <w:tcPr>
            <w:tcW w:w="5670" w:type="dxa"/>
          </w:tcPr>
          <w:p w:rsidR="007C5EF5" w:rsidRPr="00923524" w:rsidRDefault="007C5EF5" w:rsidP="00F42AD7">
            <w:pPr>
              <w:pStyle w:val="BodyText"/>
              <w:spacing w:line="240" w:lineRule="auto"/>
              <w:rPr>
                <w:i/>
                <w:lang w:val="en-GB"/>
              </w:rPr>
            </w:pPr>
            <w:r w:rsidRPr="00923524">
              <w:rPr>
                <w:i/>
                <w:lang w:val="en-GB"/>
              </w:rPr>
              <w:t>List of relevant literature</w:t>
            </w:r>
          </w:p>
          <w:p w:rsidR="007C5EF5" w:rsidRPr="00923524" w:rsidRDefault="007C5EF5" w:rsidP="00F42AD7">
            <w:pPr>
              <w:pStyle w:val="BodyText"/>
              <w:spacing w:line="240" w:lineRule="auto"/>
              <w:rPr>
                <w:lang w:val="en-GB"/>
              </w:rPr>
            </w:pPr>
            <w:proofErr w:type="spellStart"/>
            <w:r w:rsidRPr="00923524">
              <w:rPr>
                <w:lang w:val="en-GB"/>
              </w:rPr>
              <w:t>Biovolumes</w:t>
            </w:r>
            <w:proofErr w:type="spellEnd"/>
            <w:r w:rsidRPr="00923524">
              <w:rPr>
                <w:lang w:val="en-GB"/>
              </w:rPr>
              <w:t xml:space="preserve"> and size classes of phytoplankton in the Baltic Sea 2006. HELCOM. Baltic Sea Environment Proceedings, No. 106. 142 pp. (Web: </w:t>
            </w:r>
            <w:hyperlink r:id="rId24" w:history="1">
              <w:r w:rsidRPr="00923524">
                <w:rPr>
                  <w:rStyle w:val="Hyperlink"/>
                  <w:rFonts w:cs="Arial Unicode MS"/>
                  <w:lang w:val="en-GB"/>
                </w:rPr>
                <w:t>http://helcom.fi/Lists/Publications/BSEP106.pdf</w:t>
              </w:r>
            </w:hyperlink>
            <w:r w:rsidRPr="00923524">
              <w:rPr>
                <w:lang w:val="en-GB"/>
              </w:rPr>
              <w:t>)</w:t>
            </w:r>
          </w:p>
          <w:p w:rsidR="007C5EF5" w:rsidRPr="00923524" w:rsidRDefault="007C5EF5" w:rsidP="00F42AD7">
            <w:pPr>
              <w:pStyle w:val="BodyText"/>
              <w:spacing w:line="240" w:lineRule="auto"/>
              <w:rPr>
                <w:lang w:val="en-GB"/>
              </w:rPr>
            </w:pPr>
            <w:proofErr w:type="spellStart"/>
            <w:r w:rsidRPr="00923524">
              <w:rPr>
                <w:lang w:val="en-GB"/>
              </w:rPr>
              <w:t>GuidanceDocument</w:t>
            </w:r>
            <w:proofErr w:type="spellEnd"/>
            <w:r w:rsidRPr="00923524">
              <w:rPr>
                <w:lang w:val="en-GB"/>
              </w:rPr>
              <w:t xml:space="preserve"> No. 7 Monitoring under the Water Framework Directive. Web: </w:t>
            </w:r>
            <w:hyperlink r:id="rId25" w:history="1">
              <w:r w:rsidRPr="00923524">
                <w:rPr>
                  <w:rStyle w:val="Hyperlink"/>
                  <w:rFonts w:cs="Arial Unicode MS"/>
                  <w:lang w:val="en-GB"/>
                </w:rPr>
                <w:t>http://ec.europa.eu/environment/water/water-framework/facts_figures/guidance_docs_en.htm</w:t>
              </w:r>
            </w:hyperlink>
          </w:p>
          <w:p w:rsidR="007C5EF5" w:rsidRPr="00923524" w:rsidRDefault="007C5EF5" w:rsidP="00F42AD7">
            <w:pPr>
              <w:pStyle w:val="BodyText"/>
              <w:spacing w:line="240" w:lineRule="auto"/>
              <w:rPr>
                <w:lang w:val="en-GB"/>
              </w:rPr>
            </w:pPr>
            <w:r w:rsidRPr="00923524">
              <w:rPr>
                <w:lang w:val="en-GB"/>
              </w:rPr>
              <w:t xml:space="preserve">Manual for Marine Monitoring in the COMBINE Programme of HELCOM. Annex C-6. Phytoplankton species composition, abundance and biomass. 21 pp. Web: </w:t>
            </w:r>
            <w:hyperlink r:id="rId26" w:history="1">
              <w:r w:rsidRPr="00923524">
                <w:rPr>
                  <w:rStyle w:val="Hyperlink"/>
                  <w:rFonts w:cs="Arial Unicode MS"/>
                  <w:lang w:val="en-GB"/>
                </w:rPr>
                <w:t>http://helcom.fi/action-areas/monitoring-and-assessment/manuals-and-guidelines/combine-manual</w:t>
              </w:r>
            </w:hyperlink>
          </w:p>
          <w:p w:rsidR="007C5EF5" w:rsidRPr="00923524" w:rsidRDefault="007C5EF5" w:rsidP="00F42AD7">
            <w:pPr>
              <w:pStyle w:val="BodyText"/>
              <w:spacing w:line="240" w:lineRule="auto"/>
              <w:rPr>
                <w:lang w:val="en-GB"/>
              </w:rPr>
            </w:pPr>
            <w:proofErr w:type="spellStart"/>
            <w:r w:rsidRPr="00923524">
              <w:rPr>
                <w:lang w:val="en-GB"/>
              </w:rPr>
              <w:t>Moncheva</w:t>
            </w:r>
            <w:proofErr w:type="spellEnd"/>
            <w:r w:rsidRPr="00923524">
              <w:rPr>
                <w:lang w:val="en-GB"/>
              </w:rPr>
              <w:t xml:space="preserve"> S., B. Par. 2005 (updated-2010). Manual for Phytoplankton Sampling and Analysis in the Black Sea. GEF/UNDP Black Sea Ecosystem Recovery Project (BSERP)-RER/01/G33/A/1G/31 &amp; UPGRADE BLACK SEA SCENE Project, GA 226592, FP7, EC, BSC electronic publication. 68 p.</w:t>
            </w:r>
          </w:p>
          <w:p w:rsidR="007C5EF5" w:rsidRPr="00923524" w:rsidRDefault="007C5EF5" w:rsidP="00F42AD7">
            <w:pPr>
              <w:pStyle w:val="BodyText"/>
              <w:spacing w:line="240" w:lineRule="auto"/>
              <w:rPr>
                <w:lang w:val="en-GB"/>
              </w:rPr>
            </w:pPr>
            <w:proofErr w:type="spellStart"/>
            <w:r w:rsidRPr="00923524">
              <w:rPr>
                <w:lang w:val="en-GB"/>
              </w:rPr>
              <w:t>Moncheva</w:t>
            </w:r>
            <w:proofErr w:type="spellEnd"/>
            <w:r w:rsidRPr="00923524">
              <w:rPr>
                <w:lang w:val="en-GB"/>
              </w:rPr>
              <w:t>, S., 2010. Guidelines for Quality Control of Biological Data Phytoplankton, UPGRADE BLACK SEA SCENE, 18 pp.</w:t>
            </w:r>
          </w:p>
          <w:p w:rsidR="007C5EF5" w:rsidRPr="00923524" w:rsidRDefault="007C5EF5" w:rsidP="00F42AD7">
            <w:pPr>
              <w:pStyle w:val="BodyText"/>
              <w:spacing w:line="240" w:lineRule="auto"/>
              <w:rPr>
                <w:lang w:val="en-GB"/>
              </w:rPr>
            </w:pPr>
            <w:proofErr w:type="spellStart"/>
            <w:r w:rsidRPr="00923524">
              <w:rPr>
                <w:lang w:val="en-GB"/>
              </w:rPr>
              <w:t>Moncheva</w:t>
            </w:r>
            <w:proofErr w:type="spellEnd"/>
            <w:r w:rsidRPr="00923524">
              <w:rPr>
                <w:lang w:val="en-GB"/>
              </w:rPr>
              <w:t>, S., 2010. Guidelines for Quality Control of Biological Data Phytoplankton</w:t>
            </w:r>
            <w:proofErr w:type="gramStart"/>
            <w:r w:rsidRPr="00923524">
              <w:rPr>
                <w:lang w:val="en-GB"/>
              </w:rPr>
              <w:t>,  UPGRADE</w:t>
            </w:r>
            <w:proofErr w:type="gramEnd"/>
            <w:r w:rsidRPr="00923524">
              <w:rPr>
                <w:lang w:val="en-GB"/>
              </w:rPr>
              <w:t xml:space="preserve"> BLACK SEA SCENE, 18 pp.</w:t>
            </w:r>
          </w:p>
          <w:p w:rsidR="007C5EF5" w:rsidRPr="00923524" w:rsidRDefault="007C5EF5" w:rsidP="00FF4CB3">
            <w:pPr>
              <w:pStyle w:val="BodyText"/>
              <w:rPr>
                <w:lang w:val="en-GB"/>
              </w:rPr>
            </w:pPr>
            <w:r w:rsidRPr="00923524">
              <w:rPr>
                <w:lang w:val="en-GB"/>
              </w:rPr>
              <w:t xml:space="preserve">Ordinance No. N-4 of 14/09/2012 on the characterization of surface waters. </w:t>
            </w:r>
            <w:proofErr w:type="spellStart"/>
            <w:r w:rsidRPr="00923524">
              <w:rPr>
                <w:lang w:val="en-GB"/>
              </w:rPr>
              <w:t>Naredba</w:t>
            </w:r>
            <w:proofErr w:type="spellEnd"/>
            <w:r w:rsidRPr="00923524">
              <w:rPr>
                <w:lang w:val="en-GB"/>
              </w:rPr>
              <w:t xml:space="preserve"> No. N-4 of 14/09/2012 </w:t>
            </w:r>
            <w:proofErr w:type="spellStart"/>
            <w:r w:rsidRPr="00923524">
              <w:rPr>
                <w:lang w:val="en-GB"/>
              </w:rPr>
              <w:t>za</w:t>
            </w:r>
            <w:proofErr w:type="spellEnd"/>
            <w:r w:rsidRPr="00923524">
              <w:rPr>
                <w:lang w:val="en-GB"/>
              </w:rPr>
              <w:t xml:space="preserve"> </w:t>
            </w:r>
            <w:proofErr w:type="spellStart"/>
            <w:r w:rsidRPr="00923524">
              <w:rPr>
                <w:lang w:val="en-GB"/>
              </w:rPr>
              <w:t>harakterizirane</w:t>
            </w:r>
            <w:proofErr w:type="spellEnd"/>
            <w:r w:rsidRPr="00923524">
              <w:rPr>
                <w:lang w:val="en-GB"/>
              </w:rPr>
              <w:t xml:space="preserve"> </w:t>
            </w:r>
            <w:proofErr w:type="spellStart"/>
            <w:r w:rsidRPr="00923524">
              <w:rPr>
                <w:lang w:val="en-GB"/>
              </w:rPr>
              <w:t>na</w:t>
            </w:r>
            <w:proofErr w:type="spellEnd"/>
            <w:r w:rsidRPr="00923524">
              <w:rPr>
                <w:lang w:val="en-GB"/>
              </w:rPr>
              <w:t xml:space="preserve"> </w:t>
            </w:r>
            <w:proofErr w:type="spellStart"/>
            <w:r w:rsidRPr="00923524">
              <w:rPr>
                <w:lang w:val="en-GB"/>
              </w:rPr>
              <w:t>povarhnostnite</w:t>
            </w:r>
            <w:proofErr w:type="spellEnd"/>
            <w:r w:rsidRPr="00923524">
              <w:rPr>
                <w:lang w:val="en-GB"/>
              </w:rPr>
              <w:t xml:space="preserve"> void (in Bulgarian).Web: </w:t>
            </w:r>
            <w:hyperlink r:id="rId27" w:history="1">
              <w:r w:rsidRPr="00923524">
                <w:rPr>
                  <w:rStyle w:val="Hyperlink"/>
                  <w:rFonts w:cs="Arial Unicode MS"/>
                  <w:lang w:val="en-GB"/>
                </w:rPr>
                <w:t>http://www3.moew.government.bg/</w:t>
              </w:r>
            </w:hyperlink>
          </w:p>
          <w:p w:rsidR="007C5EF5" w:rsidRPr="00923524" w:rsidRDefault="007C5EF5" w:rsidP="00F42AD7">
            <w:pPr>
              <w:pStyle w:val="BodyText"/>
              <w:spacing w:line="240" w:lineRule="auto"/>
              <w:rPr>
                <w:lang w:val="en-GB"/>
              </w:rPr>
            </w:pPr>
            <w:proofErr w:type="spellStart"/>
            <w:r w:rsidRPr="00923524">
              <w:rPr>
                <w:lang w:val="en-GB"/>
              </w:rPr>
              <w:t>Zampoukas</w:t>
            </w:r>
            <w:proofErr w:type="spellEnd"/>
            <w:r w:rsidRPr="00923524">
              <w:rPr>
                <w:lang w:val="en-GB"/>
              </w:rPr>
              <w:t xml:space="preserve">, N., H. </w:t>
            </w:r>
            <w:proofErr w:type="spellStart"/>
            <w:r w:rsidRPr="00923524">
              <w:rPr>
                <w:lang w:val="en-GB"/>
              </w:rPr>
              <w:t>Piha</w:t>
            </w:r>
            <w:proofErr w:type="spellEnd"/>
            <w:r w:rsidRPr="00923524">
              <w:rPr>
                <w:lang w:val="en-GB"/>
              </w:rPr>
              <w:t>, 2011. Review of Methodological Standards Related to the Marine Strategy Framework Directive Criteria on Good Environmental Status. Publications Office of the European Union, 53 pp. Web: &lt; http://publications.jrc.ec.europa.eu/repository/handle/111111111/16069&gt;;</w:t>
            </w:r>
          </w:p>
          <w:p w:rsidR="007C5EF5" w:rsidRDefault="007C5EF5" w:rsidP="00F42AD7">
            <w:pPr>
              <w:pStyle w:val="BodyText"/>
              <w:spacing w:line="240" w:lineRule="auto"/>
              <w:rPr>
                <w:rStyle w:val="Hyperlink"/>
                <w:rFonts w:cs="Arial Unicode MS"/>
                <w:lang w:val="en-GB"/>
              </w:rPr>
            </w:pPr>
            <w:proofErr w:type="spellStart"/>
            <w:r w:rsidRPr="00923524">
              <w:rPr>
                <w:lang w:val="en-GB"/>
              </w:rPr>
              <w:t>Zampoukas</w:t>
            </w:r>
            <w:proofErr w:type="spellEnd"/>
            <w:r w:rsidRPr="00923524">
              <w:rPr>
                <w:lang w:val="en-GB"/>
              </w:rPr>
              <w:t xml:space="preserve">, N., H. </w:t>
            </w:r>
            <w:proofErr w:type="spellStart"/>
            <w:r w:rsidRPr="00923524">
              <w:rPr>
                <w:lang w:val="en-GB"/>
              </w:rPr>
              <w:t>Piha</w:t>
            </w:r>
            <w:proofErr w:type="spellEnd"/>
            <w:r w:rsidRPr="00923524">
              <w:rPr>
                <w:lang w:val="en-GB"/>
              </w:rPr>
              <w:t xml:space="preserve">, E. </w:t>
            </w:r>
            <w:proofErr w:type="spellStart"/>
            <w:r w:rsidRPr="00923524">
              <w:rPr>
                <w:lang w:val="en-GB"/>
              </w:rPr>
              <w:t>Bigagli</w:t>
            </w:r>
            <w:proofErr w:type="spellEnd"/>
            <w:r w:rsidRPr="00923524">
              <w:rPr>
                <w:lang w:val="en-GB"/>
              </w:rPr>
              <w:t xml:space="preserve">, N. </w:t>
            </w:r>
            <w:proofErr w:type="spellStart"/>
            <w:r w:rsidRPr="00923524">
              <w:rPr>
                <w:lang w:val="en-GB"/>
              </w:rPr>
              <w:t>Hoepffner</w:t>
            </w:r>
            <w:proofErr w:type="spellEnd"/>
            <w:r w:rsidRPr="00923524">
              <w:rPr>
                <w:lang w:val="en-GB"/>
              </w:rPr>
              <w:t xml:space="preserve">, G. </w:t>
            </w:r>
            <w:proofErr w:type="spellStart"/>
            <w:r w:rsidRPr="00923524">
              <w:rPr>
                <w:lang w:val="en-GB"/>
              </w:rPr>
              <w:t>Hanke</w:t>
            </w:r>
            <w:proofErr w:type="spellEnd"/>
            <w:r w:rsidRPr="00923524">
              <w:rPr>
                <w:lang w:val="en-GB"/>
              </w:rPr>
              <w:t xml:space="preserve">, A. Cardoso, 2012. Monitoring for the Marine Strategy Framework Directive: Requirements and Options. Publications Office of the European Union, 42 pp. Web: </w:t>
            </w:r>
            <w:hyperlink r:id="rId28" w:history="1">
              <w:r w:rsidRPr="00923524">
                <w:rPr>
                  <w:rStyle w:val="Hyperlink"/>
                  <w:rFonts w:cs="Arial Unicode MS"/>
                  <w:lang w:val="en-GB"/>
                </w:rPr>
                <w:t>http://publications.jrc.ec.europa.eu/repository/handle/111111111/23169</w:t>
              </w:r>
            </w:hyperlink>
          </w:p>
          <w:p w:rsidR="001A10C1" w:rsidRDefault="00CA714D" w:rsidP="00F42AD7">
            <w:pPr>
              <w:pStyle w:val="BodyText"/>
              <w:spacing w:line="240" w:lineRule="auto"/>
              <w:rPr>
                <w:lang w:val="en-US"/>
              </w:rPr>
            </w:pPr>
            <w:r w:rsidRPr="00923524">
              <w:rPr>
                <w:lang w:val="en-GB"/>
              </w:rPr>
              <w:t xml:space="preserve">Intestinal enterococci </w:t>
            </w:r>
            <w:r w:rsidR="001A10C1">
              <w:rPr>
                <w:lang w:val="bg-BG"/>
              </w:rPr>
              <w:t xml:space="preserve">БДС </w:t>
            </w:r>
            <w:r w:rsidR="001A10C1">
              <w:rPr>
                <w:lang w:val="en-US"/>
              </w:rPr>
              <w:t>EN ISO 7899-1</w:t>
            </w:r>
          </w:p>
          <w:p w:rsidR="001A10C1" w:rsidRPr="001A10C1" w:rsidRDefault="00CA714D" w:rsidP="001A10C1">
            <w:pPr>
              <w:pStyle w:val="BodyText"/>
              <w:spacing w:line="240" w:lineRule="auto"/>
              <w:rPr>
                <w:lang w:val="bg-BG"/>
              </w:rPr>
            </w:pPr>
            <w:r>
              <w:rPr>
                <w:lang w:val="en-GB"/>
              </w:rPr>
              <w:t>Escherichia coli</w:t>
            </w:r>
            <w:r>
              <w:rPr>
                <w:lang w:val="bg-BG"/>
              </w:rPr>
              <w:t xml:space="preserve"> </w:t>
            </w:r>
            <w:r w:rsidR="001A10C1">
              <w:rPr>
                <w:lang w:val="bg-BG"/>
              </w:rPr>
              <w:t xml:space="preserve">БДС </w:t>
            </w:r>
            <w:r w:rsidR="001A10C1">
              <w:rPr>
                <w:lang w:val="en-US"/>
              </w:rPr>
              <w:t xml:space="preserve">EN ISO </w:t>
            </w:r>
            <w:r w:rsidR="001A10C1">
              <w:rPr>
                <w:lang w:val="bg-BG"/>
              </w:rPr>
              <w:t>9308</w:t>
            </w:r>
            <w:r w:rsidR="001A10C1">
              <w:rPr>
                <w:lang w:val="en-US"/>
              </w:rPr>
              <w:t>-</w:t>
            </w:r>
            <w:r w:rsidR="001A10C1">
              <w:rPr>
                <w:lang w:val="bg-BG"/>
              </w:rPr>
              <w:t>3</w:t>
            </w:r>
          </w:p>
        </w:tc>
        <w:tc>
          <w:tcPr>
            <w:tcW w:w="5605" w:type="dxa"/>
          </w:tcPr>
          <w:p w:rsidR="007C5EF5" w:rsidRPr="00923524" w:rsidRDefault="007C5EF5" w:rsidP="0077207C">
            <w:pPr>
              <w:pStyle w:val="BodyText"/>
              <w:rPr>
                <w:color w:val="FF0000"/>
                <w:lang w:val="en-GB"/>
              </w:rPr>
            </w:pPr>
          </w:p>
        </w:tc>
      </w:tr>
      <w:tr w:rsidR="007C5EF5" w:rsidRPr="00923524">
        <w:tc>
          <w:tcPr>
            <w:tcW w:w="8330" w:type="dxa"/>
            <w:gridSpan w:val="2"/>
            <w:shd w:val="clear" w:color="auto" w:fill="4F81BD"/>
            <w:vAlign w:val="center"/>
          </w:tcPr>
          <w:p w:rsidR="007C5EF5" w:rsidRPr="00923524" w:rsidRDefault="007C5EF5" w:rsidP="00F42AD7">
            <w:pPr>
              <w:pStyle w:val="BodyText"/>
              <w:spacing w:line="240" w:lineRule="auto"/>
              <w:jc w:val="center"/>
              <w:rPr>
                <w:b/>
                <w:color w:val="FFFFFF"/>
                <w:lang w:val="en-GB"/>
              </w:rPr>
            </w:pPr>
            <w:r w:rsidRPr="00923524">
              <w:rPr>
                <w:b/>
                <w:color w:val="FFFFFF"/>
                <w:lang w:val="en-GB"/>
              </w:rPr>
              <w:t>6. Activities required to implement the concept</w:t>
            </w:r>
          </w:p>
        </w:tc>
        <w:tc>
          <w:tcPr>
            <w:tcW w:w="5605" w:type="dxa"/>
            <w:shd w:val="clear" w:color="auto" w:fill="4F81BD"/>
          </w:tcPr>
          <w:p w:rsidR="007C5EF5" w:rsidRPr="00923524" w:rsidRDefault="007C5EF5" w:rsidP="00F42AD7">
            <w:pPr>
              <w:pStyle w:val="BodyText"/>
              <w:spacing w:line="240" w:lineRule="auto"/>
              <w:rPr>
                <w:b/>
                <w:color w:val="FFFFFF"/>
                <w:lang w:val="en-GB"/>
              </w:rPr>
            </w:pP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6.1 Changes to the current monitoring programme</w:t>
            </w:r>
          </w:p>
        </w:tc>
        <w:tc>
          <w:tcPr>
            <w:tcW w:w="5670" w:type="dxa"/>
          </w:tcPr>
          <w:p w:rsidR="007C5EF5" w:rsidRPr="00923524" w:rsidRDefault="007C5EF5" w:rsidP="00F42AD7">
            <w:pPr>
              <w:pStyle w:val="BodyText"/>
              <w:spacing w:line="240" w:lineRule="auto"/>
              <w:rPr>
                <w:i/>
                <w:lang w:val="en-GB"/>
              </w:rPr>
            </w:pPr>
            <w:r w:rsidRPr="00923524">
              <w:rPr>
                <w:i/>
                <w:lang w:val="en-GB"/>
              </w:rPr>
              <w:t>Necessary changes and recommendations</w:t>
            </w:r>
          </w:p>
          <w:p w:rsidR="007C5EF5" w:rsidRPr="00923524" w:rsidRDefault="007C5EF5" w:rsidP="00F42AD7">
            <w:pPr>
              <w:pStyle w:val="BodyText"/>
              <w:spacing w:line="240" w:lineRule="auto"/>
              <w:rPr>
                <w:i/>
                <w:lang w:val="en-GB"/>
              </w:rPr>
            </w:pPr>
            <w:r w:rsidRPr="00923524">
              <w:rPr>
                <w:i/>
                <w:lang w:val="en-GB"/>
              </w:rPr>
              <w:t xml:space="preserve">Describe </w:t>
            </w:r>
            <w:r w:rsidRPr="00923524">
              <w:rPr>
                <w:i/>
                <w:u w:val="single"/>
                <w:lang w:val="en-GB"/>
              </w:rPr>
              <w:t>necessary</w:t>
            </w:r>
            <w:r w:rsidRPr="00923524">
              <w:rPr>
                <w:i/>
                <w:lang w:val="en-GB"/>
              </w:rPr>
              <w:t xml:space="preserve"> changes for the programme to cover the requirements of MSFD. Description in general terms.</w:t>
            </w:r>
          </w:p>
          <w:p w:rsidR="007C5EF5" w:rsidRPr="00923524" w:rsidRDefault="007C5EF5" w:rsidP="00F42AD7">
            <w:pPr>
              <w:pStyle w:val="BodyText"/>
              <w:spacing w:line="240" w:lineRule="auto"/>
              <w:rPr>
                <w:lang w:val="en-GB"/>
              </w:rPr>
            </w:pPr>
            <w:r w:rsidRPr="00923524">
              <w:rPr>
                <w:lang w:val="en-GB"/>
              </w:rPr>
              <w:t>Adequate data: No</w:t>
            </w:r>
          </w:p>
          <w:p w:rsidR="007C5EF5" w:rsidRPr="00923524" w:rsidRDefault="007C5EF5" w:rsidP="00F42AD7">
            <w:pPr>
              <w:pStyle w:val="BodyText"/>
              <w:spacing w:line="240" w:lineRule="auto"/>
              <w:rPr>
                <w:lang w:val="en-GB"/>
              </w:rPr>
            </w:pPr>
            <w:r w:rsidRPr="00923524">
              <w:rPr>
                <w:lang w:val="en-GB"/>
              </w:rPr>
              <w:t>Established methods for assessment: Yes</w:t>
            </w:r>
          </w:p>
          <w:p w:rsidR="007C5EF5" w:rsidRPr="00923524" w:rsidRDefault="007C5EF5" w:rsidP="00F42AD7">
            <w:pPr>
              <w:pStyle w:val="BodyText"/>
              <w:spacing w:line="240" w:lineRule="auto"/>
              <w:rPr>
                <w:lang w:val="en-GB"/>
              </w:rPr>
            </w:pPr>
            <w:r w:rsidRPr="00923524">
              <w:rPr>
                <w:lang w:val="en-GB"/>
              </w:rPr>
              <w:t>Adequate understanding of GES: Yes</w:t>
            </w:r>
          </w:p>
          <w:p w:rsidR="007C5EF5" w:rsidRPr="00923524" w:rsidRDefault="007C5EF5" w:rsidP="00F42AD7">
            <w:pPr>
              <w:pStyle w:val="BodyText"/>
              <w:spacing w:line="240" w:lineRule="auto"/>
              <w:rPr>
                <w:lang w:val="en-GB"/>
              </w:rPr>
            </w:pPr>
            <w:r w:rsidRPr="00923524">
              <w:rPr>
                <w:lang w:val="en-GB"/>
              </w:rPr>
              <w:t>Adequate capacity to perform assessments: No</w:t>
            </w:r>
          </w:p>
          <w:p w:rsidR="007C5EF5" w:rsidRPr="00923524" w:rsidRDefault="007C5EF5" w:rsidP="00F42AD7">
            <w:pPr>
              <w:pStyle w:val="BodyText"/>
              <w:spacing w:line="240" w:lineRule="auto"/>
              <w:rPr>
                <w:lang w:val="en-GB"/>
              </w:rPr>
            </w:pPr>
            <w:r w:rsidRPr="00923524">
              <w:rPr>
                <w:lang w:val="en-GB"/>
              </w:rPr>
              <w:t>Addresses activities/pressures: No</w:t>
            </w:r>
          </w:p>
          <w:p w:rsidR="007C5EF5" w:rsidRPr="00923524" w:rsidRDefault="007C5EF5" w:rsidP="00F42AD7">
            <w:pPr>
              <w:pStyle w:val="BodyText"/>
              <w:spacing w:line="240" w:lineRule="auto"/>
              <w:rPr>
                <w:lang w:val="en-GB"/>
              </w:rPr>
            </w:pPr>
            <w:r w:rsidRPr="00923524">
              <w:rPr>
                <w:lang w:val="en-GB"/>
              </w:rPr>
              <w:t>Addresses effectiveness of measures: No</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Which changes are necessary to the current/existing  monitoring programme to secure adequacy with regards to MSFD (</w:t>
            </w:r>
            <w:proofErr w:type="spellStart"/>
            <w:r w:rsidRPr="00923524">
              <w:rPr>
                <w:color w:val="FF0000"/>
                <w:lang w:val="en-GB"/>
              </w:rPr>
              <w:t>eg</w:t>
            </w:r>
            <w:proofErr w:type="spellEnd"/>
            <w:r w:rsidRPr="00923524">
              <w:rPr>
                <w:color w:val="FF0000"/>
                <w:lang w:val="en-GB"/>
              </w:rPr>
              <w:t>. changes in monitoring network)</w:t>
            </w:r>
          </w:p>
          <w:p w:rsidR="007C5EF5" w:rsidRPr="00923524" w:rsidRDefault="007C5EF5" w:rsidP="00F42AD7">
            <w:pPr>
              <w:pStyle w:val="BodyText"/>
              <w:spacing w:line="240" w:lineRule="auto"/>
              <w:rPr>
                <w:color w:val="FF0000"/>
                <w:lang w:val="en-GB"/>
              </w:rPr>
            </w:pPr>
            <w:r w:rsidRPr="00923524">
              <w:rPr>
                <w:color w:val="FF0000"/>
                <w:lang w:val="en-GB"/>
              </w:rPr>
              <w:t>Q7: Will the programme provide necessary data and information to enable identification of relevant activities/pressures that are causing environmental degradation and will the programme identify suitable new measures and the effectiveness of existing measures (7e)</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 xml:space="preserve">6.2 Gaps: GES information </w:t>
            </w:r>
          </w:p>
        </w:tc>
        <w:tc>
          <w:tcPr>
            <w:tcW w:w="5670" w:type="dxa"/>
          </w:tcPr>
          <w:p w:rsidR="007C5EF5" w:rsidRPr="00923524" w:rsidRDefault="007C5EF5" w:rsidP="00F42AD7">
            <w:pPr>
              <w:pStyle w:val="BodyText"/>
              <w:spacing w:line="240" w:lineRule="auto"/>
              <w:rPr>
                <w:i/>
                <w:lang w:val="en-GB"/>
              </w:rPr>
            </w:pPr>
            <w:r w:rsidRPr="00923524">
              <w:rPr>
                <w:i/>
                <w:lang w:val="en-GB"/>
              </w:rPr>
              <w:t>If not yet adequate for data and information needs to assess GES, describe when the programme will be considered fully adequate</w:t>
            </w:r>
          </w:p>
          <w:p w:rsidR="007C5EF5" w:rsidRPr="00923524" w:rsidRDefault="001C462E" w:rsidP="00F42AD7">
            <w:pPr>
              <w:pStyle w:val="BodyText"/>
              <w:spacing w:line="240" w:lineRule="auto"/>
              <w:rPr>
                <w:lang w:val="en-GB"/>
              </w:rPr>
            </w:pPr>
            <w:r w:rsidRPr="00923524">
              <w:rPr>
                <w:iCs/>
                <w:lang w:val="en-GB"/>
              </w:rPr>
              <w:t xml:space="preserve">The programme is expected to provide adequate information on </w:t>
            </w:r>
            <w:smartTag w:uri="urn:schemas-microsoft-com:office:smarttags" w:element="stockticker">
              <w:r w:rsidRPr="00923524">
                <w:rPr>
                  <w:iCs/>
                  <w:lang w:val="en-GB"/>
                </w:rPr>
                <w:t>GES</w:t>
              </w:r>
            </w:smartTag>
            <w:r w:rsidRPr="00923524">
              <w:rPr>
                <w:iCs/>
                <w:lang w:val="en-GB"/>
              </w:rPr>
              <w:t xml:space="preserve"> in time for next assessment in 2018.</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Select when the programme is expected to be adequate: In 2014; in time for next assessment in 2018; in time for updating of monitoring programme in 2020; later than 2020 (5g)</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6.3 Plans: Plans for GES information</w:t>
            </w:r>
          </w:p>
        </w:tc>
        <w:tc>
          <w:tcPr>
            <w:tcW w:w="5670" w:type="dxa"/>
          </w:tcPr>
          <w:p w:rsidR="007C5EF5" w:rsidRPr="00923524" w:rsidRDefault="007C5EF5" w:rsidP="00F42AD7">
            <w:pPr>
              <w:pStyle w:val="BodyText"/>
              <w:spacing w:line="240" w:lineRule="auto"/>
              <w:rPr>
                <w:i/>
                <w:lang w:val="en-GB"/>
              </w:rPr>
            </w:pPr>
            <w:r w:rsidRPr="00923524">
              <w:rPr>
                <w:i/>
                <w:lang w:val="en-GB"/>
              </w:rPr>
              <w:t>If the programme is not considered fully adequate for data and information needs to assess GES, describe what plans are in place to make it fully adequate (</w:t>
            </w:r>
            <w:proofErr w:type="spellStart"/>
            <w:r w:rsidRPr="00923524">
              <w:rPr>
                <w:i/>
                <w:lang w:val="en-GB"/>
              </w:rPr>
              <w:t>eg</w:t>
            </w:r>
            <w:proofErr w:type="spellEnd"/>
            <w:r w:rsidRPr="00923524">
              <w:rPr>
                <w:i/>
                <w:lang w:val="en-GB"/>
              </w:rPr>
              <w:t>. to fill gaps in data methods, understanding or capacity). Describe timeframe, priorities and obstacles.</w:t>
            </w:r>
          </w:p>
          <w:p w:rsidR="007C5EF5" w:rsidRPr="00923524" w:rsidRDefault="007C5EF5" w:rsidP="00806213">
            <w:pPr>
              <w:pStyle w:val="Normal1"/>
              <w:spacing w:after="120"/>
              <w:rPr>
                <w:lang w:val="en-GB"/>
              </w:rPr>
            </w:pPr>
            <w:r w:rsidRPr="00923524">
              <w:rPr>
                <w:b/>
                <w:lang w:val="en-GB"/>
              </w:rPr>
              <w:t>General recommendations:</w:t>
            </w:r>
          </w:p>
          <w:p w:rsidR="007C5EF5" w:rsidRPr="00923524" w:rsidRDefault="007C5EF5" w:rsidP="00806213">
            <w:pPr>
              <w:pStyle w:val="Normal1"/>
              <w:spacing w:after="120"/>
              <w:rPr>
                <w:lang w:val="en-GB"/>
              </w:rPr>
            </w:pPr>
            <w:r w:rsidRPr="00923524">
              <w:rPr>
                <w:b/>
                <w:lang w:val="en-GB"/>
              </w:rPr>
              <w:t>Spatial scope of the monitoring programme</w:t>
            </w:r>
            <w:r w:rsidRPr="00923524">
              <w:rPr>
                <w:lang w:val="en-GB"/>
              </w:rPr>
              <w:t>. Expand the current monitoring network to provide data for the pressure from the drivers (human activities and natural changes), state and impact in the coastal waters, territorial waters and exclusive economic zone, according to the requirements of the Marine Strategy Framework Directive.</w:t>
            </w:r>
          </w:p>
          <w:p w:rsidR="007C5EF5" w:rsidRPr="00923524" w:rsidRDefault="007C5EF5" w:rsidP="00806213">
            <w:pPr>
              <w:pStyle w:val="Normal1"/>
              <w:spacing w:after="120"/>
              <w:rPr>
                <w:lang w:val="en-GB"/>
              </w:rPr>
            </w:pPr>
            <w:r w:rsidRPr="00923524">
              <w:rPr>
                <w:b/>
                <w:lang w:val="en-GB"/>
              </w:rPr>
              <w:t>Design a statistically sound monitoring programme</w:t>
            </w:r>
            <w:r w:rsidRPr="00923524">
              <w:rPr>
                <w:lang w:val="en-GB"/>
              </w:rPr>
              <w:t xml:space="preserve">. Robust statistical methods should be used to determine the minimum sampling size, spatial frequency and temporal resolution of the monitoring network. Software tools like </w:t>
            </w:r>
            <w:hyperlink r:id="rId29">
              <w:r w:rsidRPr="00923524">
                <w:rPr>
                  <w:color w:val="1155CC"/>
                  <w:u w:val="single"/>
                  <w:lang w:val="en-GB"/>
                </w:rPr>
                <w:t>DISTANCE</w:t>
              </w:r>
            </w:hyperlink>
            <w:r w:rsidRPr="00923524">
              <w:rPr>
                <w:lang w:val="en-GB"/>
              </w:rPr>
              <w:t xml:space="preserve"> and </w:t>
            </w:r>
            <w:hyperlink r:id="rId30">
              <w:r w:rsidRPr="00923524">
                <w:rPr>
                  <w:color w:val="1155CC"/>
                  <w:u w:val="single"/>
                  <w:lang w:val="en-GB"/>
                </w:rPr>
                <w:t>AD Model Builder</w:t>
              </w:r>
            </w:hyperlink>
            <w:r w:rsidRPr="00923524">
              <w:rPr>
                <w:lang w:val="en-GB"/>
              </w:rPr>
              <w:t xml:space="preserve"> can be used to support the design of statistically sound and economically feasible monitoring programme.</w:t>
            </w:r>
          </w:p>
          <w:p w:rsidR="007C5EF5" w:rsidRPr="00923524" w:rsidRDefault="007C5EF5" w:rsidP="00806213">
            <w:pPr>
              <w:pStyle w:val="Normal1"/>
              <w:spacing w:after="120"/>
              <w:rPr>
                <w:lang w:val="en-GB"/>
              </w:rPr>
            </w:pPr>
            <w:r w:rsidRPr="00923524">
              <w:rPr>
                <w:b/>
                <w:lang w:val="en-GB"/>
              </w:rPr>
              <w:t xml:space="preserve">Integration across Black Sea Member States (at minimum, Bulgaria and Romania) </w:t>
            </w:r>
            <w:r w:rsidRPr="00923524">
              <w:rPr>
                <w:lang w:val="en-GB"/>
              </w:rPr>
              <w:t>(</w:t>
            </w:r>
            <w:proofErr w:type="spellStart"/>
            <w:r w:rsidR="00E74AFD" w:rsidRPr="00923524">
              <w:rPr>
                <w:lang w:val="en-GB"/>
              </w:rPr>
              <w:fldChar w:fldCharType="begin"/>
            </w:r>
            <w:r w:rsidR="00E74AFD" w:rsidRPr="00923524">
              <w:rPr>
                <w:lang w:val="en-GB"/>
              </w:rPr>
              <w:instrText xml:space="preserve"> HYPERLINK "http://publications.jrc.ec.europa.eu/repository/handle/111111111/23169" \h </w:instrText>
            </w:r>
            <w:r w:rsidR="00E74AFD" w:rsidRPr="00923524">
              <w:rPr>
                <w:lang w:val="en-GB"/>
              </w:rPr>
              <w:fldChar w:fldCharType="separate"/>
            </w:r>
            <w:r w:rsidRPr="00923524">
              <w:rPr>
                <w:color w:val="1155CC"/>
                <w:u w:val="single"/>
                <w:lang w:val="en-GB"/>
              </w:rPr>
              <w:t>Zampoukas</w:t>
            </w:r>
            <w:proofErr w:type="spellEnd"/>
            <w:r w:rsidRPr="00923524">
              <w:rPr>
                <w:color w:val="1155CC"/>
                <w:u w:val="single"/>
                <w:lang w:val="en-GB"/>
              </w:rPr>
              <w:t xml:space="preserve"> et al., 2012</w:t>
            </w:r>
            <w:r w:rsidR="00E74AFD" w:rsidRPr="00923524">
              <w:rPr>
                <w:color w:val="1155CC"/>
                <w:u w:val="single"/>
                <w:lang w:val="en-GB"/>
              </w:rPr>
              <w:fldChar w:fldCharType="end"/>
            </w:r>
            <w:r w:rsidRPr="00923524">
              <w:rPr>
                <w:lang w:val="en-GB"/>
              </w:rPr>
              <w:t>)</w:t>
            </w:r>
            <w:r w:rsidRPr="00923524">
              <w:rPr>
                <w:b/>
                <w:lang w:val="en-GB"/>
              </w:rPr>
              <w:t xml:space="preserve">. </w:t>
            </w:r>
            <w:r w:rsidRPr="00923524">
              <w:rPr>
                <w:lang w:val="en-GB"/>
              </w:rPr>
              <w:t>Joint cruises with Romania will help minimizing the costs and ensure that the data are acquired in a similar and comparable manner thus allowing a comparable assessment and classification of the Bulgarian and Romanian marine areas. The benefit of using common sampling methods and common parameters will result in having regionally agreed indicators, and consequently setting regionally coherent targets and definitions of GES.</w:t>
            </w:r>
          </w:p>
          <w:p w:rsidR="007C5EF5" w:rsidRPr="00923524" w:rsidRDefault="007C5EF5" w:rsidP="00806213">
            <w:pPr>
              <w:pStyle w:val="Normal1"/>
              <w:spacing w:after="120"/>
              <w:rPr>
                <w:lang w:val="en-GB"/>
              </w:rPr>
            </w:pPr>
            <w:r w:rsidRPr="00923524">
              <w:rPr>
                <w:b/>
                <w:lang w:val="en-GB"/>
              </w:rPr>
              <w:t xml:space="preserve">Integration across legislative requirements and Regional Sea Conventions (RSCs) </w:t>
            </w:r>
            <w:r w:rsidRPr="00923524">
              <w:rPr>
                <w:lang w:val="en-GB"/>
              </w:rPr>
              <w:t>(</w:t>
            </w:r>
            <w:proofErr w:type="spellStart"/>
            <w:r w:rsidR="00E74AFD" w:rsidRPr="00923524">
              <w:rPr>
                <w:lang w:val="en-GB"/>
              </w:rPr>
              <w:fldChar w:fldCharType="begin"/>
            </w:r>
            <w:r w:rsidR="00E74AFD" w:rsidRPr="00923524">
              <w:rPr>
                <w:lang w:val="en-GB"/>
              </w:rPr>
              <w:instrText xml:space="preserve"> HYPERLINK "http://publications.jrc.ec.europa.eu/repository/handle/111111111/23169" \h </w:instrText>
            </w:r>
            <w:r w:rsidR="00E74AFD" w:rsidRPr="00923524">
              <w:rPr>
                <w:lang w:val="en-GB"/>
              </w:rPr>
              <w:fldChar w:fldCharType="separate"/>
            </w:r>
            <w:r w:rsidRPr="00923524">
              <w:rPr>
                <w:color w:val="1155CC"/>
                <w:u w:val="single"/>
                <w:lang w:val="en-GB"/>
              </w:rPr>
              <w:t>Zampoukas</w:t>
            </w:r>
            <w:proofErr w:type="spellEnd"/>
            <w:r w:rsidRPr="00923524">
              <w:rPr>
                <w:color w:val="1155CC"/>
                <w:u w:val="single"/>
                <w:lang w:val="en-GB"/>
              </w:rPr>
              <w:t xml:space="preserve"> et al., 2012</w:t>
            </w:r>
            <w:r w:rsidR="00E74AFD" w:rsidRPr="00923524">
              <w:rPr>
                <w:color w:val="1155CC"/>
                <w:u w:val="single"/>
                <w:lang w:val="en-GB"/>
              </w:rPr>
              <w:fldChar w:fldCharType="end"/>
            </w:r>
            <w:r w:rsidRPr="00923524">
              <w:rPr>
                <w:lang w:val="en-GB"/>
              </w:rPr>
              <w:t xml:space="preserve">). Both Bulgaria and Romania can use the data generated in </w:t>
            </w:r>
            <w:proofErr w:type="spellStart"/>
            <w:r w:rsidRPr="00923524">
              <w:rPr>
                <w:lang w:val="en-GB"/>
              </w:rPr>
              <w:t>fulfillment</w:t>
            </w:r>
            <w:proofErr w:type="spellEnd"/>
            <w:r w:rsidRPr="00923524">
              <w:rPr>
                <w:lang w:val="en-GB"/>
              </w:rPr>
              <w:t xml:space="preserve"> of the obligations under the related environmental legislation of the EU (e.g. Water Framework Directive, Bathing Waters Directive and Habitats Directive) and the </w:t>
            </w:r>
            <w:hyperlink r:id="rId31">
              <w:r w:rsidRPr="00923524">
                <w:rPr>
                  <w:color w:val="1155CC"/>
                  <w:u w:val="single"/>
                  <w:lang w:val="en-GB"/>
                </w:rPr>
                <w:t>Black Sea Commission</w:t>
              </w:r>
            </w:hyperlink>
            <w:r w:rsidRPr="00923524">
              <w:rPr>
                <w:lang w:val="en-GB"/>
              </w:rPr>
              <w:t xml:space="preserve"> to acquire information on </w:t>
            </w:r>
            <w:proofErr w:type="gramStart"/>
            <w:r w:rsidRPr="00923524">
              <w:rPr>
                <w:lang w:val="en-GB"/>
              </w:rPr>
              <w:t>GES .</w:t>
            </w:r>
            <w:proofErr w:type="gramEnd"/>
          </w:p>
          <w:p w:rsidR="007C5EF5" w:rsidRDefault="007C5EF5" w:rsidP="00806213">
            <w:pPr>
              <w:pStyle w:val="Normal1"/>
              <w:spacing w:after="120"/>
              <w:rPr>
                <w:lang w:val="en-GB"/>
              </w:rPr>
            </w:pPr>
            <w:r w:rsidRPr="00923524">
              <w:rPr>
                <w:b/>
                <w:lang w:val="en-GB"/>
              </w:rPr>
              <w:t>Integration across descriptors and indicators (</w:t>
            </w:r>
            <w:proofErr w:type="spellStart"/>
            <w:r w:rsidR="00E74AFD" w:rsidRPr="00923524">
              <w:rPr>
                <w:lang w:val="en-GB"/>
              </w:rPr>
              <w:fldChar w:fldCharType="begin"/>
            </w:r>
            <w:r w:rsidR="00E74AFD" w:rsidRPr="00923524">
              <w:rPr>
                <w:lang w:val="en-GB"/>
              </w:rPr>
              <w:instrText xml:space="preserve"> HYPERLINK "http://publications.jrc.ec.europa.eu/repository/handle/111111111/23169" \h </w:instrText>
            </w:r>
            <w:r w:rsidR="00E74AFD" w:rsidRPr="00923524">
              <w:rPr>
                <w:lang w:val="en-GB"/>
              </w:rPr>
              <w:fldChar w:fldCharType="separate"/>
            </w:r>
            <w:r w:rsidRPr="00923524">
              <w:rPr>
                <w:color w:val="1155CC"/>
                <w:u w:val="single"/>
                <w:lang w:val="en-GB"/>
              </w:rPr>
              <w:t>Zampoukas</w:t>
            </w:r>
            <w:proofErr w:type="spellEnd"/>
            <w:r w:rsidRPr="00923524">
              <w:rPr>
                <w:color w:val="1155CC"/>
                <w:u w:val="single"/>
                <w:lang w:val="en-GB"/>
              </w:rPr>
              <w:t xml:space="preserve"> et al., 2012</w:t>
            </w:r>
            <w:r w:rsidR="00E74AFD" w:rsidRPr="00923524">
              <w:rPr>
                <w:color w:val="1155CC"/>
                <w:u w:val="single"/>
                <w:lang w:val="en-GB"/>
              </w:rPr>
              <w:fldChar w:fldCharType="end"/>
            </w:r>
            <w:r w:rsidRPr="00923524">
              <w:rPr>
                <w:lang w:val="en-GB"/>
              </w:rPr>
              <w:t>)</w:t>
            </w:r>
            <w:r w:rsidRPr="00923524">
              <w:rPr>
                <w:b/>
                <w:lang w:val="en-GB"/>
              </w:rPr>
              <w:t>.</w:t>
            </w:r>
            <w:r w:rsidRPr="00923524">
              <w:rPr>
                <w:lang w:val="en-GB"/>
              </w:rPr>
              <w:t xml:space="preserve"> The coordinated monitoring programme on D1,4 – Marine mammals can be integrated with the monitoring of all the other descriptors, because chance encounters of marine mammals can happen during offshore, </w:t>
            </w:r>
            <w:proofErr w:type="spellStart"/>
            <w:r w:rsidRPr="00923524">
              <w:rPr>
                <w:lang w:val="en-GB"/>
              </w:rPr>
              <w:t>nearshore</w:t>
            </w:r>
            <w:proofErr w:type="spellEnd"/>
            <w:r w:rsidRPr="00923524">
              <w:rPr>
                <w:lang w:val="en-GB"/>
              </w:rPr>
              <w:t xml:space="preserve"> and coastal monitoring surveys.</w:t>
            </w:r>
          </w:p>
          <w:p w:rsidR="001241DB" w:rsidRDefault="001241DB" w:rsidP="001241DB">
            <w:pPr>
              <w:pStyle w:val="BodyText"/>
              <w:spacing w:line="240" w:lineRule="auto"/>
              <w:rPr>
                <w:lang w:val="en-GB"/>
              </w:rPr>
            </w:pPr>
            <w:r w:rsidRPr="001D5E58">
              <w:rPr>
                <w:b/>
                <w:lang w:val="en-GB"/>
              </w:rPr>
              <w:t>Distinguish between the natural and climatic variability and human pressure</w:t>
            </w:r>
            <w:r>
              <w:rPr>
                <w:lang w:val="en-GB"/>
              </w:rPr>
              <w:t xml:space="preserve"> (in relation to MSFD Art. 11 reporting question 5f) – Data on natural and climatic variability (e.g. from the IPCC Data Distribution Centre and the National Institute of Meteorology and Hydrology – Bulgarian Academy of Sciences), and anthropogenic pressure (e.g. land-based point sources of pollution) should be made available to the monitoring institution to be able statistically analyse and distinguish between the pressure from</w:t>
            </w:r>
            <w:r w:rsidR="00F46D42">
              <w:rPr>
                <w:lang w:val="en-GB"/>
              </w:rPr>
              <w:t xml:space="preserve"> </w:t>
            </w:r>
            <w:r>
              <w:rPr>
                <w:lang w:val="en-GB"/>
              </w:rPr>
              <w:t xml:space="preserve">global teleconnections and regional sources of anthropogenic pressure. </w:t>
            </w:r>
            <w:r w:rsidR="00F46D42">
              <w:rPr>
                <w:lang w:val="en-GB"/>
              </w:rPr>
              <w:t>In addition, d</w:t>
            </w:r>
            <w:r>
              <w:rPr>
                <w:lang w:val="en-GB"/>
              </w:rPr>
              <w:t xml:space="preserve">ata on the Danube river nutrient discharge and the role of the Black Sea Rim current should be made available, because they are of particular relevance for distinguishing the </w:t>
            </w:r>
            <w:r w:rsidR="00F46D42">
              <w:rPr>
                <w:lang w:val="en-GB"/>
              </w:rPr>
              <w:t>pressure</w:t>
            </w:r>
            <w:r>
              <w:rPr>
                <w:lang w:val="en-GB"/>
              </w:rPr>
              <w:t xml:space="preserve"> </w:t>
            </w:r>
            <w:r w:rsidR="00F46D42">
              <w:rPr>
                <w:lang w:val="en-GB"/>
              </w:rPr>
              <w:t xml:space="preserve">of </w:t>
            </w:r>
            <w:r>
              <w:rPr>
                <w:lang w:val="en-GB"/>
              </w:rPr>
              <w:t xml:space="preserve">the Danube River </w:t>
            </w:r>
            <w:r w:rsidR="00F46D42">
              <w:rPr>
                <w:lang w:val="en-GB"/>
              </w:rPr>
              <w:t>from the pressure from</w:t>
            </w:r>
            <w:r>
              <w:rPr>
                <w:lang w:val="en-GB"/>
              </w:rPr>
              <w:t xml:space="preserve"> the Bulgarian Rivers on Bulgarian marine waters. </w:t>
            </w:r>
            <w:r w:rsidRPr="00650452">
              <w:rPr>
                <w:lang w:val="en-GB"/>
              </w:rPr>
              <w:t>Data should be made available in time for the next assessment in 2018.</w:t>
            </w:r>
          </w:p>
          <w:p w:rsidR="00EB705F" w:rsidRPr="00923524" w:rsidRDefault="00EB705F" w:rsidP="001241DB">
            <w:pPr>
              <w:pStyle w:val="BodyText"/>
              <w:spacing w:line="240" w:lineRule="auto"/>
              <w:rPr>
                <w:lang w:val="en-GB"/>
              </w:rPr>
            </w:pPr>
            <w:r w:rsidRPr="00EB705F">
              <w:rPr>
                <w:lang w:val="en-GB"/>
              </w:rPr>
              <w:t>Distinguish between the natural and climatic variability and human pressure (in relation to MSFD Art. 11 reporting question 5f) – Data on natural and climatic variability (e.g. from the IPCC Data Distribution Centre and the National Institute of Meteorology and Hydrology – Bulgarian Academy of Sciences), and anthropogenic pressure (e.g. land-based point sources of pollution) should be made available to the monitoring institution to be able statistically analyse and distinguish between the pressure from global teleconnections and regional sources of anthropogenic pressure. In addition, data on the Danube river nutrient discharge and the role of the Black Sea Rim current should be made available, because they are of particular relevance for distinguishing the pressure of the Danube River from the pressure from the Bulgarian Rivers on Bulgarian marine waters. Data should be made available to the monitoring institution in time for the next assessment in 2018.</w:t>
            </w:r>
          </w:p>
          <w:p w:rsidR="007C5EF5" w:rsidRPr="00923524" w:rsidRDefault="007C5EF5" w:rsidP="00806213">
            <w:pPr>
              <w:pStyle w:val="Normal1"/>
              <w:spacing w:after="120"/>
              <w:rPr>
                <w:b/>
                <w:lang w:val="en-GB"/>
              </w:rPr>
            </w:pPr>
            <w:r w:rsidRPr="00923524">
              <w:rPr>
                <w:b/>
                <w:lang w:val="en-GB"/>
              </w:rPr>
              <w:t>Programme-specific requirements:</w:t>
            </w:r>
          </w:p>
          <w:p w:rsidR="007C5EF5" w:rsidRPr="00923524" w:rsidRDefault="007C5EF5" w:rsidP="00806213">
            <w:pPr>
              <w:pStyle w:val="BodyText"/>
              <w:rPr>
                <w:lang w:val="en-GB"/>
              </w:rPr>
            </w:pPr>
            <w:r w:rsidRPr="00923524">
              <w:rPr>
                <w:lang w:val="en-GB"/>
              </w:rPr>
              <w:t>Start in 2015 (if not already started in 2014) the implementation of coordinated with Romania monitoring programme on Descriptor D1, 4 –  Water Column Habitats to provide information on the distance from GES and update the GES definition, if necessary, for the next Article 8 reporting on assessment of environmental status and  Article 9 reporting on GES in 2018.</w:t>
            </w:r>
          </w:p>
          <w:p w:rsidR="007C5EF5" w:rsidRPr="00923524" w:rsidRDefault="007C5EF5" w:rsidP="00944A79">
            <w:pPr>
              <w:pStyle w:val="BodyText"/>
              <w:numPr>
                <w:ilvl w:val="0"/>
                <w:numId w:val="7"/>
              </w:numPr>
              <w:tabs>
                <w:tab w:val="clear" w:pos="432"/>
              </w:tabs>
              <w:spacing w:line="240" w:lineRule="auto"/>
              <w:ind w:left="360"/>
              <w:rPr>
                <w:lang w:val="en-GB"/>
              </w:rPr>
            </w:pPr>
            <w:r w:rsidRPr="00923524">
              <w:rPr>
                <w:lang w:val="en-GB"/>
              </w:rPr>
              <w:t>Institute of Biodiversity and Ecosystem Research - Bulgarian Academy of Sciences – experience in modelling the marine food web;</w:t>
            </w:r>
          </w:p>
          <w:p w:rsidR="007C5EF5" w:rsidRPr="00923524" w:rsidRDefault="007C5EF5" w:rsidP="00C61039">
            <w:pPr>
              <w:pStyle w:val="BodyText"/>
              <w:numPr>
                <w:ilvl w:val="0"/>
                <w:numId w:val="7"/>
              </w:numPr>
              <w:tabs>
                <w:tab w:val="clear" w:pos="432"/>
              </w:tabs>
              <w:spacing w:line="240" w:lineRule="auto"/>
              <w:ind w:left="360"/>
              <w:rPr>
                <w:lang w:val="en-GB"/>
              </w:rPr>
            </w:pPr>
            <w:r w:rsidRPr="00923524">
              <w:rPr>
                <w:lang w:val="en-GB"/>
              </w:rPr>
              <w:t>Institute of Fisheries Resource – Ministry of Agriculture – research expertise in fish and long dataset on different characteristics in the marine environment;</w:t>
            </w:r>
          </w:p>
          <w:p w:rsidR="007C5EF5" w:rsidRPr="00923524" w:rsidRDefault="007C5EF5" w:rsidP="00806213">
            <w:pPr>
              <w:pStyle w:val="BodyText"/>
              <w:spacing w:line="240" w:lineRule="auto"/>
              <w:rPr>
                <w:lang w:val="en-GB"/>
              </w:rPr>
            </w:pPr>
            <w:r w:rsidRPr="00923524">
              <w:rPr>
                <w:b/>
                <w:bCs/>
                <w:lang w:val="en-GB"/>
              </w:rPr>
              <w:t>Increasing temporal frequency of the monitoring and conducting year-round sampling</w:t>
            </w:r>
            <w:r w:rsidRPr="00923524">
              <w:rPr>
                <w:lang w:val="en-GB"/>
              </w:rPr>
              <w:t xml:space="preserve">. The temporal frequency of the phytoplankton should be at least 12 times a year (monthly) (See: </w:t>
            </w:r>
            <w:hyperlink r:id="rId32" w:history="1">
              <w:proofErr w:type="spellStart"/>
              <w:r w:rsidRPr="00923524">
                <w:rPr>
                  <w:rStyle w:val="Hyperlink"/>
                  <w:rFonts w:cs="Arial Unicode MS"/>
                  <w:lang w:val="en-GB"/>
                </w:rPr>
                <w:t>Zampoukas</w:t>
              </w:r>
              <w:proofErr w:type="spellEnd"/>
              <w:r w:rsidRPr="00923524">
                <w:rPr>
                  <w:rStyle w:val="Hyperlink"/>
                  <w:rFonts w:cs="Arial Unicode MS"/>
                  <w:lang w:val="en-GB"/>
                </w:rPr>
                <w:t xml:space="preserve"> et al., 2012</w:t>
              </w:r>
            </w:hyperlink>
            <w:r w:rsidRPr="00923524">
              <w:rPr>
                <w:lang w:val="en-GB"/>
              </w:rPr>
              <w:t xml:space="preserve">, referring to the Water Framework Directive, </w:t>
            </w:r>
            <w:hyperlink r:id="rId33" w:history="1">
              <w:r w:rsidRPr="00923524">
                <w:rPr>
                  <w:rStyle w:val="Hyperlink"/>
                  <w:rFonts w:cs="Arial Unicode MS"/>
                  <w:lang w:val="en-GB"/>
                </w:rPr>
                <w:t>Guidance No 07 - Monitoring</w:t>
              </w:r>
            </w:hyperlink>
            <w:r w:rsidRPr="00923524">
              <w:rPr>
                <w:lang w:val="en-GB"/>
              </w:rPr>
              <w:t>). The monitoring frequency of zooplankton should be at least 4 times a year (seasonally). This also means early start of the yearly monitoring activities – at the beginning of the year. The increased temporal frequency for these biological quality elements is required to validate the assessment system for every season and to allow year-round assessment of the status of the marine environment.</w:t>
            </w:r>
          </w:p>
          <w:p w:rsidR="007C5EF5" w:rsidRPr="00923524" w:rsidRDefault="007C5EF5" w:rsidP="00806213">
            <w:pPr>
              <w:pStyle w:val="BodyText"/>
              <w:spacing w:line="240" w:lineRule="auto"/>
              <w:rPr>
                <w:lang w:val="en-GB"/>
              </w:rPr>
            </w:pPr>
            <w:r w:rsidRPr="00923524">
              <w:rPr>
                <w:b/>
                <w:lang w:val="en-GB"/>
              </w:rPr>
              <w:t>Further develop and validate the classification systems of the environmental status for all the biological quality elements</w:t>
            </w:r>
            <w:r w:rsidRPr="00923524">
              <w:rPr>
                <w:lang w:val="en-GB"/>
              </w:rPr>
              <w:t xml:space="preserve">. It is necessary to further develop and validate the classification system for phytoplankton and zooplankton. The state of the phytoplankton community (particularly during the summer months) directly depends on the nutrient loads (riverine, urban, industrial, and atmospheric). Therefore, data from the land-based point and diffuse sources of pollution and the atmospheric input are required to adequately assess the state of the phytoplankton community. Data of the point sources of pollution (riverine, urban, industrial and aquaculture) should be made available from the </w:t>
            </w:r>
            <w:hyperlink r:id="rId34" w:history="1">
              <w:r w:rsidRPr="00923524">
                <w:rPr>
                  <w:rStyle w:val="Hyperlink"/>
                  <w:rFonts w:cs="Arial Unicode MS"/>
                  <w:lang w:val="en-GB"/>
                </w:rPr>
                <w:t>Black Sea Basin Directorate</w:t>
              </w:r>
            </w:hyperlink>
            <w:r w:rsidRPr="00923524">
              <w:rPr>
                <w:lang w:val="en-GB"/>
              </w:rPr>
              <w:t xml:space="preserve">. Data from the diffuse pollution (nitrates in the rainwater) should be requested by the </w:t>
            </w:r>
            <w:hyperlink r:id="rId35" w:history="1">
              <w:r w:rsidRPr="00923524">
                <w:rPr>
                  <w:rStyle w:val="Hyperlink"/>
                  <w:rFonts w:cs="Arial Unicode MS"/>
                  <w:lang w:val="en-GB"/>
                </w:rPr>
                <w:t>Ministry of Environment and Waters</w:t>
              </w:r>
            </w:hyperlink>
            <w:r w:rsidRPr="00923524">
              <w:rPr>
                <w:lang w:val="en-GB"/>
              </w:rPr>
              <w:t xml:space="preserve"> from the </w:t>
            </w:r>
            <w:hyperlink r:id="rId36" w:history="1">
              <w:r w:rsidRPr="00923524">
                <w:rPr>
                  <w:rStyle w:val="Hyperlink"/>
                  <w:rFonts w:cs="Arial Unicode MS"/>
                  <w:lang w:val="en-GB"/>
                </w:rPr>
                <w:t>National Institute of Meteorology and Hydrology</w:t>
              </w:r>
            </w:hyperlink>
            <w:r w:rsidRPr="00923524">
              <w:rPr>
                <w:lang w:val="en-GB"/>
              </w:rPr>
              <w:t>.</w:t>
            </w:r>
          </w:p>
          <w:p w:rsidR="007C5EF5" w:rsidRPr="00923524" w:rsidRDefault="007C5EF5" w:rsidP="00806213">
            <w:pPr>
              <w:pStyle w:val="BodyText"/>
              <w:spacing w:line="240" w:lineRule="auto"/>
              <w:rPr>
                <w:lang w:val="en-GB"/>
              </w:rPr>
            </w:pPr>
            <w:r w:rsidRPr="00923524">
              <w:rPr>
                <w:lang w:val="en-GB"/>
              </w:rPr>
              <w:t>The 2013 monitoring programme identifies new monitoring parameters (jellyfish species) and related classification system. The monitoring data should be gathered at increased sampling frequency (at least 4 times a year) to provide seasonal assessment of the status of the marine environment. The monitoring should take place in the coastal waters, territorial waters and Exclusive Economic Zone, according to the requirements of the MSFD.</w:t>
            </w:r>
          </w:p>
          <w:p w:rsidR="007C5EF5" w:rsidRPr="00923524" w:rsidRDefault="007C5EF5" w:rsidP="003A0705">
            <w:pPr>
              <w:pStyle w:val="BodyText"/>
              <w:rPr>
                <w:lang w:val="en-GB"/>
              </w:rPr>
            </w:pPr>
            <w:r w:rsidRPr="00923524">
              <w:rPr>
                <w:b/>
                <w:lang w:val="en-GB"/>
              </w:rPr>
              <w:t>Bulgaria and Romania should revise and further develop together</w:t>
            </w:r>
            <w:r w:rsidRPr="00923524">
              <w:rPr>
                <w:lang w:val="en-GB"/>
              </w:rPr>
              <w:t xml:space="preserve"> coherent GES definitions and assessment methods for their marine waters, taking into account the assessment and the recommendations of the Commission, as much as possible, in 2014.</w:t>
            </w:r>
          </w:p>
          <w:p w:rsidR="007C5EF5" w:rsidRPr="00923524" w:rsidRDefault="007C5EF5" w:rsidP="003A0705">
            <w:pPr>
              <w:pStyle w:val="BodyText"/>
              <w:rPr>
                <w:lang w:val="en-GB"/>
              </w:rPr>
            </w:pPr>
            <w:r w:rsidRPr="00923524">
              <w:rPr>
                <w:b/>
                <w:lang w:val="en-GB"/>
              </w:rPr>
              <w:t>Bulgaria and Romania should revise and further develop together coherent targets</w:t>
            </w:r>
            <w:r w:rsidRPr="00923524">
              <w:rPr>
                <w:lang w:val="en-GB"/>
              </w:rPr>
              <w:t xml:space="preserve"> based on agreed, if not harmonized, indicators for their marine waters taking into account the assessment and the recommendations of the Commission, as much as possible, in 2014.</w:t>
            </w:r>
          </w:p>
          <w:p w:rsidR="007C5EF5" w:rsidRPr="00923524" w:rsidRDefault="007C5EF5" w:rsidP="00F42AD7">
            <w:pPr>
              <w:pStyle w:val="BodyText"/>
              <w:spacing w:line="240" w:lineRule="auto"/>
              <w:rPr>
                <w:lang w:val="en-GB"/>
              </w:rPr>
            </w:pPr>
            <w:r w:rsidRPr="00923524">
              <w:rPr>
                <w:b/>
                <w:lang w:val="en-GB"/>
              </w:rPr>
              <w:t>Bulgaria and Romania should develop together agreed indicators</w:t>
            </w:r>
            <w:r w:rsidRPr="00923524">
              <w:rPr>
                <w:lang w:val="en-GB"/>
              </w:rPr>
              <w:t xml:space="preserve"> (based on common parameters) and/or </w:t>
            </w:r>
            <w:r w:rsidRPr="00923524">
              <w:rPr>
                <w:b/>
                <w:lang w:val="en-GB"/>
              </w:rPr>
              <w:t>harmonised indicators</w:t>
            </w:r>
            <w:r w:rsidRPr="00923524">
              <w:rPr>
                <w:lang w:val="en-GB"/>
              </w:rPr>
              <w:t xml:space="preserve"> (based on common parameters and common methods) for their marine waters, taking into account the assessment and the recommendations of the Commission , as much as possible, in 2014.</w:t>
            </w:r>
          </w:p>
          <w:p w:rsidR="007C5EF5" w:rsidRPr="00923524" w:rsidRDefault="007C5EF5" w:rsidP="00F42AD7">
            <w:pPr>
              <w:pStyle w:val="BodyText"/>
              <w:spacing w:line="240" w:lineRule="auto"/>
              <w:rPr>
                <w:lang w:val="en-GB"/>
              </w:rPr>
            </w:pPr>
            <w:r w:rsidRPr="00923524">
              <w:rPr>
                <w:b/>
                <w:bCs/>
                <w:lang w:val="en-GB"/>
              </w:rPr>
              <w:t>Use modelling to fill in the knowledge gaps on Descriptor 4 of the MSFD</w:t>
            </w:r>
            <w:r w:rsidRPr="00923524">
              <w:rPr>
                <w:lang w:val="en-GB"/>
              </w:rPr>
              <w:t xml:space="preserve">. Use the available monitoring data and open-source ecosystem models (e.g. </w:t>
            </w:r>
            <w:hyperlink r:id="rId37" w:history="1">
              <w:proofErr w:type="spellStart"/>
              <w:r w:rsidRPr="00923524">
                <w:rPr>
                  <w:rStyle w:val="Hyperlink"/>
                  <w:rFonts w:cs="Arial Unicode MS"/>
                  <w:lang w:val="en-GB"/>
                </w:rPr>
                <w:t>Ecopath</w:t>
              </w:r>
              <w:proofErr w:type="spellEnd"/>
              <w:r w:rsidRPr="00923524">
                <w:rPr>
                  <w:rStyle w:val="Hyperlink"/>
                  <w:rFonts w:cs="Arial Unicode MS"/>
                  <w:lang w:val="en-GB"/>
                </w:rPr>
                <w:t xml:space="preserve"> with </w:t>
              </w:r>
              <w:proofErr w:type="spellStart"/>
              <w:r w:rsidRPr="00923524">
                <w:rPr>
                  <w:rStyle w:val="Hyperlink"/>
                  <w:rFonts w:cs="Arial Unicode MS"/>
                  <w:lang w:val="en-GB"/>
                </w:rPr>
                <w:t>Ecosim</w:t>
              </w:r>
              <w:proofErr w:type="spellEnd"/>
              <w:r w:rsidRPr="00923524">
                <w:rPr>
                  <w:rStyle w:val="Hyperlink"/>
                  <w:rFonts w:cs="Arial Unicode MS"/>
                  <w:lang w:val="en-GB"/>
                </w:rPr>
                <w:t xml:space="preserve"> (</w:t>
              </w:r>
              <w:proofErr w:type="spellStart"/>
              <w:r w:rsidRPr="00923524">
                <w:rPr>
                  <w:rStyle w:val="Hyperlink"/>
                  <w:rFonts w:cs="Arial Unicode MS"/>
                  <w:lang w:val="en-GB"/>
                </w:rPr>
                <w:t>EwE</w:t>
              </w:r>
              <w:proofErr w:type="spellEnd"/>
              <w:r w:rsidRPr="00923524">
                <w:rPr>
                  <w:rStyle w:val="Hyperlink"/>
                  <w:rFonts w:cs="Arial Unicode MS"/>
                  <w:lang w:val="en-GB"/>
                </w:rPr>
                <w:t>)</w:t>
              </w:r>
            </w:hyperlink>
            <w:r w:rsidRPr="00923524">
              <w:rPr>
                <w:lang w:val="en-GB"/>
              </w:rPr>
              <w:t>) to fill in the knowledge gaps on the functioning of the marine food webs (Descriptor 4, MSFD) and determine the distance from GES.</w:t>
            </w:r>
          </w:p>
          <w:p w:rsidR="007C5EF5" w:rsidRPr="00923524" w:rsidRDefault="007C5EF5" w:rsidP="00025C5C">
            <w:pPr>
              <w:pStyle w:val="BodyText"/>
              <w:spacing w:line="240" w:lineRule="auto"/>
              <w:rPr>
                <w:lang w:val="en-GB"/>
              </w:rPr>
            </w:pPr>
            <w:r w:rsidRPr="00923524">
              <w:rPr>
                <w:b/>
                <w:lang w:val="en-GB"/>
              </w:rPr>
              <w:t>Using consistent sampling and assessment methodologies across Member States (Bulgaria and Romania)</w:t>
            </w:r>
            <w:r w:rsidRPr="00923524">
              <w:rPr>
                <w:lang w:val="en-GB"/>
              </w:rPr>
              <w:t>.</w:t>
            </w:r>
          </w:p>
          <w:p w:rsidR="007C5EF5" w:rsidRPr="00923524" w:rsidRDefault="007C5EF5" w:rsidP="00025C5C">
            <w:pPr>
              <w:pStyle w:val="BodyText"/>
              <w:spacing w:line="240" w:lineRule="auto"/>
              <w:rPr>
                <w:lang w:val="en-GB"/>
              </w:rPr>
            </w:pPr>
            <w:r w:rsidRPr="00923524">
              <w:rPr>
                <w:b/>
                <w:lang w:val="en-GB"/>
              </w:rPr>
              <w:t>Take advantage in 2015 (if not already taken in 2014) of the available co-funding opportunities (LIFE, Horizon 2020, EMFF) and/or International Financial Institutions (European Bank for Reconstruction and Development (EBRD), European Investment Bank (EIB), The World bank (WB)), if necessary to fulfil the requirements of the MSFD</w:t>
            </w:r>
            <w:r w:rsidRPr="00923524">
              <w:rPr>
                <w:lang w:val="en-GB"/>
              </w:rPr>
              <w:t>. Spatial scope and the monitoring requirements pose significant burden to the national budgets of all the EU countries. Therefore, both Bulgaria and Romania should advantage of the relevant EU funds to support the implementation of the MSFD.</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Free text or URL link to relevant information (5h)</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 xml:space="preserve">6.4 Gaps: Target information </w:t>
            </w:r>
          </w:p>
        </w:tc>
        <w:tc>
          <w:tcPr>
            <w:tcW w:w="5670" w:type="dxa"/>
          </w:tcPr>
          <w:p w:rsidR="007C5EF5" w:rsidRPr="00923524" w:rsidRDefault="007C5EF5" w:rsidP="00F42AD7">
            <w:pPr>
              <w:pStyle w:val="BodyText"/>
              <w:spacing w:line="240" w:lineRule="auto"/>
              <w:rPr>
                <w:i/>
                <w:lang w:val="en-GB"/>
              </w:rPr>
            </w:pPr>
            <w:r w:rsidRPr="00923524">
              <w:rPr>
                <w:i/>
                <w:lang w:val="en-GB"/>
              </w:rPr>
              <w:t>If not yet adequate for data and information needs to assess targets, describe when the programme will be considered fully adequate</w:t>
            </w:r>
          </w:p>
          <w:p w:rsidR="007C5EF5" w:rsidRPr="00923524" w:rsidRDefault="001C462E" w:rsidP="00F42AD7">
            <w:pPr>
              <w:pStyle w:val="BodyText"/>
              <w:spacing w:line="240" w:lineRule="auto"/>
              <w:rPr>
                <w:lang w:val="en-GB"/>
              </w:rPr>
            </w:pPr>
            <w:r w:rsidRPr="00923524">
              <w:rPr>
                <w:iCs/>
                <w:lang w:val="en-GB"/>
              </w:rPr>
              <w:t xml:space="preserve">The programme is expected to provide adequate information on </w:t>
            </w:r>
            <w:smartTag w:uri="urn:schemas-microsoft-com:office:smarttags" w:element="stockticker">
              <w:r w:rsidRPr="00923524">
                <w:rPr>
                  <w:iCs/>
                  <w:lang w:val="en-GB"/>
                </w:rPr>
                <w:t>GES</w:t>
              </w:r>
            </w:smartTag>
            <w:r w:rsidRPr="00923524">
              <w:rPr>
                <w:iCs/>
                <w:lang w:val="en-GB"/>
              </w:rPr>
              <w:t xml:space="preserve"> in time for next assessment in 2018.</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Select when the programme is expected to be adequate: In 2014; in time for next assessment in 2018; in time for updating of monitoring programme in 2020; later than 2020 (6e)</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6.5 Plans: Plans for information on targets</w:t>
            </w:r>
          </w:p>
        </w:tc>
        <w:tc>
          <w:tcPr>
            <w:tcW w:w="5670" w:type="dxa"/>
          </w:tcPr>
          <w:p w:rsidR="007C5EF5" w:rsidRPr="00923524" w:rsidRDefault="007C5EF5" w:rsidP="00F42AD7">
            <w:pPr>
              <w:pStyle w:val="BodyText"/>
              <w:spacing w:line="240" w:lineRule="auto"/>
              <w:rPr>
                <w:i/>
                <w:lang w:val="en-GB"/>
              </w:rPr>
            </w:pPr>
            <w:r w:rsidRPr="00923524">
              <w:rPr>
                <w:i/>
                <w:lang w:val="en-GB"/>
              </w:rPr>
              <w:t>If the programme is not considered fully adequate for data and information needs to assess targets, describe what plans are in place to make it fully adequate (</w:t>
            </w:r>
            <w:proofErr w:type="spellStart"/>
            <w:r w:rsidRPr="00923524">
              <w:rPr>
                <w:i/>
                <w:lang w:val="en-GB"/>
              </w:rPr>
              <w:t>eg</w:t>
            </w:r>
            <w:proofErr w:type="spellEnd"/>
            <w:r w:rsidRPr="00923524">
              <w:rPr>
                <w:i/>
                <w:lang w:val="en-GB"/>
              </w:rPr>
              <w:t>. to fill gaps in data methods or capacity). Describe timeframe, priorities and obstacles.</w:t>
            </w:r>
          </w:p>
          <w:p w:rsidR="00601CE4" w:rsidRPr="00923524" w:rsidRDefault="007C5EF5" w:rsidP="00F42AD7">
            <w:pPr>
              <w:pStyle w:val="BodyText"/>
              <w:spacing w:line="240" w:lineRule="auto"/>
              <w:rPr>
                <w:lang w:val="en-GB"/>
              </w:rPr>
            </w:pPr>
            <w:r w:rsidRPr="00923524">
              <w:rPr>
                <w:b/>
                <w:lang w:val="en-GB"/>
              </w:rPr>
              <w:t>Bulgaria and Romania should revise and further develop together coherent targets</w:t>
            </w:r>
            <w:r w:rsidRPr="00923524">
              <w:rPr>
                <w:lang w:val="en-GB"/>
              </w:rPr>
              <w:t xml:space="preserve"> based on agreed, if not harmonized, indicators for their marine waters, taking into account the assessment and the recommendations of the Commission, as much as possible, in 2014.</w:t>
            </w:r>
          </w:p>
          <w:p w:rsidR="00601CE4" w:rsidRPr="00923524" w:rsidRDefault="00601CE4" w:rsidP="00F42AD7">
            <w:pPr>
              <w:pStyle w:val="BodyText"/>
              <w:spacing w:line="240" w:lineRule="auto"/>
              <w:rPr>
                <w:b/>
                <w:lang w:val="en-GB"/>
              </w:rPr>
            </w:pPr>
            <w:r w:rsidRPr="00923524">
              <w:rPr>
                <w:b/>
                <w:lang w:val="en-GB"/>
              </w:rPr>
              <w:t xml:space="preserve">Develop threshold values and/or trends for the relevant indicators of the monitoring programme D1, 4 – Water Column habitats </w:t>
            </w:r>
            <w:r w:rsidRPr="00923524">
              <w:rPr>
                <w:lang w:val="en-GB"/>
              </w:rPr>
              <w:t xml:space="preserve">for the </w:t>
            </w:r>
            <w:r w:rsidRPr="00923524">
              <w:rPr>
                <w:bCs/>
                <w:lang w:val="en-GB"/>
              </w:rPr>
              <w:t>marine waters (coastal waters, territorial sea and Exclusive Economic Zone) in time for next assessment in 2018.</w:t>
            </w:r>
          </w:p>
          <w:p w:rsidR="007C5EF5" w:rsidRPr="00923524" w:rsidRDefault="007C5EF5" w:rsidP="00F42AD7">
            <w:pPr>
              <w:pStyle w:val="BodyText"/>
              <w:spacing w:line="240" w:lineRule="auto"/>
              <w:rPr>
                <w:lang w:val="en-GB"/>
              </w:rPr>
            </w:pPr>
            <w:r w:rsidRPr="00923524">
              <w:rPr>
                <w:b/>
                <w:lang w:val="en-GB"/>
              </w:rPr>
              <w:t>Review and regularly update the targets</w:t>
            </w:r>
            <w:r w:rsidRPr="00923524">
              <w:rPr>
                <w:lang w:val="en-GB"/>
              </w:rPr>
              <w:t xml:space="preserve"> to reflect the improved knowledge of the relevant indicators and related threshold values (if applicable), produced during the yearly coordinated monitoring programmes, established according to Article 11 of the MSFD.</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Free text or URL link to relevant information (6f)</w:t>
            </w:r>
          </w:p>
        </w:tc>
      </w:tr>
      <w:tr w:rsidR="007C5EF5" w:rsidRPr="00923524">
        <w:tc>
          <w:tcPr>
            <w:tcW w:w="2660" w:type="dxa"/>
          </w:tcPr>
          <w:p w:rsidR="007C5EF5" w:rsidRPr="00923524" w:rsidRDefault="007C5EF5" w:rsidP="00F42AD7">
            <w:pPr>
              <w:pStyle w:val="BodyText"/>
              <w:spacing w:line="240" w:lineRule="auto"/>
              <w:rPr>
                <w:color w:val="4F81BD"/>
                <w:lang w:val="en-GB"/>
              </w:rPr>
            </w:pPr>
            <w:r w:rsidRPr="00923524">
              <w:rPr>
                <w:color w:val="4F81BD"/>
                <w:lang w:val="en-GB"/>
              </w:rPr>
              <w:t>6.5 Plans: Plans for information on measures</w:t>
            </w:r>
          </w:p>
        </w:tc>
        <w:tc>
          <w:tcPr>
            <w:tcW w:w="5670" w:type="dxa"/>
          </w:tcPr>
          <w:p w:rsidR="007C5EF5" w:rsidRPr="00923524" w:rsidRDefault="007C5EF5" w:rsidP="00F42AD7">
            <w:pPr>
              <w:pStyle w:val="BodyText"/>
              <w:spacing w:line="240" w:lineRule="auto"/>
              <w:rPr>
                <w:i/>
                <w:lang w:val="en-GB"/>
              </w:rPr>
            </w:pPr>
            <w:r w:rsidRPr="00923524">
              <w:rPr>
                <w:i/>
                <w:lang w:val="en-GB"/>
              </w:rPr>
              <w:t>If relevant: If the programme is not considered fully adequate for data and information needs to assess measures describe what plans are in place to make it fully adequate (</w:t>
            </w:r>
            <w:proofErr w:type="spellStart"/>
            <w:r w:rsidRPr="00923524">
              <w:rPr>
                <w:i/>
                <w:lang w:val="en-GB"/>
              </w:rPr>
              <w:t>eg</w:t>
            </w:r>
            <w:proofErr w:type="spellEnd"/>
            <w:r w:rsidRPr="00923524">
              <w:rPr>
                <w:i/>
                <w:lang w:val="en-GB"/>
              </w:rPr>
              <w:t>. to fill gaps in data methods or capacity). Describe timeframe, priorities and obstacles.</w:t>
            </w:r>
          </w:p>
          <w:p w:rsidR="003237D3" w:rsidRPr="00923524" w:rsidRDefault="003237D3" w:rsidP="003237D3">
            <w:pPr>
              <w:pStyle w:val="BodyText"/>
              <w:spacing w:line="240" w:lineRule="auto"/>
              <w:rPr>
                <w:iCs/>
                <w:lang w:val="en-GB"/>
              </w:rPr>
            </w:pPr>
            <w:r w:rsidRPr="00923524">
              <w:rPr>
                <w:iCs/>
                <w:lang w:val="en-GB"/>
              </w:rPr>
              <w:t>The monitoring programme is considered adequate to assess the measures on:</w:t>
            </w:r>
          </w:p>
          <w:p w:rsidR="003237D3" w:rsidRPr="00923524" w:rsidRDefault="003237D3" w:rsidP="003237D3">
            <w:pPr>
              <w:pStyle w:val="BodyText"/>
              <w:spacing w:line="240" w:lineRule="auto"/>
              <w:rPr>
                <w:iCs/>
                <w:lang w:val="en-GB"/>
              </w:rPr>
            </w:pPr>
            <w:r w:rsidRPr="00923524">
              <w:rPr>
                <w:iCs/>
                <w:lang w:val="en-GB"/>
              </w:rPr>
              <w:t>Industrial activities – monitoring data on the application of potential measures are currently available to the Black Sea Basin Directorate</w:t>
            </w:r>
          </w:p>
          <w:p w:rsidR="003237D3" w:rsidRPr="00923524" w:rsidRDefault="003237D3" w:rsidP="003237D3">
            <w:pPr>
              <w:pStyle w:val="BodyText"/>
              <w:spacing w:line="240" w:lineRule="auto"/>
              <w:rPr>
                <w:iCs/>
                <w:lang w:val="en-GB"/>
              </w:rPr>
            </w:pPr>
            <w:r w:rsidRPr="00923524">
              <w:rPr>
                <w:iCs/>
                <w:lang w:val="en-GB"/>
              </w:rPr>
              <w:t>Urban activities – WWTP - monitoring data on the application of potential measures are currently available to the Black Sea Basin Directorate</w:t>
            </w:r>
          </w:p>
          <w:p w:rsidR="003237D3" w:rsidRPr="00923524" w:rsidRDefault="003237D3" w:rsidP="003237D3">
            <w:pPr>
              <w:pStyle w:val="BodyText"/>
              <w:spacing w:line="240" w:lineRule="auto"/>
              <w:rPr>
                <w:iCs/>
                <w:lang w:val="en-GB"/>
              </w:rPr>
            </w:pPr>
            <w:r w:rsidRPr="00923524">
              <w:rPr>
                <w:iCs/>
                <w:lang w:val="en-GB"/>
              </w:rPr>
              <w:t xml:space="preserve">Agriculture – monitoring data on the application of potential measures are not directly available to the Black Sea Basin </w:t>
            </w:r>
            <w:proofErr w:type="gramStart"/>
            <w:r w:rsidRPr="00923524">
              <w:rPr>
                <w:iCs/>
                <w:lang w:val="en-GB"/>
              </w:rPr>
              <w:t>Directorate  these</w:t>
            </w:r>
            <w:proofErr w:type="gramEnd"/>
            <w:r w:rsidRPr="00923524">
              <w:rPr>
                <w:iCs/>
                <w:lang w:val="en-GB"/>
              </w:rPr>
              <w:t xml:space="preserve"> data could be obtained from the Executive Environment Agency (EEA). Web: &lt;http://eea.government.bg/&gt;</w:t>
            </w:r>
          </w:p>
          <w:p w:rsidR="003237D3" w:rsidRPr="00923524" w:rsidRDefault="003237D3" w:rsidP="003237D3">
            <w:pPr>
              <w:pStyle w:val="BodyText"/>
              <w:spacing w:line="240" w:lineRule="auto"/>
              <w:rPr>
                <w:iCs/>
                <w:lang w:val="en-GB"/>
              </w:rPr>
            </w:pPr>
            <w:r w:rsidRPr="00923524">
              <w:rPr>
                <w:iCs/>
                <w:lang w:val="en-GB"/>
              </w:rPr>
              <w:t>Aquaculture – data from self-monitoring is currently available to the Black Sea Basin Directorate</w:t>
            </w:r>
          </w:p>
          <w:p w:rsidR="007C5EF5" w:rsidRPr="00923524" w:rsidRDefault="003237D3" w:rsidP="00E74AFD">
            <w:pPr>
              <w:pStyle w:val="BodyText"/>
              <w:spacing w:line="240" w:lineRule="auto"/>
              <w:rPr>
                <w:iCs/>
                <w:lang w:val="en-GB"/>
              </w:rPr>
            </w:pPr>
            <w:r w:rsidRPr="00923524">
              <w:rPr>
                <w:iCs/>
                <w:lang w:val="en-GB"/>
              </w:rPr>
              <w:t xml:space="preserve">Shipping – monitoring data on the application of potential measures are currently available to the Black Sea Basin Directorate. Data on measures shipping discharges </w:t>
            </w:r>
            <w:r w:rsidR="00E74AFD" w:rsidRPr="00923524">
              <w:rPr>
                <w:iCs/>
                <w:lang w:val="en-GB"/>
              </w:rPr>
              <w:t xml:space="preserve">from nutrients and marine litter in the water column habitats are available from the Executive Agency Maritime Administration. </w:t>
            </w:r>
            <w:r w:rsidRPr="00923524">
              <w:rPr>
                <w:iCs/>
                <w:lang w:val="en-GB"/>
              </w:rPr>
              <w:t>Web:&lt; http://www.marad.bg/index.php&gt;</w:t>
            </w:r>
          </w:p>
        </w:tc>
        <w:tc>
          <w:tcPr>
            <w:tcW w:w="5605" w:type="dxa"/>
          </w:tcPr>
          <w:p w:rsidR="007C5EF5" w:rsidRPr="00923524" w:rsidRDefault="007C5EF5" w:rsidP="00F42AD7">
            <w:pPr>
              <w:pStyle w:val="BodyText"/>
              <w:spacing w:line="240" w:lineRule="auto"/>
              <w:rPr>
                <w:color w:val="FF0000"/>
                <w:lang w:val="en-GB"/>
              </w:rPr>
            </w:pPr>
            <w:r w:rsidRPr="00923524">
              <w:rPr>
                <w:color w:val="FF0000"/>
                <w:lang w:val="en-GB"/>
              </w:rPr>
              <w:t>Free text or URL link to relevant information (7f)</w:t>
            </w:r>
          </w:p>
        </w:tc>
      </w:tr>
    </w:tbl>
    <w:p w:rsidR="007C5EF5" w:rsidRPr="00923524" w:rsidRDefault="007C5EF5">
      <w:pPr>
        <w:pStyle w:val="BodyText"/>
        <w:rPr>
          <w:lang w:val="en-GB"/>
        </w:rPr>
      </w:pPr>
    </w:p>
    <w:p w:rsidR="007C5EF5" w:rsidRPr="00923524" w:rsidRDefault="007C5EF5">
      <w:pPr>
        <w:pStyle w:val="BodyText"/>
        <w:rPr>
          <w:lang w:val="en-GB"/>
        </w:rPr>
      </w:pPr>
    </w:p>
    <w:p w:rsidR="007C5EF5" w:rsidRPr="00923524" w:rsidRDefault="007C5EF5">
      <w:pPr>
        <w:pStyle w:val="BodyText"/>
        <w:rPr>
          <w:lang w:val="en-GB"/>
        </w:rPr>
      </w:pPr>
    </w:p>
    <w:sectPr w:rsidR="007C5EF5" w:rsidRPr="00923524" w:rsidSect="00C74F57">
      <w:pgSz w:w="16838" w:h="11906" w:orient="landscape"/>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8A" w:rsidRDefault="00D8688A" w:rsidP="00183C3A">
      <w:pPr>
        <w:spacing w:after="0" w:line="240" w:lineRule="auto"/>
      </w:pPr>
      <w:r>
        <w:separator/>
      </w:r>
    </w:p>
  </w:endnote>
  <w:endnote w:type="continuationSeparator" w:id="0">
    <w:p w:rsidR="00D8688A" w:rsidRDefault="00D8688A" w:rsidP="0018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06613w">
    <w:altName w:val="Times New Roman"/>
    <w:panose1 w:val="00000000000000000000"/>
    <w:charset w:val="00"/>
    <w:family w:val="auto"/>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8A" w:rsidRDefault="00D8688A" w:rsidP="00183C3A">
      <w:pPr>
        <w:spacing w:after="0" w:line="240" w:lineRule="auto"/>
      </w:pPr>
      <w:r>
        <w:separator/>
      </w:r>
    </w:p>
  </w:footnote>
  <w:footnote w:type="continuationSeparator" w:id="0">
    <w:p w:rsidR="00D8688A" w:rsidRDefault="00D8688A" w:rsidP="0018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14227"/>
    <w:multiLevelType w:val="hybridMultilevel"/>
    <w:tmpl w:val="2F785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41480E"/>
    <w:multiLevelType w:val="hybridMultilevel"/>
    <w:tmpl w:val="564624C2"/>
    <w:lvl w:ilvl="0" w:tplc="9A24E51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D11C8"/>
    <w:multiLevelType w:val="hybridMultilevel"/>
    <w:tmpl w:val="282A1A5E"/>
    <w:lvl w:ilvl="0" w:tplc="9F0C37A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E5257"/>
    <w:multiLevelType w:val="hybridMultilevel"/>
    <w:tmpl w:val="39A834DA"/>
    <w:lvl w:ilvl="0" w:tplc="08090019">
      <w:start w:val="1"/>
      <w:numFmt w:val="lowerLetter"/>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5">
    <w:nsid w:val="46253E28"/>
    <w:multiLevelType w:val="hybridMultilevel"/>
    <w:tmpl w:val="67DCC78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23701"/>
    <w:multiLevelType w:val="multilevel"/>
    <w:tmpl w:val="81C29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6"/>
    <w:lvlOverride w:ilvl="0">
      <w:startOverride w:val="1"/>
    </w:lvlOverride>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12D73"/>
    <w:rsid w:val="000156F3"/>
    <w:rsid w:val="0002459C"/>
    <w:rsid w:val="00025C5C"/>
    <w:rsid w:val="00032AF4"/>
    <w:rsid w:val="00036F31"/>
    <w:rsid w:val="000377CC"/>
    <w:rsid w:val="00043AA9"/>
    <w:rsid w:val="00044781"/>
    <w:rsid w:val="00052080"/>
    <w:rsid w:val="000803E2"/>
    <w:rsid w:val="000814C6"/>
    <w:rsid w:val="00086696"/>
    <w:rsid w:val="000A34F6"/>
    <w:rsid w:val="000C426E"/>
    <w:rsid w:val="000C52C0"/>
    <w:rsid w:val="000C7810"/>
    <w:rsid w:val="000F5066"/>
    <w:rsid w:val="00100928"/>
    <w:rsid w:val="00111BAE"/>
    <w:rsid w:val="00116223"/>
    <w:rsid w:val="001218F7"/>
    <w:rsid w:val="00121952"/>
    <w:rsid w:val="001241DB"/>
    <w:rsid w:val="00127173"/>
    <w:rsid w:val="0014498A"/>
    <w:rsid w:val="00151972"/>
    <w:rsid w:val="00151975"/>
    <w:rsid w:val="0015284F"/>
    <w:rsid w:val="00160D3F"/>
    <w:rsid w:val="001625CD"/>
    <w:rsid w:val="001633A8"/>
    <w:rsid w:val="001766C5"/>
    <w:rsid w:val="00183C3A"/>
    <w:rsid w:val="00187E0F"/>
    <w:rsid w:val="0019089C"/>
    <w:rsid w:val="0019143C"/>
    <w:rsid w:val="001924AB"/>
    <w:rsid w:val="001A10C1"/>
    <w:rsid w:val="001A33D7"/>
    <w:rsid w:val="001B285A"/>
    <w:rsid w:val="001C462E"/>
    <w:rsid w:val="001C4988"/>
    <w:rsid w:val="001D0129"/>
    <w:rsid w:val="001D385E"/>
    <w:rsid w:val="001E6CE6"/>
    <w:rsid w:val="001F24D1"/>
    <w:rsid w:val="001F3C92"/>
    <w:rsid w:val="002030B9"/>
    <w:rsid w:val="002052F5"/>
    <w:rsid w:val="00211CBF"/>
    <w:rsid w:val="0022210E"/>
    <w:rsid w:val="002271E7"/>
    <w:rsid w:val="00255857"/>
    <w:rsid w:val="00256156"/>
    <w:rsid w:val="002571FC"/>
    <w:rsid w:val="00264684"/>
    <w:rsid w:val="002738F6"/>
    <w:rsid w:val="00275022"/>
    <w:rsid w:val="0027787A"/>
    <w:rsid w:val="00286CB1"/>
    <w:rsid w:val="00292F22"/>
    <w:rsid w:val="002A63C5"/>
    <w:rsid w:val="002B7781"/>
    <w:rsid w:val="002C51F4"/>
    <w:rsid w:val="002C57C9"/>
    <w:rsid w:val="002E462A"/>
    <w:rsid w:val="002E57D5"/>
    <w:rsid w:val="002E7827"/>
    <w:rsid w:val="002F281F"/>
    <w:rsid w:val="0030084F"/>
    <w:rsid w:val="003070F5"/>
    <w:rsid w:val="00310385"/>
    <w:rsid w:val="003149E0"/>
    <w:rsid w:val="003168CA"/>
    <w:rsid w:val="003207BF"/>
    <w:rsid w:val="003237D3"/>
    <w:rsid w:val="00334149"/>
    <w:rsid w:val="00342EC9"/>
    <w:rsid w:val="003518E9"/>
    <w:rsid w:val="0035282D"/>
    <w:rsid w:val="003705AE"/>
    <w:rsid w:val="003749C3"/>
    <w:rsid w:val="00376CAB"/>
    <w:rsid w:val="003A0705"/>
    <w:rsid w:val="003A1825"/>
    <w:rsid w:val="003B02C3"/>
    <w:rsid w:val="003B6803"/>
    <w:rsid w:val="003B6ECF"/>
    <w:rsid w:val="003C48E3"/>
    <w:rsid w:val="003D3062"/>
    <w:rsid w:val="003E2439"/>
    <w:rsid w:val="003F0F47"/>
    <w:rsid w:val="004222FC"/>
    <w:rsid w:val="00442771"/>
    <w:rsid w:val="00446972"/>
    <w:rsid w:val="004743C0"/>
    <w:rsid w:val="004757E8"/>
    <w:rsid w:val="00477C67"/>
    <w:rsid w:val="00483BB4"/>
    <w:rsid w:val="00484696"/>
    <w:rsid w:val="004855F5"/>
    <w:rsid w:val="00485E6B"/>
    <w:rsid w:val="00497453"/>
    <w:rsid w:val="004A0BA7"/>
    <w:rsid w:val="004C6F5A"/>
    <w:rsid w:val="004D2861"/>
    <w:rsid w:val="004D3C68"/>
    <w:rsid w:val="004E538A"/>
    <w:rsid w:val="004F105B"/>
    <w:rsid w:val="00503471"/>
    <w:rsid w:val="00517615"/>
    <w:rsid w:val="0052466A"/>
    <w:rsid w:val="00543D0E"/>
    <w:rsid w:val="00546007"/>
    <w:rsid w:val="00546648"/>
    <w:rsid w:val="0056241D"/>
    <w:rsid w:val="00574B7B"/>
    <w:rsid w:val="005815B0"/>
    <w:rsid w:val="005A4EAF"/>
    <w:rsid w:val="005B4B66"/>
    <w:rsid w:val="005C3220"/>
    <w:rsid w:val="005E589C"/>
    <w:rsid w:val="005E6724"/>
    <w:rsid w:val="005F0290"/>
    <w:rsid w:val="005F19A7"/>
    <w:rsid w:val="005F3C4E"/>
    <w:rsid w:val="00601CE4"/>
    <w:rsid w:val="006126DD"/>
    <w:rsid w:val="00616EEA"/>
    <w:rsid w:val="0063435D"/>
    <w:rsid w:val="00634430"/>
    <w:rsid w:val="006570AE"/>
    <w:rsid w:val="0066385F"/>
    <w:rsid w:val="00672AD8"/>
    <w:rsid w:val="00676A73"/>
    <w:rsid w:val="006842E9"/>
    <w:rsid w:val="0069013F"/>
    <w:rsid w:val="006A0DFD"/>
    <w:rsid w:val="006A7F79"/>
    <w:rsid w:val="006B40A8"/>
    <w:rsid w:val="006C3F89"/>
    <w:rsid w:val="006D35E4"/>
    <w:rsid w:val="006D5571"/>
    <w:rsid w:val="006E53B9"/>
    <w:rsid w:val="006F176F"/>
    <w:rsid w:val="006F2899"/>
    <w:rsid w:val="007107D9"/>
    <w:rsid w:val="00710C46"/>
    <w:rsid w:val="00730EF2"/>
    <w:rsid w:val="00735629"/>
    <w:rsid w:val="00741F55"/>
    <w:rsid w:val="007535A3"/>
    <w:rsid w:val="0077207C"/>
    <w:rsid w:val="007978E9"/>
    <w:rsid w:val="007979D7"/>
    <w:rsid w:val="007A4015"/>
    <w:rsid w:val="007B3241"/>
    <w:rsid w:val="007C5EF5"/>
    <w:rsid w:val="007C6D18"/>
    <w:rsid w:val="007D0821"/>
    <w:rsid w:val="007E27CE"/>
    <w:rsid w:val="007E4AAD"/>
    <w:rsid w:val="007E7779"/>
    <w:rsid w:val="007F0B33"/>
    <w:rsid w:val="0080324F"/>
    <w:rsid w:val="0080524E"/>
    <w:rsid w:val="00806213"/>
    <w:rsid w:val="00806834"/>
    <w:rsid w:val="0081025F"/>
    <w:rsid w:val="008164FF"/>
    <w:rsid w:val="008262E2"/>
    <w:rsid w:val="00843527"/>
    <w:rsid w:val="0084413A"/>
    <w:rsid w:val="008556E9"/>
    <w:rsid w:val="008561F7"/>
    <w:rsid w:val="00864A63"/>
    <w:rsid w:val="00866DB7"/>
    <w:rsid w:val="00873C0C"/>
    <w:rsid w:val="0087472F"/>
    <w:rsid w:val="00875D8E"/>
    <w:rsid w:val="008764F8"/>
    <w:rsid w:val="0088096B"/>
    <w:rsid w:val="00880F74"/>
    <w:rsid w:val="008C1865"/>
    <w:rsid w:val="008C21F1"/>
    <w:rsid w:val="008C2363"/>
    <w:rsid w:val="008C5B10"/>
    <w:rsid w:val="008C7581"/>
    <w:rsid w:val="008D4A2B"/>
    <w:rsid w:val="008F03C3"/>
    <w:rsid w:val="00907016"/>
    <w:rsid w:val="00917070"/>
    <w:rsid w:val="00923524"/>
    <w:rsid w:val="0092382D"/>
    <w:rsid w:val="009343BC"/>
    <w:rsid w:val="0093766F"/>
    <w:rsid w:val="00944A79"/>
    <w:rsid w:val="009520CB"/>
    <w:rsid w:val="00956F69"/>
    <w:rsid w:val="00965193"/>
    <w:rsid w:val="009659A8"/>
    <w:rsid w:val="00982450"/>
    <w:rsid w:val="0098311C"/>
    <w:rsid w:val="00983B08"/>
    <w:rsid w:val="0098482D"/>
    <w:rsid w:val="009854FA"/>
    <w:rsid w:val="009905FF"/>
    <w:rsid w:val="00993FAC"/>
    <w:rsid w:val="0099467C"/>
    <w:rsid w:val="009A1C40"/>
    <w:rsid w:val="009B062C"/>
    <w:rsid w:val="009C4226"/>
    <w:rsid w:val="009E1164"/>
    <w:rsid w:val="009E1EB9"/>
    <w:rsid w:val="009F07CB"/>
    <w:rsid w:val="009F68CC"/>
    <w:rsid w:val="00A00D24"/>
    <w:rsid w:val="00A11CB5"/>
    <w:rsid w:val="00A13911"/>
    <w:rsid w:val="00A250AA"/>
    <w:rsid w:val="00A3547C"/>
    <w:rsid w:val="00A468A5"/>
    <w:rsid w:val="00A65CC4"/>
    <w:rsid w:val="00A7483F"/>
    <w:rsid w:val="00A75E32"/>
    <w:rsid w:val="00A76A7D"/>
    <w:rsid w:val="00A82F24"/>
    <w:rsid w:val="00A9184B"/>
    <w:rsid w:val="00A93B84"/>
    <w:rsid w:val="00AA7892"/>
    <w:rsid w:val="00AB0FD5"/>
    <w:rsid w:val="00AB1107"/>
    <w:rsid w:val="00AB115C"/>
    <w:rsid w:val="00AD674C"/>
    <w:rsid w:val="00AE3583"/>
    <w:rsid w:val="00AF532A"/>
    <w:rsid w:val="00B14307"/>
    <w:rsid w:val="00B31936"/>
    <w:rsid w:val="00B3390E"/>
    <w:rsid w:val="00B5781A"/>
    <w:rsid w:val="00BA6AC9"/>
    <w:rsid w:val="00BB2C5C"/>
    <w:rsid w:val="00BB5850"/>
    <w:rsid w:val="00BD4869"/>
    <w:rsid w:val="00BE1A52"/>
    <w:rsid w:val="00BE1EF1"/>
    <w:rsid w:val="00BE58FF"/>
    <w:rsid w:val="00BF259F"/>
    <w:rsid w:val="00C002E8"/>
    <w:rsid w:val="00C002FB"/>
    <w:rsid w:val="00C04D62"/>
    <w:rsid w:val="00C2312C"/>
    <w:rsid w:val="00C309A7"/>
    <w:rsid w:val="00C40954"/>
    <w:rsid w:val="00C53F41"/>
    <w:rsid w:val="00C54233"/>
    <w:rsid w:val="00C61039"/>
    <w:rsid w:val="00C630E6"/>
    <w:rsid w:val="00C64D64"/>
    <w:rsid w:val="00C64F74"/>
    <w:rsid w:val="00C659C6"/>
    <w:rsid w:val="00C73348"/>
    <w:rsid w:val="00C74F57"/>
    <w:rsid w:val="00C833FC"/>
    <w:rsid w:val="00C90759"/>
    <w:rsid w:val="00CA4DBD"/>
    <w:rsid w:val="00CA714D"/>
    <w:rsid w:val="00CB13ED"/>
    <w:rsid w:val="00CB24DD"/>
    <w:rsid w:val="00CC2464"/>
    <w:rsid w:val="00CD155E"/>
    <w:rsid w:val="00CD45D9"/>
    <w:rsid w:val="00CE4FC4"/>
    <w:rsid w:val="00CF6369"/>
    <w:rsid w:val="00CF64A9"/>
    <w:rsid w:val="00D104B6"/>
    <w:rsid w:val="00D10710"/>
    <w:rsid w:val="00D2016F"/>
    <w:rsid w:val="00D30D48"/>
    <w:rsid w:val="00D3402E"/>
    <w:rsid w:val="00D358DD"/>
    <w:rsid w:val="00D37616"/>
    <w:rsid w:val="00D42668"/>
    <w:rsid w:val="00D476CC"/>
    <w:rsid w:val="00D67800"/>
    <w:rsid w:val="00D806F7"/>
    <w:rsid w:val="00D83EEE"/>
    <w:rsid w:val="00D8688A"/>
    <w:rsid w:val="00D878DF"/>
    <w:rsid w:val="00D903DF"/>
    <w:rsid w:val="00D92FD3"/>
    <w:rsid w:val="00D9415B"/>
    <w:rsid w:val="00DB47C7"/>
    <w:rsid w:val="00DC1B10"/>
    <w:rsid w:val="00DC2465"/>
    <w:rsid w:val="00DC6467"/>
    <w:rsid w:val="00DD0BD7"/>
    <w:rsid w:val="00DD15D0"/>
    <w:rsid w:val="00DD3FBD"/>
    <w:rsid w:val="00DE5427"/>
    <w:rsid w:val="00DF2F79"/>
    <w:rsid w:val="00DF7690"/>
    <w:rsid w:val="00DF7F02"/>
    <w:rsid w:val="00E01EDA"/>
    <w:rsid w:val="00E0399D"/>
    <w:rsid w:val="00E03BAE"/>
    <w:rsid w:val="00E11F74"/>
    <w:rsid w:val="00E12ED2"/>
    <w:rsid w:val="00E13B6F"/>
    <w:rsid w:val="00E15A44"/>
    <w:rsid w:val="00E22536"/>
    <w:rsid w:val="00E250EB"/>
    <w:rsid w:val="00E42FA3"/>
    <w:rsid w:val="00E57CB8"/>
    <w:rsid w:val="00E74AFD"/>
    <w:rsid w:val="00E809CC"/>
    <w:rsid w:val="00E92322"/>
    <w:rsid w:val="00E92B97"/>
    <w:rsid w:val="00E9651F"/>
    <w:rsid w:val="00EB3AD6"/>
    <w:rsid w:val="00EB6771"/>
    <w:rsid w:val="00EB705F"/>
    <w:rsid w:val="00EB7E8B"/>
    <w:rsid w:val="00EF707B"/>
    <w:rsid w:val="00F06147"/>
    <w:rsid w:val="00F237E1"/>
    <w:rsid w:val="00F25CDF"/>
    <w:rsid w:val="00F2658A"/>
    <w:rsid w:val="00F40E69"/>
    <w:rsid w:val="00F42AD7"/>
    <w:rsid w:val="00F43788"/>
    <w:rsid w:val="00F44ABB"/>
    <w:rsid w:val="00F46D42"/>
    <w:rsid w:val="00F56114"/>
    <w:rsid w:val="00F60AA0"/>
    <w:rsid w:val="00F61AB5"/>
    <w:rsid w:val="00F70228"/>
    <w:rsid w:val="00F74BB2"/>
    <w:rsid w:val="00FA0976"/>
    <w:rsid w:val="00FB4B33"/>
    <w:rsid w:val="00FC3744"/>
    <w:rsid w:val="00FC5A79"/>
    <w:rsid w:val="00FD18E0"/>
    <w:rsid w:val="00FE1058"/>
    <w:rsid w:val="00FE4369"/>
    <w:rsid w:val="00FF2D94"/>
    <w:rsid w:val="00FF4CB3"/>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3"/>
    <w:pPr>
      <w:spacing w:after="200" w:line="276" w:lineRule="auto"/>
    </w:pPr>
    <w:rPr>
      <w:lang w:val="da-DK"/>
    </w:rPr>
  </w:style>
  <w:style w:type="paragraph" w:styleId="Heading1">
    <w:name w:val="heading 1"/>
    <w:basedOn w:val="Normal"/>
    <w:next w:val="Normal"/>
    <w:link w:val="Heading1Char"/>
    <w:uiPriority w:val="99"/>
    <w:qFormat/>
    <w:rsid w:val="00543D0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543D0E"/>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3D0E"/>
    <w:rPr>
      <w:rFonts w:ascii="Cambria" w:hAnsi="Cambria" w:cs="Times New Roman"/>
      <w:b/>
      <w:bCs/>
      <w:kern w:val="32"/>
      <w:sz w:val="32"/>
      <w:szCs w:val="32"/>
    </w:rPr>
  </w:style>
  <w:style w:type="character" w:customStyle="1" w:styleId="Heading3Char">
    <w:name w:val="Heading 3 Char"/>
    <w:basedOn w:val="DefaultParagraphFont"/>
    <w:link w:val="Heading3"/>
    <w:uiPriority w:val="99"/>
    <w:rsid w:val="00543D0E"/>
    <w:rPr>
      <w:rFonts w:ascii="Cambria" w:hAnsi="Cambria" w:cs="Times New Roman"/>
      <w:b/>
      <w:bCs/>
      <w:sz w:val="26"/>
      <w:szCs w:val="26"/>
    </w:rPr>
  </w:style>
  <w:style w:type="character" w:customStyle="1" w:styleId="Heading8Char">
    <w:name w:val="Heading 8 Char"/>
    <w:basedOn w:val="DefaultParagraphFont"/>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8F03C3"/>
    <w:pPr>
      <w:spacing w:after="120"/>
    </w:pPr>
  </w:style>
  <w:style w:type="character" w:customStyle="1" w:styleId="BodyTextChar">
    <w:name w:val="Body Text Char"/>
    <w:basedOn w:val="DefaultParagraphFont"/>
    <w:link w:val="BodyText"/>
    <w:uiPriority w:val="99"/>
    <w:rsid w:val="008F03C3"/>
    <w:rPr>
      <w:rFonts w:cs="Times New Roman"/>
    </w:rPr>
  </w:style>
  <w:style w:type="paragraph" w:styleId="Caption">
    <w:name w:val="caption"/>
    <w:basedOn w:val="Normal"/>
    <w:next w:val="Normal"/>
    <w:uiPriority w:val="99"/>
    <w:qFormat/>
    <w:rsid w:val="008F03C3"/>
    <w:pPr>
      <w:spacing w:line="240" w:lineRule="auto"/>
    </w:pPr>
    <w:rPr>
      <w:b/>
      <w:bCs/>
      <w:color w:val="4F81BD"/>
      <w:sz w:val="18"/>
      <w:szCs w:val="18"/>
    </w:rPr>
  </w:style>
  <w:style w:type="table" w:styleId="TableGrid">
    <w:name w:val="Table Grid"/>
    <w:basedOn w:val="TableNormal"/>
    <w:uiPriority w:val="99"/>
    <w:rsid w:val="009343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paragraph" w:styleId="NormalWeb">
    <w:name w:val="Normal (Web)"/>
    <w:basedOn w:val="Normal"/>
    <w:uiPriority w:val="99"/>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3A"/>
    <w:rPr>
      <w:rFonts w:cs="Times New Roman"/>
    </w:rPr>
  </w:style>
  <w:style w:type="character" w:styleId="Emphasis">
    <w:name w:val="Emphasis"/>
    <w:basedOn w:val="DefaultParagraphFont"/>
    <w:uiPriority w:val="20"/>
    <w:qFormat/>
    <w:rsid w:val="00C40954"/>
    <w:rPr>
      <w:rFonts w:cs="Times New Roman"/>
      <w:i/>
    </w:rPr>
  </w:style>
  <w:style w:type="character" w:styleId="Hyperlink">
    <w:name w:val="Hyperlink"/>
    <w:basedOn w:val="DefaultParagraphFont"/>
    <w:uiPriority w:val="99"/>
    <w:rsid w:val="00F61AB5"/>
    <w:rPr>
      <w:rFonts w:cs="Times New Roman"/>
      <w:color w:val="0000FF"/>
      <w:u w:val="single"/>
    </w:rPr>
  </w:style>
  <w:style w:type="paragraph" w:customStyle="1" w:styleId="Default">
    <w:name w:val="Default"/>
    <w:uiPriority w:val="99"/>
    <w:rsid w:val="008D4A2B"/>
    <w:pPr>
      <w:autoSpaceDE w:val="0"/>
      <w:autoSpaceDN w:val="0"/>
      <w:adjustRightInd w:val="0"/>
    </w:pPr>
    <w:rPr>
      <w:rFonts w:cs="Times New Roman"/>
      <w:color w:val="000000"/>
      <w:sz w:val="24"/>
      <w:szCs w:val="24"/>
    </w:rPr>
  </w:style>
  <w:style w:type="paragraph" w:styleId="ListParagraph">
    <w:name w:val="List Paragraph"/>
    <w:basedOn w:val="Normal"/>
    <w:uiPriority w:val="99"/>
    <w:qFormat/>
    <w:rsid w:val="00C04D62"/>
    <w:pPr>
      <w:ind w:left="720"/>
      <w:contextualSpacing/>
    </w:pPr>
  </w:style>
  <w:style w:type="character" w:styleId="Strong">
    <w:name w:val="Strong"/>
    <w:basedOn w:val="DefaultParagraphFont"/>
    <w:uiPriority w:val="22"/>
    <w:qFormat/>
    <w:rsid w:val="00F74BB2"/>
    <w:rPr>
      <w:rFonts w:cs="Times New Roman"/>
      <w:b/>
    </w:rPr>
  </w:style>
  <w:style w:type="character" w:styleId="FollowedHyperlink">
    <w:name w:val="FollowedHyperlink"/>
    <w:basedOn w:val="DefaultParagraphFont"/>
    <w:uiPriority w:val="99"/>
    <w:semiHidden/>
    <w:rsid w:val="00E13B6F"/>
    <w:rPr>
      <w:rFonts w:cs="Times New Roman"/>
      <w:color w:val="800080"/>
      <w:u w:val="single"/>
    </w:rPr>
  </w:style>
  <w:style w:type="paragraph" w:customStyle="1" w:styleId="Normal1">
    <w:name w:val="Normal1"/>
    <w:uiPriority w:val="99"/>
    <w:rsid w:val="00806213"/>
    <w:pPr>
      <w:spacing w:after="200" w:line="276" w:lineRule="auto"/>
    </w:pPr>
    <w:rPr>
      <w:rFonts w:cs="Calibri"/>
      <w:color w:val="000000"/>
      <w:szCs w:val="20"/>
    </w:rPr>
  </w:style>
  <w:style w:type="character" w:customStyle="1" w:styleId="apple-converted-space">
    <w:name w:val="apple-converted-space"/>
    <w:rsid w:val="00923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4951">
      <w:bodyDiv w:val="1"/>
      <w:marLeft w:val="0"/>
      <w:marRight w:val="0"/>
      <w:marTop w:val="0"/>
      <w:marBottom w:val="0"/>
      <w:divBdr>
        <w:top w:val="none" w:sz="0" w:space="0" w:color="auto"/>
        <w:left w:val="none" w:sz="0" w:space="0" w:color="auto"/>
        <w:bottom w:val="none" w:sz="0" w:space="0" w:color="auto"/>
        <w:right w:val="none" w:sz="0" w:space="0" w:color="auto"/>
      </w:divBdr>
    </w:div>
    <w:div w:id="648704862">
      <w:bodyDiv w:val="1"/>
      <w:marLeft w:val="0"/>
      <w:marRight w:val="0"/>
      <w:marTop w:val="0"/>
      <w:marBottom w:val="0"/>
      <w:divBdr>
        <w:top w:val="none" w:sz="0" w:space="0" w:color="auto"/>
        <w:left w:val="none" w:sz="0" w:space="0" w:color="auto"/>
        <w:bottom w:val="none" w:sz="0" w:space="0" w:color="auto"/>
        <w:right w:val="none" w:sz="0" w:space="0" w:color="auto"/>
      </w:divBdr>
    </w:div>
    <w:div w:id="1797026272">
      <w:marLeft w:val="0"/>
      <w:marRight w:val="0"/>
      <w:marTop w:val="0"/>
      <w:marBottom w:val="0"/>
      <w:divBdr>
        <w:top w:val="none" w:sz="0" w:space="0" w:color="auto"/>
        <w:left w:val="none" w:sz="0" w:space="0" w:color="auto"/>
        <w:bottom w:val="none" w:sz="0" w:space="0" w:color="auto"/>
        <w:right w:val="none" w:sz="0" w:space="0" w:color="auto"/>
      </w:divBdr>
    </w:div>
    <w:div w:id="1797026273">
      <w:marLeft w:val="0"/>
      <w:marRight w:val="0"/>
      <w:marTop w:val="0"/>
      <w:marBottom w:val="0"/>
      <w:divBdr>
        <w:top w:val="none" w:sz="0" w:space="0" w:color="auto"/>
        <w:left w:val="none" w:sz="0" w:space="0" w:color="auto"/>
        <w:bottom w:val="none" w:sz="0" w:space="0" w:color="auto"/>
        <w:right w:val="none" w:sz="0" w:space="0" w:color="auto"/>
      </w:divBdr>
    </w:div>
    <w:div w:id="1797026274">
      <w:marLeft w:val="0"/>
      <w:marRight w:val="0"/>
      <w:marTop w:val="0"/>
      <w:marBottom w:val="0"/>
      <w:divBdr>
        <w:top w:val="none" w:sz="0" w:space="0" w:color="auto"/>
        <w:left w:val="none" w:sz="0" w:space="0" w:color="auto"/>
        <w:bottom w:val="none" w:sz="0" w:space="0" w:color="auto"/>
        <w:right w:val="none" w:sz="0" w:space="0" w:color="auto"/>
      </w:divBdr>
    </w:div>
    <w:div w:id="1797026275">
      <w:marLeft w:val="0"/>
      <w:marRight w:val="0"/>
      <w:marTop w:val="0"/>
      <w:marBottom w:val="0"/>
      <w:divBdr>
        <w:top w:val="none" w:sz="0" w:space="0" w:color="auto"/>
        <w:left w:val="none" w:sz="0" w:space="0" w:color="auto"/>
        <w:bottom w:val="none" w:sz="0" w:space="0" w:color="auto"/>
        <w:right w:val="none" w:sz="0" w:space="0" w:color="auto"/>
      </w:divBdr>
    </w:div>
    <w:div w:id="1797026276">
      <w:marLeft w:val="0"/>
      <w:marRight w:val="0"/>
      <w:marTop w:val="0"/>
      <w:marBottom w:val="0"/>
      <w:divBdr>
        <w:top w:val="none" w:sz="0" w:space="0" w:color="auto"/>
        <w:left w:val="none" w:sz="0" w:space="0" w:color="auto"/>
        <w:bottom w:val="none" w:sz="0" w:space="0" w:color="auto"/>
        <w:right w:val="none" w:sz="0" w:space="0" w:color="auto"/>
      </w:divBdr>
    </w:div>
    <w:div w:id="1797026277">
      <w:marLeft w:val="0"/>
      <w:marRight w:val="0"/>
      <w:marTop w:val="0"/>
      <w:marBottom w:val="0"/>
      <w:divBdr>
        <w:top w:val="none" w:sz="0" w:space="0" w:color="auto"/>
        <w:left w:val="none" w:sz="0" w:space="0" w:color="auto"/>
        <w:bottom w:val="none" w:sz="0" w:space="0" w:color="auto"/>
        <w:right w:val="none" w:sz="0" w:space="0" w:color="auto"/>
      </w:divBdr>
    </w:div>
    <w:div w:id="1797026278">
      <w:marLeft w:val="0"/>
      <w:marRight w:val="0"/>
      <w:marTop w:val="0"/>
      <w:marBottom w:val="0"/>
      <w:divBdr>
        <w:top w:val="none" w:sz="0" w:space="0" w:color="auto"/>
        <w:left w:val="none" w:sz="0" w:space="0" w:color="auto"/>
        <w:bottom w:val="none" w:sz="0" w:space="0" w:color="auto"/>
        <w:right w:val="none" w:sz="0" w:space="0" w:color="auto"/>
      </w:divBdr>
    </w:div>
    <w:div w:id="1797026279">
      <w:marLeft w:val="0"/>
      <w:marRight w:val="0"/>
      <w:marTop w:val="0"/>
      <w:marBottom w:val="0"/>
      <w:divBdr>
        <w:top w:val="none" w:sz="0" w:space="0" w:color="auto"/>
        <w:left w:val="none" w:sz="0" w:space="0" w:color="auto"/>
        <w:bottom w:val="none" w:sz="0" w:space="0" w:color="auto"/>
        <w:right w:val="none" w:sz="0" w:space="0" w:color="auto"/>
      </w:divBdr>
    </w:div>
    <w:div w:id="1797026280">
      <w:marLeft w:val="0"/>
      <w:marRight w:val="0"/>
      <w:marTop w:val="0"/>
      <w:marBottom w:val="0"/>
      <w:divBdr>
        <w:top w:val="none" w:sz="0" w:space="0" w:color="auto"/>
        <w:left w:val="none" w:sz="0" w:space="0" w:color="auto"/>
        <w:bottom w:val="none" w:sz="0" w:space="0" w:color="auto"/>
        <w:right w:val="none" w:sz="0" w:space="0" w:color="auto"/>
      </w:divBdr>
    </w:div>
    <w:div w:id="1797026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o-bas.bg" TargetMode="External"/><Relationship Id="rId18" Type="http://schemas.openxmlformats.org/officeDocument/2006/relationships/hyperlink" Target="http://www.blacksea-commission.org/_bsimap.asp" TargetMode="External"/><Relationship Id="rId26" Type="http://schemas.openxmlformats.org/officeDocument/2006/relationships/hyperlink" Target="http://helcom.fi/action-areas/monitoring-and-assessment/manuals-and-guidelines/combine-manual" TargetMode="External"/><Relationship Id="rId39" Type="http://schemas.openxmlformats.org/officeDocument/2006/relationships/theme" Target="theme/theme1.xml"/><Relationship Id="rId21" Type="http://schemas.openxmlformats.org/officeDocument/2006/relationships/hyperlink" Target="http://www.seas-era.eu/" TargetMode="External"/><Relationship Id="rId34" Type="http://schemas.openxmlformats.org/officeDocument/2006/relationships/hyperlink" Target="http://www.bsbd.org/uk/" TargetMode="External"/><Relationship Id="rId7" Type="http://schemas.openxmlformats.org/officeDocument/2006/relationships/endnotes" Target="endnotes.xml"/><Relationship Id="rId12" Type="http://schemas.openxmlformats.org/officeDocument/2006/relationships/hyperlink" Target="http://www.bsbd.org/" TargetMode="External"/><Relationship Id="rId17" Type="http://schemas.openxmlformats.org/officeDocument/2006/relationships/hyperlink" Target="http://www.meteo.bg/en" TargetMode="External"/><Relationship Id="rId25" Type="http://schemas.openxmlformats.org/officeDocument/2006/relationships/hyperlink" Target="http://ec.europa.eu/environment/water/water-framework/facts_figures/guidance_docs_en.htm" TargetMode="External"/><Relationship Id="rId33" Type="http://schemas.openxmlformats.org/officeDocument/2006/relationships/hyperlink" Target="https://circabc.europa.eu/faces/jsp/extension/wai/navigation/container.j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zi-burgas.com/" TargetMode="External"/><Relationship Id="rId20" Type="http://schemas.openxmlformats.org/officeDocument/2006/relationships/hyperlink" Target="http://iris-ses.eu/" TargetMode="External"/><Relationship Id="rId29" Type="http://schemas.openxmlformats.org/officeDocument/2006/relationships/hyperlink" Target="http://www.ruwpa.st-and.ac.uk/dist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moew.government.bg" TargetMode="External"/><Relationship Id="rId24" Type="http://schemas.openxmlformats.org/officeDocument/2006/relationships/hyperlink" Target="http://helcom.fi/Lists/Publications/BSEP106.pdf" TargetMode="External"/><Relationship Id="rId32" Type="http://schemas.openxmlformats.org/officeDocument/2006/relationships/hyperlink" Target="http://publications.jrc.ec.europa.eu/repository/handle/111111111/23169" TargetMode="External"/><Relationship Id="rId37" Type="http://schemas.openxmlformats.org/officeDocument/2006/relationships/hyperlink" Target="http://www.ecopath.org/" TargetMode="External"/><Relationship Id="rId5" Type="http://schemas.openxmlformats.org/officeDocument/2006/relationships/webSettings" Target="webSettings.xml"/><Relationship Id="rId15" Type="http://schemas.openxmlformats.org/officeDocument/2006/relationships/hyperlink" Target="http://www.rzi-varna.com/" TargetMode="External"/><Relationship Id="rId23" Type="http://schemas.openxmlformats.org/officeDocument/2006/relationships/hyperlink" Target="http://cdr.eionet.europa.eu/bg/eu/msfd8910/msfd4text/envubapw" TargetMode="External"/><Relationship Id="rId28" Type="http://schemas.openxmlformats.org/officeDocument/2006/relationships/hyperlink" Target="http://publications.jrc.ec.europa.eu/repository/handle/111111111/23169" TargetMode="External"/><Relationship Id="rId36" Type="http://schemas.openxmlformats.org/officeDocument/2006/relationships/hyperlink" Target="http://www.meteo.bg/en" TargetMode="External"/><Relationship Id="rId10" Type="http://schemas.openxmlformats.org/officeDocument/2006/relationships/hyperlink" Target="http://ia2dec.ew.eea.europa.eu/knowledge_base/Frameworks/doc101182" TargetMode="External"/><Relationship Id="rId19" Type="http://schemas.openxmlformats.org/officeDocument/2006/relationships/hyperlink" Target="http://www.misisproject.eu" TargetMode="External"/><Relationship Id="rId31" Type="http://schemas.openxmlformats.org/officeDocument/2006/relationships/hyperlink" Target="http://www.blacksea-commission.org/" TargetMode="External"/><Relationship Id="rId4" Type="http://schemas.openxmlformats.org/officeDocument/2006/relationships/settings" Target="settings.xml"/><Relationship Id="rId9" Type="http://schemas.openxmlformats.org/officeDocument/2006/relationships/hyperlink" Target="http://publications.jrc.ec.europa.eu/repository/handle/111111111/23169" TargetMode="External"/><Relationship Id="rId14" Type="http://schemas.openxmlformats.org/officeDocument/2006/relationships/hyperlink" Target="http://rzi-dobrich.org/index.php?node=home" TargetMode="External"/><Relationship Id="rId22" Type="http://schemas.openxmlformats.org/officeDocument/2006/relationships/image" Target="media/image1.jpeg"/><Relationship Id="rId27" Type="http://schemas.openxmlformats.org/officeDocument/2006/relationships/hyperlink" Target="http://www3.moew.government.bg/" TargetMode="External"/><Relationship Id="rId30" Type="http://schemas.openxmlformats.org/officeDocument/2006/relationships/hyperlink" Target="http://admb-project.org/" TargetMode="External"/><Relationship Id="rId35" Type="http://schemas.openxmlformats.org/officeDocument/2006/relationships/hyperlink" Target="http://www.moew.government.bg/?lang=en" TargetMode="External"/><Relationship Id="rId8" Type="http://schemas.openxmlformats.org/officeDocument/2006/relationships/hyperlink" Target="http://eur-lex.europa.eu/legal-content/EN/TXT/?uri=CELEX:32008L005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25</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Raben-Levetzau</dc:creator>
  <cp:keywords/>
  <dc:description/>
  <cp:lastModifiedBy>Georgi Parlichev</cp:lastModifiedBy>
  <cp:revision>137</cp:revision>
  <cp:lastPrinted>2014-03-06T14:12:00Z</cp:lastPrinted>
  <dcterms:created xsi:type="dcterms:W3CDTF">2014-02-27T11:38:00Z</dcterms:created>
  <dcterms:modified xsi:type="dcterms:W3CDTF">2014-07-10T12:44:00Z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