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2617"/>
      </w:tblGrid>
      <w:tr w:rsidR="000A6194" w:rsidRPr="007F7BC1" w:rsidTr="00814054">
        <w:tc>
          <w:tcPr>
            <w:tcW w:w="15310" w:type="dxa"/>
            <w:gridSpan w:val="2"/>
            <w:vAlign w:val="center"/>
          </w:tcPr>
          <w:p w:rsidR="000A6194" w:rsidRPr="007F7BC1" w:rsidRDefault="000A6194" w:rsidP="00E82000">
            <w:pPr>
              <w:pStyle w:val="BodyText"/>
              <w:spacing w:line="240" w:lineRule="auto"/>
              <w:jc w:val="center"/>
              <w:rPr>
                <w:b/>
                <w:sz w:val="28"/>
                <w:szCs w:val="28"/>
                <w:lang w:val="en-GB"/>
              </w:rPr>
            </w:pPr>
            <w:r w:rsidRPr="007F7BC1">
              <w:rPr>
                <w:b/>
                <w:color w:val="1F497D"/>
                <w:sz w:val="28"/>
                <w:szCs w:val="28"/>
                <w:lang w:val="en-GB"/>
              </w:rPr>
              <w:t>MONITORING FACT SHEET TEMPLATE</w:t>
            </w:r>
          </w:p>
        </w:tc>
      </w:tr>
      <w:tr w:rsidR="000A6194" w:rsidRPr="007F7BC1" w:rsidTr="00814054">
        <w:tc>
          <w:tcPr>
            <w:tcW w:w="15310" w:type="dxa"/>
            <w:gridSpan w:val="2"/>
            <w:vAlign w:val="center"/>
          </w:tcPr>
          <w:p w:rsidR="000A6194" w:rsidRPr="007F7BC1" w:rsidRDefault="000A6194" w:rsidP="00EB66FB">
            <w:pPr>
              <w:pStyle w:val="BodyText"/>
              <w:spacing w:line="240" w:lineRule="auto"/>
              <w:jc w:val="center"/>
              <w:rPr>
                <w:b/>
                <w:sz w:val="24"/>
                <w:szCs w:val="24"/>
                <w:lang w:val="en-GB"/>
              </w:rPr>
            </w:pPr>
            <w:r w:rsidRPr="007F7BC1">
              <w:rPr>
                <w:b/>
                <w:sz w:val="24"/>
                <w:szCs w:val="24"/>
                <w:lang w:val="en-GB"/>
              </w:rPr>
              <w:t>Title: Monitoring programme on Descriptor 1,3 - Marine mammals</w:t>
            </w:r>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b/>
                <w:color w:val="FFFFFF"/>
                <w:lang w:val="en-GB"/>
              </w:rPr>
            </w:pPr>
            <w:r w:rsidRPr="007F7BC1">
              <w:rPr>
                <w:b/>
                <w:color w:val="FFFFFF"/>
                <w:lang w:val="en-GB"/>
              </w:rPr>
              <w:t>1. General</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1.1 Subject area</w:t>
            </w:r>
          </w:p>
        </w:tc>
        <w:tc>
          <w:tcPr>
            <w:tcW w:w="12617" w:type="dxa"/>
          </w:tcPr>
          <w:p w:rsidR="000A6194" w:rsidRPr="007F7BC1" w:rsidRDefault="000A6194" w:rsidP="00E82000">
            <w:pPr>
              <w:pStyle w:val="BodyText"/>
              <w:spacing w:line="240" w:lineRule="auto"/>
              <w:rPr>
                <w:i/>
                <w:lang w:val="en-GB"/>
              </w:rPr>
            </w:pPr>
            <w:r w:rsidRPr="007F7BC1">
              <w:rPr>
                <w:i/>
                <w:lang w:val="en-GB"/>
              </w:rPr>
              <w:t>What is monitored – programme ID (BLKXX-DY)</w:t>
            </w:r>
          </w:p>
          <w:p w:rsidR="000A6194" w:rsidRPr="007F7BC1" w:rsidRDefault="000A6194" w:rsidP="00E82000">
            <w:pPr>
              <w:pStyle w:val="BodyText"/>
              <w:spacing w:line="240" w:lineRule="auto"/>
              <w:rPr>
                <w:lang w:val="en-GB"/>
              </w:rPr>
            </w:pPr>
            <w:r w:rsidRPr="00E071B9">
              <w:rPr>
                <w:b/>
                <w:lang w:val="en-GB"/>
              </w:rPr>
              <w:t>Programme name</w:t>
            </w:r>
            <w:r w:rsidRPr="007F7BC1">
              <w:rPr>
                <w:lang w:val="en-GB"/>
              </w:rPr>
              <w:t>: Marine mammals</w:t>
            </w:r>
          </w:p>
          <w:p w:rsidR="000A6194" w:rsidRPr="007F7BC1" w:rsidRDefault="00B55FF5" w:rsidP="00044A9D">
            <w:pPr>
              <w:pStyle w:val="BodyText"/>
              <w:spacing w:line="240" w:lineRule="auto"/>
              <w:rPr>
                <w:lang w:val="en-GB"/>
              </w:rPr>
            </w:pPr>
            <w:r w:rsidRPr="00E071B9">
              <w:rPr>
                <w:b/>
                <w:lang w:val="en-GB"/>
              </w:rPr>
              <w:t>Programme ID</w:t>
            </w:r>
            <w:r>
              <w:rPr>
                <w:lang w:val="en-GB"/>
              </w:rPr>
              <w:t>: BLKBG_D014_</w:t>
            </w:r>
            <w:r w:rsidR="00044A9D">
              <w:rPr>
                <w:lang w:val="en-GB"/>
              </w:rPr>
              <w:t>MarineM</w:t>
            </w:r>
            <w:r w:rsidR="000A6194" w:rsidRPr="007F7BC1">
              <w:rPr>
                <w:lang w:val="en-GB"/>
              </w:rPr>
              <w:t>ammals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1.2 Definition/Description</w:t>
            </w:r>
          </w:p>
        </w:tc>
        <w:tc>
          <w:tcPr>
            <w:tcW w:w="12617" w:type="dxa"/>
          </w:tcPr>
          <w:p w:rsidR="000A6194" w:rsidRPr="007F7BC1" w:rsidRDefault="000A6194" w:rsidP="00E82000">
            <w:pPr>
              <w:pStyle w:val="BodyText"/>
              <w:spacing w:before="120" w:after="0" w:line="240" w:lineRule="auto"/>
              <w:rPr>
                <w:lang w:val="en-GB"/>
              </w:rPr>
            </w:pPr>
            <w:r w:rsidRPr="007F7BC1">
              <w:rPr>
                <w:lang w:val="en-GB"/>
              </w:rPr>
              <w:t>The monitoring program will provide data on the status of the populations of marine mammals, because the indicators selected for the abundance (1.2.1 and 4.3.1) and distribution (1.1.1) within Descriptors 1 and 4 are indicators of state. Data on mortality (indicators 1.3.1) can be provided upon detection of dead mammals and identification of causes of death (natural or due to human activities). When the cause of death is established as a result of human activities (e.g., fishing, shipping), this will help to identify specific measures in relation to these sources of pressure on the populations of marine mammals.</w:t>
            </w:r>
          </w:p>
          <w:p w:rsidR="000A6194" w:rsidRPr="007F7BC1" w:rsidRDefault="000A6194" w:rsidP="00E82000">
            <w:pPr>
              <w:pStyle w:val="BodyText"/>
              <w:spacing w:before="120" w:after="0" w:line="240" w:lineRule="auto"/>
              <w:rPr>
                <w:lang w:val="en-GB"/>
              </w:rPr>
            </w:pPr>
            <w:r w:rsidRPr="007F7BC1">
              <w:rPr>
                <w:lang w:val="en-GB"/>
              </w:rPr>
              <w:t xml:space="preserve">Bulgaria has a monitoring network on marine mammals, developed to provide data for ACCOBAMS (Agreement on the Conservation of Cetaceans in the Black Sea, Mediterranean Sea and contiguous Atlantic). The aim of this network is to collect basic information on cetaceans - stranded, </w:t>
            </w:r>
            <w:proofErr w:type="spellStart"/>
            <w:r w:rsidRPr="007F7BC1">
              <w:rPr>
                <w:lang w:val="en-GB"/>
              </w:rPr>
              <w:t>bycatch</w:t>
            </w:r>
            <w:proofErr w:type="spellEnd"/>
            <w:r w:rsidRPr="007F7BC1">
              <w:rPr>
                <w:lang w:val="en-GB"/>
              </w:rPr>
              <w:t xml:space="preserve"> in fishing nets or found dead along the coast and to identify specific measures to prevent the increased mortality. This network maintained by the Institute of Fish Resources – Varna (IFR). We have good collaboration whit IFR, NGO – Green Balkans and Regional Inspectorates for environment and waters – </w:t>
            </w:r>
            <w:proofErr w:type="spellStart"/>
            <w:r w:rsidRPr="007F7BC1">
              <w:rPr>
                <w:lang w:val="en-GB"/>
              </w:rPr>
              <w:t>Burgas</w:t>
            </w:r>
            <w:proofErr w:type="spellEnd"/>
            <w:r w:rsidRPr="007F7BC1">
              <w:rPr>
                <w:lang w:val="en-GB"/>
              </w:rPr>
              <w:t xml:space="preserve"> and Varna. The data, which are officially available, are reported within the system of the Ministry of the Environment and Waters.</w:t>
            </w:r>
          </w:p>
          <w:p w:rsidR="000A6194" w:rsidRPr="007F7BC1" w:rsidRDefault="000A6194" w:rsidP="00E82000">
            <w:pPr>
              <w:pStyle w:val="BodyText"/>
              <w:spacing w:before="120" w:after="0" w:line="240" w:lineRule="auto"/>
              <w:rPr>
                <w:lang w:val="en-GB"/>
              </w:rPr>
            </w:pPr>
            <w:r w:rsidRPr="007F7BC1">
              <w:rPr>
                <w:lang w:val="en-GB"/>
              </w:rPr>
              <w:t>Parameters monitored:</w:t>
            </w:r>
          </w:p>
          <w:p w:rsidR="000A6194" w:rsidRPr="007F7BC1" w:rsidRDefault="000A6194" w:rsidP="00E82000">
            <w:pPr>
              <w:pStyle w:val="BodyText"/>
              <w:numPr>
                <w:ilvl w:val="0"/>
                <w:numId w:val="9"/>
              </w:numPr>
              <w:spacing w:line="240" w:lineRule="auto"/>
              <w:ind w:left="360"/>
              <w:rPr>
                <w:lang w:val="en-GB"/>
              </w:rPr>
            </w:pPr>
            <w:r w:rsidRPr="007F7BC1">
              <w:rPr>
                <w:lang w:val="en-GB"/>
              </w:rPr>
              <w:t>Harbour porpoise (</w:t>
            </w:r>
            <w:proofErr w:type="spellStart"/>
            <w:r w:rsidRPr="007F7BC1">
              <w:rPr>
                <w:i/>
                <w:lang w:val="en-GB"/>
              </w:rPr>
              <w:t>Phocoena</w:t>
            </w:r>
            <w:proofErr w:type="spellEnd"/>
            <w:r w:rsidRPr="007F7BC1">
              <w:rPr>
                <w:i/>
                <w:lang w:val="en-GB"/>
              </w:rPr>
              <w:t xml:space="preserve"> </w:t>
            </w:r>
            <w:proofErr w:type="spellStart"/>
            <w:r w:rsidRPr="007F7BC1">
              <w:rPr>
                <w:i/>
                <w:lang w:val="en-GB"/>
              </w:rPr>
              <w:t>phocoena</w:t>
            </w:r>
            <w:proofErr w:type="spellEnd"/>
            <w:r w:rsidRPr="007F7BC1">
              <w:rPr>
                <w:lang w:val="en-GB"/>
              </w:rPr>
              <w:t>);</w:t>
            </w:r>
          </w:p>
          <w:p w:rsidR="000A6194" w:rsidRPr="007F7BC1" w:rsidRDefault="000A6194" w:rsidP="00E82000">
            <w:pPr>
              <w:pStyle w:val="BodyText"/>
              <w:numPr>
                <w:ilvl w:val="0"/>
                <w:numId w:val="9"/>
              </w:numPr>
              <w:spacing w:line="240" w:lineRule="auto"/>
              <w:ind w:left="360"/>
              <w:rPr>
                <w:lang w:val="en-GB"/>
              </w:rPr>
            </w:pPr>
            <w:r w:rsidRPr="007F7BC1">
              <w:rPr>
                <w:lang w:val="en-GB"/>
              </w:rPr>
              <w:t>Common bottlenose dolphin (</w:t>
            </w:r>
            <w:proofErr w:type="spellStart"/>
            <w:r w:rsidRPr="007F7BC1">
              <w:rPr>
                <w:i/>
                <w:lang w:val="en-GB"/>
              </w:rPr>
              <w:t>Tursiops</w:t>
            </w:r>
            <w:proofErr w:type="spellEnd"/>
            <w:r w:rsidRPr="007F7BC1">
              <w:rPr>
                <w:i/>
                <w:lang w:val="en-GB"/>
              </w:rPr>
              <w:t xml:space="preserve"> </w:t>
            </w:r>
            <w:proofErr w:type="spellStart"/>
            <w:r w:rsidRPr="007F7BC1">
              <w:rPr>
                <w:i/>
                <w:lang w:val="en-GB"/>
              </w:rPr>
              <w:t>truncatus</w:t>
            </w:r>
            <w:proofErr w:type="spellEnd"/>
            <w:r w:rsidRPr="007F7BC1">
              <w:rPr>
                <w:lang w:val="en-GB"/>
              </w:rPr>
              <w:t>);</w:t>
            </w:r>
          </w:p>
          <w:p w:rsidR="000A6194" w:rsidRPr="007F7BC1" w:rsidRDefault="000A6194" w:rsidP="00E82000">
            <w:pPr>
              <w:pStyle w:val="BodyText"/>
              <w:numPr>
                <w:ilvl w:val="0"/>
                <w:numId w:val="9"/>
              </w:numPr>
              <w:spacing w:line="240" w:lineRule="auto"/>
              <w:ind w:left="360"/>
              <w:rPr>
                <w:lang w:val="en-GB"/>
              </w:rPr>
            </w:pPr>
            <w:r w:rsidRPr="007F7BC1">
              <w:rPr>
                <w:lang w:val="en-GB"/>
              </w:rPr>
              <w:t>Short-beaked common dolphin (</w:t>
            </w:r>
            <w:proofErr w:type="spellStart"/>
            <w:r w:rsidRPr="007F7BC1">
              <w:rPr>
                <w:i/>
                <w:lang w:val="en-GB"/>
              </w:rPr>
              <w:t>Delphinus</w:t>
            </w:r>
            <w:proofErr w:type="spellEnd"/>
            <w:r w:rsidRPr="007F7BC1">
              <w:rPr>
                <w:i/>
                <w:lang w:val="en-GB"/>
              </w:rPr>
              <w:t xml:space="preserve"> </w:t>
            </w:r>
            <w:proofErr w:type="spellStart"/>
            <w:r w:rsidRPr="007F7BC1">
              <w:rPr>
                <w:i/>
                <w:lang w:val="en-GB"/>
              </w:rPr>
              <w:t>delphis</w:t>
            </w:r>
            <w:proofErr w:type="spellEnd"/>
            <w:r w:rsidRPr="007F7BC1">
              <w:rPr>
                <w:lang w:val="en-GB"/>
              </w:rPr>
              <w:t>);</w:t>
            </w:r>
          </w:p>
          <w:p w:rsidR="000A6194" w:rsidRPr="007F7BC1" w:rsidRDefault="000A6194" w:rsidP="00121554">
            <w:pPr>
              <w:pStyle w:val="BodyText"/>
              <w:spacing w:line="240" w:lineRule="auto"/>
              <w:rPr>
                <w:lang w:val="en-GB"/>
              </w:rPr>
            </w:pPr>
            <w:r w:rsidRPr="007F7BC1">
              <w:rPr>
                <w:lang w:val="en-GB"/>
              </w:rPr>
              <w:t>Populations of short-beaked common dolphin (</w:t>
            </w:r>
            <w:proofErr w:type="spellStart"/>
            <w:r w:rsidRPr="007F7BC1">
              <w:rPr>
                <w:lang w:val="en-GB"/>
              </w:rPr>
              <w:t>Delphinus</w:t>
            </w:r>
            <w:proofErr w:type="spellEnd"/>
            <w:r w:rsidRPr="007F7BC1">
              <w:rPr>
                <w:lang w:val="en-GB"/>
              </w:rPr>
              <w:t xml:space="preserve"> </w:t>
            </w:r>
            <w:proofErr w:type="spellStart"/>
            <w:r w:rsidRPr="007F7BC1">
              <w:rPr>
                <w:lang w:val="en-GB"/>
              </w:rPr>
              <w:t>delphis</w:t>
            </w:r>
            <w:proofErr w:type="spellEnd"/>
            <w:r w:rsidRPr="007F7BC1">
              <w:rPr>
                <w:lang w:val="en-GB"/>
              </w:rPr>
              <w:t xml:space="preserve">), harbour </w:t>
            </w:r>
            <w:proofErr w:type="spellStart"/>
            <w:r w:rsidRPr="007F7BC1">
              <w:rPr>
                <w:lang w:val="en-GB"/>
              </w:rPr>
              <w:t>purpoise</w:t>
            </w:r>
            <w:proofErr w:type="spellEnd"/>
            <w:r w:rsidRPr="007F7BC1">
              <w:rPr>
                <w:lang w:val="en-GB"/>
              </w:rPr>
              <w:t xml:space="preserve"> (</w:t>
            </w:r>
            <w:proofErr w:type="spellStart"/>
            <w:r w:rsidRPr="007F7BC1">
              <w:rPr>
                <w:lang w:val="en-GB"/>
              </w:rPr>
              <w:t>Phocoena</w:t>
            </w:r>
            <w:proofErr w:type="spellEnd"/>
            <w:r w:rsidRPr="007F7BC1">
              <w:rPr>
                <w:lang w:val="en-GB"/>
              </w:rPr>
              <w:t xml:space="preserve"> </w:t>
            </w:r>
            <w:proofErr w:type="spellStart"/>
            <w:r w:rsidR="00F70AC6">
              <w:rPr>
                <w:lang w:val="en-GB"/>
              </w:rPr>
              <w:t>Phocoena</w:t>
            </w:r>
            <w:proofErr w:type="spellEnd"/>
            <w:r w:rsidRPr="007F7BC1">
              <w:rPr>
                <w:lang w:val="en-GB"/>
              </w:rPr>
              <w:t>) and common bottlenose dolphin (</w:t>
            </w:r>
            <w:proofErr w:type="spellStart"/>
            <w:r w:rsidRPr="007F7BC1">
              <w:rPr>
                <w:lang w:val="en-GB"/>
              </w:rPr>
              <w:t>Tursiops</w:t>
            </w:r>
            <w:proofErr w:type="spellEnd"/>
            <w:r w:rsidRPr="007F7BC1">
              <w:rPr>
                <w:lang w:val="en-GB"/>
              </w:rPr>
              <w:t xml:space="preserve"> </w:t>
            </w:r>
            <w:proofErr w:type="spellStart"/>
            <w:r w:rsidRPr="007F7BC1">
              <w:rPr>
                <w:lang w:val="en-GB"/>
              </w:rPr>
              <w:t>truncatus</w:t>
            </w:r>
            <w:proofErr w:type="spellEnd"/>
            <w:r w:rsidRPr="007F7BC1">
              <w:rPr>
                <w:lang w:val="en-GB"/>
              </w:rPr>
              <w:t xml:space="preserve">) will be monitored by means of wide-area registration </w:t>
            </w:r>
            <w:r w:rsidR="00E43396">
              <w:rPr>
                <w:lang w:val="en-GB"/>
              </w:rPr>
              <w:t>– European Seabirds at Sea</w:t>
            </w:r>
            <w:r w:rsidR="006B5672">
              <w:rPr>
                <w:lang w:val="en-GB"/>
              </w:rPr>
              <w:t xml:space="preserve"> (ESAS)</w:t>
            </w:r>
            <w:r w:rsidR="00E43396">
              <w:rPr>
                <w:lang w:val="en-GB"/>
              </w:rPr>
              <w:t>, which is applicable for marine mammals besides seabirds.</w:t>
            </w:r>
          </w:p>
          <w:p w:rsidR="000A6194" w:rsidRPr="007F7BC1" w:rsidRDefault="000A6194" w:rsidP="00121554">
            <w:pPr>
              <w:pStyle w:val="BodyText"/>
              <w:spacing w:line="240" w:lineRule="auto"/>
              <w:rPr>
                <w:lang w:val="en-GB"/>
              </w:rPr>
            </w:pPr>
            <w:r w:rsidRPr="007F7BC1">
              <w:rPr>
                <w:lang w:val="en-GB"/>
              </w:rPr>
              <w:t>The programme will use the different information sources for information on the state and impact on the marine environment:</w:t>
            </w:r>
          </w:p>
          <w:p w:rsidR="000A6194" w:rsidRPr="007F7BC1" w:rsidRDefault="000A6194" w:rsidP="00121554">
            <w:pPr>
              <w:pStyle w:val="BodyText"/>
              <w:numPr>
                <w:ilvl w:val="0"/>
                <w:numId w:val="12"/>
              </w:numPr>
              <w:spacing w:line="240" w:lineRule="auto"/>
              <w:ind w:left="360"/>
              <w:rPr>
                <w:lang w:val="en-GB"/>
              </w:rPr>
            </w:pPr>
            <w:r w:rsidRPr="007F7BC1">
              <w:rPr>
                <w:lang w:val="en-GB"/>
              </w:rPr>
              <w:t xml:space="preserve">The evaluation of the cause of death of stranded animals; </w:t>
            </w:r>
          </w:p>
          <w:p w:rsidR="000A6194" w:rsidRPr="007F7BC1" w:rsidRDefault="000A6194" w:rsidP="00121554">
            <w:pPr>
              <w:pStyle w:val="BodyText"/>
              <w:numPr>
                <w:ilvl w:val="0"/>
                <w:numId w:val="12"/>
              </w:numPr>
              <w:spacing w:line="240" w:lineRule="auto"/>
              <w:ind w:left="360"/>
              <w:rPr>
                <w:lang w:val="en-GB"/>
              </w:rPr>
            </w:pPr>
            <w:r w:rsidRPr="007F7BC1">
              <w:rPr>
                <w:lang w:val="en-GB"/>
              </w:rPr>
              <w:t xml:space="preserve">Reported by-catch; </w:t>
            </w:r>
          </w:p>
          <w:p w:rsidR="000A6194" w:rsidRPr="007F7BC1" w:rsidRDefault="000A6194" w:rsidP="00121554">
            <w:pPr>
              <w:pStyle w:val="BodyText"/>
              <w:numPr>
                <w:ilvl w:val="0"/>
                <w:numId w:val="12"/>
              </w:numPr>
              <w:spacing w:line="240" w:lineRule="auto"/>
              <w:ind w:left="360"/>
              <w:rPr>
                <w:lang w:val="en-GB"/>
              </w:rPr>
            </w:pPr>
            <w:r w:rsidRPr="007F7BC1">
              <w:rPr>
                <w:lang w:val="en-GB"/>
              </w:rPr>
              <w:t>Incidental catches recorded during observation programs on board;</w:t>
            </w:r>
          </w:p>
          <w:p w:rsidR="000A6194" w:rsidRPr="007F7BC1" w:rsidRDefault="000A6194" w:rsidP="00121554">
            <w:pPr>
              <w:pStyle w:val="BodyText"/>
              <w:numPr>
                <w:ilvl w:val="0"/>
                <w:numId w:val="12"/>
              </w:numPr>
              <w:spacing w:line="240" w:lineRule="auto"/>
              <w:ind w:left="360"/>
              <w:rPr>
                <w:lang w:val="en-GB"/>
              </w:rPr>
            </w:pPr>
            <w:r w:rsidRPr="007F7BC1">
              <w:rPr>
                <w:lang w:val="en-GB"/>
              </w:rPr>
              <w:t xml:space="preserve">Estimate trends in terms of abundance through data collected by using passive acoustic monitoring; </w:t>
            </w:r>
          </w:p>
          <w:p w:rsidR="000A6194" w:rsidRPr="007F7BC1" w:rsidRDefault="000A6194" w:rsidP="004A15C8">
            <w:pPr>
              <w:pStyle w:val="BodyText"/>
              <w:numPr>
                <w:ilvl w:val="0"/>
                <w:numId w:val="12"/>
              </w:numPr>
              <w:spacing w:line="240" w:lineRule="auto"/>
              <w:ind w:left="360"/>
              <w:rPr>
                <w:lang w:val="en-GB"/>
              </w:rPr>
            </w:pPr>
            <w:r w:rsidRPr="007F7BC1">
              <w:rPr>
                <w:lang w:val="en-GB"/>
              </w:rPr>
              <w:t>Chance encounters of marine animals during monitoring surveys under the other monitoring programmes.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1.3 Competent authority/</w:t>
            </w:r>
            <w:proofErr w:type="spellStart"/>
            <w:r w:rsidRPr="007F7BC1">
              <w:rPr>
                <w:color w:val="4F81BD"/>
                <w:lang w:val="en-GB"/>
              </w:rPr>
              <w:t>ies</w:t>
            </w:r>
            <w:proofErr w:type="spellEnd"/>
          </w:p>
        </w:tc>
        <w:tc>
          <w:tcPr>
            <w:tcW w:w="12617" w:type="dxa"/>
          </w:tcPr>
          <w:p w:rsidR="000A6194" w:rsidRPr="007F7BC1" w:rsidRDefault="000A6194" w:rsidP="00E82000">
            <w:pPr>
              <w:pStyle w:val="BodyText"/>
              <w:spacing w:line="240" w:lineRule="auto"/>
              <w:rPr>
                <w:i/>
                <w:lang w:val="en-GB"/>
              </w:rPr>
            </w:pPr>
            <w:r w:rsidRPr="007F7BC1">
              <w:rPr>
                <w:i/>
                <w:lang w:val="en-GB"/>
              </w:rPr>
              <w:t>Which authorities are responsible (links to www)</w:t>
            </w:r>
          </w:p>
          <w:p w:rsidR="000A6194" w:rsidRPr="0088047A" w:rsidRDefault="000A6194" w:rsidP="00E82000">
            <w:pPr>
              <w:pStyle w:val="BodyText"/>
              <w:spacing w:line="240" w:lineRule="auto"/>
              <w:rPr>
                <w:b/>
                <w:lang w:val="en-GB"/>
              </w:rPr>
            </w:pPr>
            <w:r w:rsidRPr="0088047A">
              <w:rPr>
                <w:b/>
                <w:lang w:val="en-GB"/>
              </w:rPr>
              <w:t>Ministry of the Environment and Waters</w:t>
            </w:r>
          </w:p>
          <w:p w:rsidR="0088047A" w:rsidRPr="0088047A" w:rsidRDefault="0088047A" w:rsidP="00E82000">
            <w:pPr>
              <w:pStyle w:val="BodyText"/>
              <w:spacing w:line="240" w:lineRule="auto"/>
              <w:rPr>
                <w:lang w:val="en-GB"/>
              </w:rPr>
            </w:pPr>
            <w:r w:rsidRPr="0088047A">
              <w:rPr>
                <w:lang w:val="en-GB"/>
              </w:rPr>
              <w:t xml:space="preserve">According to art. 151, </w:t>
            </w:r>
            <w:proofErr w:type="spellStart"/>
            <w:r w:rsidRPr="0088047A">
              <w:rPr>
                <w:lang w:val="en-GB"/>
              </w:rPr>
              <w:t>para</w:t>
            </w:r>
            <w:proofErr w:type="spellEnd"/>
            <w:r w:rsidRPr="0088047A">
              <w:rPr>
                <w:lang w:val="en-GB"/>
              </w:rPr>
              <w:t xml:space="preserve">. 1.2 k) of the Water Act and art. 101, </w:t>
            </w:r>
            <w:proofErr w:type="spellStart"/>
            <w:r w:rsidRPr="0088047A">
              <w:rPr>
                <w:lang w:val="en-GB"/>
              </w:rPr>
              <w:t>para</w:t>
            </w:r>
            <w:proofErr w:type="spellEnd"/>
            <w:r w:rsidRPr="0088047A">
              <w:rPr>
                <w:lang w:val="en-GB"/>
              </w:rPr>
              <w:t xml:space="preserve">. 1 of Ordinance No. 1/2010 11.04.2011 </w:t>
            </w:r>
            <w:r w:rsidR="002C55A1">
              <w:rPr>
                <w:lang w:val="en-GB"/>
              </w:rPr>
              <w:t xml:space="preserve">for </w:t>
            </w:r>
            <w:r w:rsidRPr="0088047A">
              <w:rPr>
                <w:lang w:val="en-GB"/>
              </w:rPr>
              <w:t>water monitoring, the Minister of environment and water organizes and manages the monitoring of waters.</w:t>
            </w:r>
          </w:p>
          <w:p w:rsidR="0088047A" w:rsidRPr="0088047A" w:rsidRDefault="0088047A" w:rsidP="00E82000">
            <w:pPr>
              <w:pStyle w:val="BodyText"/>
              <w:spacing w:line="240" w:lineRule="auto"/>
              <w:rPr>
                <w:color w:val="0000FF"/>
                <w:u w:val="single"/>
                <w:lang w:val="en-GB"/>
              </w:rPr>
            </w:pPr>
            <w:r w:rsidRPr="0088047A">
              <w:rPr>
                <w:b/>
                <w:lang w:val="en-GB"/>
              </w:rPr>
              <w:t>URL</w:t>
            </w:r>
            <w:r w:rsidRPr="0088047A">
              <w:rPr>
                <w:lang w:val="en-GB"/>
              </w:rPr>
              <w:t xml:space="preserve">: </w:t>
            </w:r>
            <w:hyperlink r:id="rId8" w:history="1">
              <w:r w:rsidRPr="0088047A">
                <w:rPr>
                  <w:rStyle w:val="Hyperlink"/>
                  <w:rFonts w:cs="Arial Unicode MS"/>
                  <w:lang w:val="en-GB"/>
                </w:rPr>
                <w:t>http://www.moew.government.bg/</w:t>
              </w:r>
            </w:hyperlink>
          </w:p>
          <w:p w:rsidR="000A6194" w:rsidRPr="0088047A" w:rsidRDefault="000A6194" w:rsidP="00E82000">
            <w:pPr>
              <w:pStyle w:val="BodyText"/>
              <w:spacing w:line="240" w:lineRule="auto"/>
              <w:rPr>
                <w:b/>
                <w:lang w:val="en-GB"/>
              </w:rPr>
            </w:pPr>
            <w:r w:rsidRPr="0088047A">
              <w:rPr>
                <w:b/>
                <w:lang w:val="en-GB"/>
              </w:rPr>
              <w:t>Black Sea Basin Directorate</w:t>
            </w:r>
          </w:p>
          <w:p w:rsidR="0088047A" w:rsidRPr="0088047A" w:rsidRDefault="0088047A" w:rsidP="0088047A">
            <w:pPr>
              <w:pStyle w:val="BodyText"/>
              <w:spacing w:line="240" w:lineRule="auto"/>
              <w:rPr>
                <w:lang w:val="en-GB"/>
              </w:rPr>
            </w:pPr>
            <w:r w:rsidRPr="0088047A">
              <w:rPr>
                <w:lang w:val="en-GB"/>
              </w:rPr>
              <w:t>According to art. 155, paragraph 4 (</w:t>
            </w:r>
            <w:r w:rsidR="002C55A1">
              <w:rPr>
                <w:lang w:val="en-GB"/>
              </w:rPr>
              <w:t>b</w:t>
            </w:r>
            <w:r w:rsidRPr="0088047A">
              <w:rPr>
                <w:lang w:val="en-GB"/>
              </w:rPr>
              <w:t xml:space="preserve">) of the Water Act, art. 107, </w:t>
            </w:r>
            <w:proofErr w:type="spellStart"/>
            <w:r w:rsidRPr="0088047A">
              <w:rPr>
                <w:lang w:val="en-GB"/>
              </w:rPr>
              <w:t>para</w:t>
            </w:r>
            <w:proofErr w:type="spellEnd"/>
            <w:r w:rsidRPr="0088047A">
              <w:rPr>
                <w:lang w:val="en-GB"/>
              </w:rPr>
              <w:t>. 1 of Ordinance No. 1/2010 11.04.2011</w:t>
            </w:r>
            <w:r w:rsidR="00444DA8">
              <w:rPr>
                <w:lang w:val="en-GB"/>
              </w:rPr>
              <w:t xml:space="preserve"> for </w:t>
            </w:r>
            <w:r w:rsidRPr="0088047A">
              <w:rPr>
                <w:lang w:val="en-GB"/>
              </w:rPr>
              <w:t>water monitoring and art. 3, al. 4, item 4 and item 5 of the Ordinance for the protection of the environment in marine waters, the Director of the Black Sea basin Directorate -Varna plan</w:t>
            </w:r>
            <w:r w:rsidR="00444DA8">
              <w:rPr>
                <w:lang w:val="en-GB"/>
              </w:rPr>
              <w:t>s</w:t>
            </w:r>
            <w:r w:rsidRPr="0088047A">
              <w:rPr>
                <w:lang w:val="en-GB"/>
              </w:rPr>
              <w:t xml:space="preserve"> and participate</w:t>
            </w:r>
            <w:r w:rsidR="00444DA8">
              <w:rPr>
                <w:lang w:val="en-GB"/>
              </w:rPr>
              <w:t>s</w:t>
            </w:r>
            <w:r w:rsidRPr="0088047A">
              <w:rPr>
                <w:lang w:val="en-GB"/>
              </w:rPr>
              <w:t xml:space="preserve"> in </w:t>
            </w:r>
            <w:r w:rsidR="00444DA8">
              <w:rPr>
                <w:lang w:val="en-GB"/>
              </w:rPr>
              <w:t xml:space="preserve">the </w:t>
            </w:r>
            <w:r w:rsidRPr="0088047A">
              <w:rPr>
                <w:lang w:val="en-GB"/>
              </w:rPr>
              <w:t xml:space="preserve">monitoring of waters, summarizes and </w:t>
            </w:r>
            <w:r w:rsidR="009D72F8" w:rsidRPr="0088047A">
              <w:rPr>
                <w:lang w:val="en-GB"/>
              </w:rPr>
              <w:t>analyses</w:t>
            </w:r>
            <w:r w:rsidRPr="0088047A">
              <w:rPr>
                <w:lang w:val="en-GB"/>
              </w:rPr>
              <w:t xml:space="preserve"> the data, including the ecological and chemical status of waters.</w:t>
            </w:r>
          </w:p>
          <w:p w:rsidR="0088047A" w:rsidRPr="0088047A" w:rsidRDefault="0088047A" w:rsidP="0088047A">
            <w:pPr>
              <w:pStyle w:val="BodyText"/>
              <w:spacing w:line="240" w:lineRule="auto"/>
              <w:rPr>
                <w:color w:val="0000FF"/>
                <w:u w:val="single"/>
                <w:lang w:val="en-GB"/>
              </w:rPr>
            </w:pPr>
            <w:r w:rsidRPr="0088047A">
              <w:rPr>
                <w:b/>
                <w:lang w:val="en-GB"/>
              </w:rPr>
              <w:t>URL</w:t>
            </w:r>
            <w:r w:rsidRPr="0088047A">
              <w:rPr>
                <w:lang w:val="en-GB"/>
              </w:rPr>
              <w:t xml:space="preserve">: </w:t>
            </w:r>
            <w:hyperlink r:id="rId9" w:history="1">
              <w:r w:rsidRPr="0088047A">
                <w:rPr>
                  <w:rStyle w:val="Hyperlink"/>
                  <w:rFonts w:cs="Arial Unicode MS"/>
                  <w:lang w:val="en-GB"/>
                </w:rPr>
                <w:t>http://www.bsbd.org/</w:t>
              </w:r>
            </w:hyperlink>
          </w:p>
          <w:p w:rsidR="0088047A" w:rsidRPr="0088047A" w:rsidRDefault="0088047A" w:rsidP="0088047A">
            <w:pPr>
              <w:pStyle w:val="BodyText"/>
              <w:spacing w:after="0" w:line="240" w:lineRule="auto"/>
              <w:rPr>
                <w:rFonts w:cs="Times New Roman"/>
                <w:b/>
                <w:lang w:val="en-GB" w:eastAsia="bg-BG"/>
              </w:rPr>
            </w:pPr>
            <w:r w:rsidRPr="0088047A">
              <w:rPr>
                <w:rFonts w:cs="Times New Roman"/>
                <w:b/>
                <w:lang w:val="en-GB" w:eastAsia="bg-BG"/>
              </w:rPr>
              <w:t xml:space="preserve">Executive </w:t>
            </w:r>
            <w:r w:rsidR="009D72F8" w:rsidRPr="0088047A">
              <w:rPr>
                <w:rFonts w:cs="Times New Roman"/>
                <w:b/>
                <w:lang w:val="en-GB" w:eastAsia="bg-BG"/>
              </w:rPr>
              <w:t>Environment</w:t>
            </w:r>
            <w:r w:rsidRPr="0088047A">
              <w:rPr>
                <w:rFonts w:cs="Times New Roman"/>
                <w:b/>
                <w:lang w:val="en-GB" w:eastAsia="bg-BG"/>
              </w:rPr>
              <w:t xml:space="preserve"> Agency (</w:t>
            </w:r>
            <w:proofErr w:type="spellStart"/>
            <w:r w:rsidRPr="0088047A">
              <w:rPr>
                <w:rFonts w:cs="Times New Roman"/>
                <w:b/>
                <w:lang w:val="en-GB" w:eastAsia="bg-BG"/>
              </w:rPr>
              <w:t>ExEA</w:t>
            </w:r>
            <w:proofErr w:type="spellEnd"/>
            <w:r w:rsidRPr="0088047A">
              <w:rPr>
                <w:rFonts w:cs="Times New Roman"/>
                <w:b/>
                <w:lang w:val="en-GB" w:eastAsia="bg-BG"/>
              </w:rPr>
              <w:t xml:space="preserve">) </w:t>
            </w:r>
          </w:p>
          <w:p w:rsidR="0088047A" w:rsidRPr="0088047A" w:rsidRDefault="0088047A" w:rsidP="0088047A">
            <w:pPr>
              <w:pStyle w:val="BodyText"/>
              <w:spacing w:line="240" w:lineRule="auto"/>
              <w:rPr>
                <w:color w:val="000000"/>
                <w:shd w:val="clear" w:color="auto" w:fill="FEFEFE"/>
                <w:lang w:val="en-GB"/>
              </w:rPr>
            </w:pPr>
            <w:r w:rsidRPr="0088047A">
              <w:rPr>
                <w:color w:val="000000"/>
                <w:shd w:val="clear" w:color="auto" w:fill="FEFEFE"/>
                <w:lang w:val="en-GB"/>
              </w:rPr>
              <w:t xml:space="preserve">According to art. 13, </w:t>
            </w:r>
            <w:proofErr w:type="spellStart"/>
            <w:r w:rsidRPr="0088047A">
              <w:rPr>
                <w:color w:val="000000"/>
                <w:shd w:val="clear" w:color="auto" w:fill="FEFEFE"/>
                <w:lang w:val="en-GB"/>
              </w:rPr>
              <w:t>para</w:t>
            </w:r>
            <w:proofErr w:type="spellEnd"/>
            <w:r w:rsidRPr="0088047A">
              <w:rPr>
                <w:color w:val="000000"/>
                <w:shd w:val="clear" w:color="auto" w:fill="FEFEFE"/>
                <w:lang w:val="en-GB"/>
              </w:rPr>
              <w:t xml:space="preserve">. 11 of the </w:t>
            </w:r>
            <w:r w:rsidR="00B62D28">
              <w:rPr>
                <w:color w:val="000000"/>
                <w:shd w:val="clear" w:color="auto" w:fill="FEFEFE"/>
                <w:lang w:val="en-GB"/>
              </w:rPr>
              <w:t>Environmental Protection Act</w:t>
            </w:r>
            <w:r w:rsidRPr="0088047A">
              <w:rPr>
                <w:color w:val="000000"/>
                <w:shd w:val="clear" w:color="auto" w:fill="FEFEFE"/>
                <w:lang w:val="en-GB"/>
              </w:rPr>
              <w:t xml:space="preserve">, the Executive Environment Agency carries out the management of the </w:t>
            </w:r>
            <w:r w:rsidR="009D72F8" w:rsidRPr="009D72F8">
              <w:rPr>
                <w:color w:val="000000"/>
                <w:shd w:val="clear" w:color="auto" w:fill="FEFEFE"/>
                <w:lang w:val="en-GB"/>
              </w:rPr>
              <w:t>National System for Environmental Monitoring</w:t>
            </w:r>
            <w:r w:rsidRPr="0088047A">
              <w:rPr>
                <w:color w:val="000000"/>
                <w:shd w:val="clear" w:color="auto" w:fill="FEFEFE"/>
                <w:lang w:val="en-GB"/>
              </w:rPr>
              <w:t xml:space="preserve">, including </w:t>
            </w:r>
            <w:r w:rsidR="009D72F8">
              <w:rPr>
                <w:color w:val="000000"/>
                <w:shd w:val="clear" w:color="auto" w:fill="FEFEFE"/>
                <w:lang w:val="en-GB"/>
              </w:rPr>
              <w:t xml:space="preserve">the </w:t>
            </w:r>
            <w:r w:rsidRPr="0088047A">
              <w:rPr>
                <w:color w:val="000000"/>
                <w:shd w:val="clear" w:color="auto" w:fill="FEFEFE"/>
                <w:lang w:val="en-GB"/>
              </w:rPr>
              <w:t xml:space="preserve">monitoring of </w:t>
            </w:r>
            <w:r w:rsidR="009D72F8">
              <w:rPr>
                <w:color w:val="000000"/>
                <w:shd w:val="clear" w:color="auto" w:fill="FEFEFE"/>
                <w:lang w:val="en-GB"/>
              </w:rPr>
              <w:t xml:space="preserve">the </w:t>
            </w:r>
            <w:r w:rsidRPr="0088047A">
              <w:rPr>
                <w:color w:val="000000"/>
                <w:shd w:val="clear" w:color="auto" w:fill="FEFEFE"/>
                <w:lang w:val="en-GB"/>
              </w:rPr>
              <w:t>biodiversity as a part of this system;</w:t>
            </w:r>
          </w:p>
          <w:p w:rsidR="0088047A" w:rsidRPr="0088047A" w:rsidRDefault="0088047A" w:rsidP="0088047A">
            <w:pPr>
              <w:pStyle w:val="BodyText"/>
              <w:spacing w:line="240" w:lineRule="auto"/>
              <w:rPr>
                <w:color w:val="0000FF"/>
                <w:u w:val="single"/>
                <w:lang w:val="bg-BG"/>
              </w:rPr>
            </w:pPr>
            <w:r w:rsidRPr="0088047A">
              <w:rPr>
                <w:b/>
                <w:lang w:val="en-GB"/>
              </w:rPr>
              <w:t>URL</w:t>
            </w:r>
            <w:r w:rsidRPr="0088047A">
              <w:rPr>
                <w:lang w:val="en-GB"/>
              </w:rPr>
              <w:t xml:space="preserve">: </w:t>
            </w:r>
            <w:hyperlink r:id="rId10" w:history="1">
              <w:r w:rsidRPr="0088047A">
                <w:rPr>
                  <w:rStyle w:val="Hyperlink"/>
                  <w:lang w:val="en-GB" w:eastAsia="bg-BG"/>
                </w:rPr>
                <w:t>http://eea.government.bg/en</w:t>
              </w:r>
            </w:hyperlink>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1.4 Monitoring institutions</w:t>
            </w:r>
          </w:p>
        </w:tc>
        <w:tc>
          <w:tcPr>
            <w:tcW w:w="12617" w:type="dxa"/>
          </w:tcPr>
          <w:p w:rsidR="00814054" w:rsidRPr="0024548B" w:rsidRDefault="00814054" w:rsidP="00814054">
            <w:pPr>
              <w:pStyle w:val="BodyText"/>
              <w:spacing w:line="240" w:lineRule="auto"/>
              <w:rPr>
                <w:i/>
                <w:lang w:val="en-GB"/>
              </w:rPr>
            </w:pPr>
            <w:r w:rsidRPr="0024548B">
              <w:rPr>
                <w:i/>
                <w:lang w:val="en-GB"/>
              </w:rPr>
              <w:t xml:space="preserve">Which institutions carry out the monitoring etc. (links to </w:t>
            </w:r>
            <w:r>
              <w:rPr>
                <w:i/>
                <w:lang w:val="en-GB"/>
              </w:rPr>
              <w:t>web page</w:t>
            </w:r>
            <w:r w:rsidRPr="0024548B">
              <w:rPr>
                <w:i/>
                <w:lang w:val="en-GB"/>
              </w:rPr>
              <w:t>)</w:t>
            </w:r>
          </w:p>
          <w:p w:rsidR="00814054" w:rsidRDefault="00814054" w:rsidP="00814054">
            <w:pPr>
              <w:pStyle w:val="BodyText"/>
              <w:spacing w:line="240" w:lineRule="auto"/>
              <w:rPr>
                <w:lang w:val="en-GB"/>
              </w:rPr>
            </w:pPr>
            <w:r w:rsidRPr="00FF0F49">
              <w:rPr>
                <w:b/>
                <w:lang w:val="en-GB"/>
              </w:rPr>
              <w:t xml:space="preserve">Monitoring of </w:t>
            </w:r>
            <w:r>
              <w:rPr>
                <w:b/>
                <w:lang w:val="en-GB"/>
              </w:rPr>
              <w:t>marine</w:t>
            </w:r>
            <w:r w:rsidRPr="00FF0F49">
              <w:rPr>
                <w:b/>
                <w:lang w:val="en-GB"/>
              </w:rPr>
              <w:t xml:space="preserve"> waters</w:t>
            </w:r>
            <w:r w:rsidRPr="00FF0F49">
              <w:rPr>
                <w:lang w:val="en-GB"/>
              </w:rPr>
              <w:t xml:space="preserve"> </w:t>
            </w:r>
            <w:r>
              <w:rPr>
                <w:lang w:val="en-GB"/>
              </w:rPr>
              <w:t xml:space="preserve">– </w:t>
            </w:r>
            <w:r w:rsidRPr="00FF0F49">
              <w:rPr>
                <w:b/>
                <w:lang w:val="en-GB"/>
              </w:rPr>
              <w:t>Institute of Oceanology, Bulgarian Academy of Sciences (IO-BAS)</w:t>
            </w:r>
            <w:r w:rsidRPr="00FF0F49">
              <w:rPr>
                <w:lang w:val="en-GB"/>
              </w:rPr>
              <w:t xml:space="preserve">. </w:t>
            </w:r>
          </w:p>
          <w:p w:rsidR="00814054" w:rsidRDefault="00814054" w:rsidP="00814054">
            <w:pPr>
              <w:pStyle w:val="BodyText"/>
              <w:spacing w:line="240" w:lineRule="auto"/>
              <w:rPr>
                <w:lang w:val="en-GB"/>
              </w:rPr>
            </w:pPr>
            <w:r w:rsidRPr="00FF0F49">
              <w:rPr>
                <w:lang w:val="en-GB"/>
              </w:rPr>
              <w:t>Its responsibilities are defined in Art. 171</w:t>
            </w:r>
            <w:r>
              <w:rPr>
                <w:lang w:val="en-GB"/>
              </w:rPr>
              <w:t xml:space="preserve">, </w:t>
            </w:r>
            <w:proofErr w:type="spellStart"/>
            <w:r>
              <w:rPr>
                <w:lang w:val="en-GB"/>
              </w:rPr>
              <w:t>para</w:t>
            </w:r>
            <w:proofErr w:type="spellEnd"/>
            <w:r>
              <w:rPr>
                <w:lang w:val="en-GB"/>
              </w:rPr>
              <w:t>. 2, point</w:t>
            </w:r>
            <w:r w:rsidRPr="00FF0F49">
              <w:rPr>
                <w:lang w:val="en-GB"/>
              </w:rPr>
              <w:t xml:space="preserve"> 3 of the Water Act and Art. 3, paragraph 11 of the Regulation on the protection of the environment in marine waters, approved by Decree № 273 from 23.11.2010, Prom. SG № 94 dated 30.11.2010, effective from 30.11.2010.</w:t>
            </w:r>
            <w:bookmarkStart w:id="0" w:name="_GoBack"/>
            <w:bookmarkEnd w:id="0"/>
          </w:p>
          <w:p w:rsidR="00B4771D" w:rsidRPr="007F7BC1" w:rsidRDefault="00814054" w:rsidP="00814054">
            <w:pPr>
              <w:pStyle w:val="BodyText"/>
              <w:spacing w:line="240" w:lineRule="auto"/>
              <w:rPr>
                <w:lang w:val="en-GB"/>
              </w:rPr>
            </w:pPr>
            <w:r w:rsidRPr="009B2F2F">
              <w:rPr>
                <w:b/>
                <w:lang w:val="en-GB"/>
              </w:rPr>
              <w:t>URL</w:t>
            </w:r>
            <w:r w:rsidRPr="00FF0F49">
              <w:rPr>
                <w:lang w:val="en-GB"/>
              </w:rPr>
              <w:t xml:space="preserve">: </w:t>
            </w:r>
            <w:r w:rsidRPr="00FF0F49">
              <w:rPr>
                <w:lang w:val="en-GB" w:eastAsia="hi-IN" w:bidi="hi-IN"/>
              </w:rPr>
              <w:t xml:space="preserve"> </w:t>
            </w:r>
            <w:hyperlink r:id="rId11" w:history="1">
              <w:r w:rsidRPr="00FF0F49">
                <w:rPr>
                  <w:color w:val="0000FF"/>
                  <w:u w:val="single"/>
                  <w:lang w:val="en-GB" w:eastAsia="hi-IN" w:bidi="hi-IN"/>
                </w:rPr>
                <w:t>www.io-bas.bg</w:t>
              </w:r>
            </w:hyperlink>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1.5 Additional information</w:t>
            </w:r>
          </w:p>
        </w:tc>
        <w:tc>
          <w:tcPr>
            <w:tcW w:w="12617" w:type="dxa"/>
          </w:tcPr>
          <w:p w:rsidR="000A6194" w:rsidRPr="007F7BC1" w:rsidRDefault="000A6194" w:rsidP="00E82000">
            <w:pPr>
              <w:pStyle w:val="BodyText"/>
              <w:spacing w:line="240" w:lineRule="auto"/>
              <w:rPr>
                <w:i/>
                <w:lang w:val="en-GB"/>
              </w:rPr>
            </w:pPr>
            <w:r w:rsidRPr="007F7BC1">
              <w:rPr>
                <w:i/>
                <w:lang w:val="en-GB"/>
              </w:rPr>
              <w:t>Where can additional information be found (e.g. via a web link)</w:t>
            </w:r>
          </w:p>
          <w:p w:rsidR="000A6194" w:rsidRPr="007F7BC1" w:rsidRDefault="000A6194" w:rsidP="00E82000">
            <w:pPr>
              <w:pStyle w:val="BodyText"/>
              <w:spacing w:after="0" w:line="240" w:lineRule="auto"/>
              <w:rPr>
                <w:b/>
                <w:lang w:val="en-GB"/>
              </w:rPr>
            </w:pPr>
            <w:r w:rsidRPr="007F7BC1">
              <w:rPr>
                <w:b/>
                <w:lang w:val="en-GB"/>
              </w:rPr>
              <w:t>Commission for the Protection of the Black Sea Against Pollution</w:t>
            </w:r>
          </w:p>
          <w:p w:rsidR="000A6194" w:rsidRPr="007F7BC1" w:rsidRDefault="000A6194" w:rsidP="00E82000">
            <w:pPr>
              <w:pStyle w:val="BodyText"/>
              <w:spacing w:line="240" w:lineRule="auto"/>
              <w:rPr>
                <w:lang w:val="en-GB"/>
              </w:rPr>
            </w:pPr>
            <w:r w:rsidRPr="007F7BC1">
              <w:rPr>
                <w:lang w:val="en-GB"/>
              </w:rPr>
              <w:t xml:space="preserve">URL: </w:t>
            </w:r>
            <w:hyperlink r:id="rId12" w:history="1">
              <w:r w:rsidRPr="007F7BC1">
                <w:rPr>
                  <w:rStyle w:val="Hyperlink"/>
                  <w:rFonts w:cs="Arial Unicode MS"/>
                  <w:lang w:val="en-GB"/>
                </w:rPr>
                <w:t>http://www.blacksea-commission.org/</w:t>
              </w:r>
            </w:hyperlink>
          </w:p>
          <w:p w:rsidR="000A6194" w:rsidRPr="007F7BC1" w:rsidRDefault="000A6194" w:rsidP="00E82000">
            <w:pPr>
              <w:pStyle w:val="BodyText"/>
              <w:spacing w:line="240" w:lineRule="auto"/>
              <w:rPr>
                <w:b/>
                <w:lang w:val="en-GB"/>
              </w:rPr>
            </w:pPr>
            <w:r w:rsidRPr="007F7BC1">
              <w:rPr>
                <w:b/>
                <w:lang w:val="en-GB"/>
              </w:rPr>
              <w:t xml:space="preserve">Black Sea </w:t>
            </w:r>
            <w:proofErr w:type="spellStart"/>
            <w:r w:rsidRPr="007F7BC1">
              <w:rPr>
                <w:b/>
                <w:lang w:val="en-GB"/>
              </w:rPr>
              <w:t>transboundary</w:t>
            </w:r>
            <w:proofErr w:type="spellEnd"/>
            <w:r w:rsidRPr="007F7BC1">
              <w:rPr>
                <w:b/>
                <w:lang w:val="en-GB"/>
              </w:rPr>
              <w:t xml:space="preserve"> diagnostic analysis (TDA)</w:t>
            </w:r>
          </w:p>
          <w:p w:rsidR="000A6194" w:rsidRPr="00CE0381" w:rsidRDefault="000A6194" w:rsidP="00E82000">
            <w:pPr>
              <w:pStyle w:val="BodyText"/>
              <w:spacing w:line="240" w:lineRule="auto"/>
              <w:rPr>
                <w:lang w:val="en-GB"/>
              </w:rPr>
            </w:pPr>
            <w:r w:rsidRPr="007F7BC1">
              <w:rPr>
                <w:lang w:val="en-GB"/>
              </w:rPr>
              <w:t xml:space="preserve">URL: </w:t>
            </w:r>
            <w:hyperlink r:id="rId13" w:history="1">
              <w:r w:rsidRPr="007F7BC1">
                <w:rPr>
                  <w:rStyle w:val="Hyperlink"/>
                  <w:rFonts w:cs="Arial Unicode MS"/>
                  <w:lang w:val="en-GB"/>
                </w:rPr>
                <w:t>http://www.blacksea-commission.org/_tda2008.asp</w:t>
              </w:r>
            </w:hyperlink>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color w:val="FFFFFF"/>
                <w:lang w:val="en-GB"/>
              </w:rPr>
            </w:pPr>
            <w:r w:rsidRPr="007F7BC1">
              <w:rPr>
                <w:color w:val="FFFFFF"/>
                <w:lang w:val="en-GB"/>
              </w:rPr>
              <w:t>2. Monitoring requirements and purpose</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2.1 Necessity</w:t>
            </w:r>
          </w:p>
        </w:tc>
        <w:tc>
          <w:tcPr>
            <w:tcW w:w="12617" w:type="dxa"/>
          </w:tcPr>
          <w:p w:rsidR="000A6194" w:rsidRPr="007F7BC1" w:rsidRDefault="000A6194" w:rsidP="00E82000">
            <w:pPr>
              <w:pStyle w:val="BodyText"/>
              <w:spacing w:line="240" w:lineRule="auto"/>
              <w:rPr>
                <w:i/>
                <w:lang w:val="en-GB"/>
              </w:rPr>
            </w:pPr>
            <w:r w:rsidRPr="007F7BC1">
              <w:rPr>
                <w:i/>
                <w:lang w:val="en-GB"/>
              </w:rPr>
              <w:t>Listed below are direct references to the monitoring requirements – EU directives, Black Sea Commission agreements, national plans, research programme requirements, etc.</w:t>
            </w:r>
          </w:p>
        </w:tc>
      </w:tr>
      <w:tr w:rsidR="000A6194" w:rsidRPr="007F7BC1" w:rsidTr="00814054">
        <w:tc>
          <w:tcPr>
            <w:tcW w:w="0" w:type="auto"/>
          </w:tcPr>
          <w:p w:rsidR="000A6194" w:rsidRPr="007F7BC1" w:rsidRDefault="000A6194" w:rsidP="00E82000">
            <w:pPr>
              <w:pStyle w:val="BodyText"/>
              <w:spacing w:line="240" w:lineRule="auto"/>
              <w:rPr>
                <w:lang w:val="en-GB"/>
              </w:rPr>
            </w:pPr>
            <w:r w:rsidRPr="007F7BC1">
              <w:rPr>
                <w:lang w:val="en-GB"/>
              </w:rPr>
              <w:t>MSFD</w:t>
            </w:r>
          </w:p>
          <w:p w:rsidR="000A6194" w:rsidRPr="007F7BC1" w:rsidRDefault="000A6194" w:rsidP="00E82000">
            <w:pPr>
              <w:pStyle w:val="BodyText"/>
              <w:spacing w:line="240" w:lineRule="auto"/>
              <w:rPr>
                <w:lang w:val="en-GB"/>
              </w:rPr>
            </w:pPr>
            <w:r w:rsidRPr="007F7BC1">
              <w:rPr>
                <w:lang w:val="en-GB"/>
              </w:rPr>
              <w:t>Article 11</w:t>
            </w:r>
          </w:p>
          <w:p w:rsidR="000A6194" w:rsidRPr="007F7BC1" w:rsidRDefault="000A6194" w:rsidP="00E82000">
            <w:pPr>
              <w:pStyle w:val="BodyText"/>
              <w:spacing w:line="240" w:lineRule="auto"/>
              <w:rPr>
                <w:lang w:val="en-GB"/>
              </w:rPr>
            </w:pPr>
            <w:r w:rsidRPr="007F7BC1">
              <w:rPr>
                <w:lang w:val="en-GB"/>
              </w:rPr>
              <w:t xml:space="preserve">Article 8 </w:t>
            </w:r>
          </w:p>
          <w:p w:rsidR="000A6194" w:rsidRPr="007F7BC1" w:rsidRDefault="000A6194" w:rsidP="00E82000">
            <w:pPr>
              <w:pStyle w:val="BodyText"/>
              <w:spacing w:line="240" w:lineRule="auto"/>
              <w:rPr>
                <w:lang w:val="en-GB"/>
              </w:rPr>
            </w:pPr>
            <w:r w:rsidRPr="007F7BC1">
              <w:rPr>
                <w:lang w:val="en-GB"/>
              </w:rPr>
              <w:t>Annexe III</w:t>
            </w:r>
          </w:p>
          <w:p w:rsidR="000A6194" w:rsidRPr="007F7BC1" w:rsidRDefault="000A6194" w:rsidP="00E82000">
            <w:pPr>
              <w:pStyle w:val="BodyText"/>
              <w:spacing w:line="240" w:lineRule="auto"/>
              <w:rPr>
                <w:lang w:val="en-GB"/>
              </w:rPr>
            </w:pPr>
            <w:r w:rsidRPr="007F7BC1">
              <w:rPr>
                <w:lang w:val="en-GB"/>
              </w:rPr>
              <w:t>Annexe V</w:t>
            </w:r>
          </w:p>
          <w:p w:rsidR="000A6194" w:rsidRPr="007F7BC1" w:rsidRDefault="000A6194" w:rsidP="00E82000">
            <w:pPr>
              <w:pStyle w:val="BodyText"/>
              <w:spacing w:line="240" w:lineRule="auto"/>
              <w:rPr>
                <w:lang w:val="en-GB"/>
              </w:rPr>
            </w:pPr>
          </w:p>
        </w:tc>
        <w:tc>
          <w:tcPr>
            <w:tcW w:w="12617" w:type="dxa"/>
          </w:tcPr>
          <w:p w:rsidR="000A6194" w:rsidRPr="007F7BC1" w:rsidRDefault="000A6194" w:rsidP="00E82000">
            <w:pPr>
              <w:pStyle w:val="BodyText"/>
              <w:spacing w:line="240" w:lineRule="auto"/>
              <w:rPr>
                <w:i/>
                <w:lang w:val="en-GB"/>
              </w:rPr>
            </w:pPr>
            <w:r w:rsidRPr="007F7BC1">
              <w:rPr>
                <w:i/>
                <w:lang w:val="en-GB"/>
              </w:rPr>
              <w:t>Comments</w:t>
            </w:r>
          </w:p>
          <w:p w:rsidR="00E01759" w:rsidRDefault="000A6194" w:rsidP="00DF299A">
            <w:pPr>
              <w:pStyle w:val="BodyText"/>
              <w:spacing w:line="240" w:lineRule="auto"/>
              <w:rPr>
                <w:lang w:val="en-GB"/>
              </w:rPr>
            </w:pPr>
            <w:r w:rsidRPr="007F7BC1">
              <w:rPr>
                <w:b/>
                <w:lang w:val="en-GB"/>
              </w:rPr>
              <w:t>Art. 11</w:t>
            </w:r>
            <w:r w:rsidRPr="007F7BC1">
              <w:rPr>
                <w:lang w:val="en-GB"/>
              </w:rPr>
              <w:t xml:space="preserve"> </w:t>
            </w:r>
            <w:r w:rsidR="00E01759">
              <w:rPr>
                <w:lang w:val="en-GB"/>
              </w:rPr>
              <w:t>Monitoring programmes</w:t>
            </w:r>
          </w:p>
          <w:p w:rsidR="000A6194" w:rsidRPr="007F7BC1" w:rsidRDefault="000A6194" w:rsidP="00DF299A">
            <w:pPr>
              <w:pStyle w:val="BodyText"/>
              <w:spacing w:line="240" w:lineRule="auto"/>
              <w:rPr>
                <w:lang w:val="en-GB"/>
              </w:rPr>
            </w:pPr>
            <w:r w:rsidRPr="007F7BC1">
              <w:rPr>
                <w:lang w:val="en-GB"/>
              </w:rPr>
              <w:t xml:space="preserve">(1) On the basis of the initial assessment made pursuant to Article 8(1), Member States shall establish and implement coordinated monitoring programmes for the </w:t>
            </w:r>
            <w:proofErr w:type="spellStart"/>
            <w:r w:rsidRPr="007F7BC1">
              <w:rPr>
                <w:lang w:val="en-GB"/>
              </w:rPr>
              <w:t>ongoing</w:t>
            </w:r>
            <w:proofErr w:type="spellEnd"/>
            <w:r w:rsidRPr="007F7BC1">
              <w:rPr>
                <w:lang w:val="en-GB"/>
              </w:rPr>
              <w:t xml:space="preserve"> assessment of the environmental status of their marine waters on the basis of the indicative lists of elements set out in Annex III and the list set out in Annex V, and by reference to the environmental targets established pursuant to Article 10.</w:t>
            </w:r>
          </w:p>
          <w:p w:rsidR="000A6194" w:rsidRPr="007F7BC1" w:rsidRDefault="000A6194" w:rsidP="00DF299A">
            <w:pPr>
              <w:pStyle w:val="BodyText"/>
              <w:spacing w:line="240" w:lineRule="auto"/>
              <w:rPr>
                <w:b/>
                <w:lang w:val="en-GB"/>
              </w:rPr>
            </w:pPr>
            <w:r w:rsidRPr="007F7BC1">
              <w:rPr>
                <w:b/>
                <w:lang w:val="en-GB"/>
              </w:rPr>
              <w:t>Annex III, Table 1:</w:t>
            </w:r>
          </w:p>
          <w:p w:rsidR="000A6194" w:rsidRPr="007F7BC1" w:rsidRDefault="000A6194" w:rsidP="00F14ABC">
            <w:pPr>
              <w:pStyle w:val="BodyText"/>
              <w:spacing w:line="240" w:lineRule="auto"/>
              <w:rPr>
                <w:lang w:val="en-GB"/>
              </w:rPr>
            </w:pPr>
            <w:r w:rsidRPr="007F7BC1">
              <w:rPr>
                <w:lang w:val="en-GB"/>
              </w:rPr>
              <w:t xml:space="preserve">—a description of the population dynamics, natural and actual range and status of species of marine mammals and reptiles occurring in the marine region or </w:t>
            </w:r>
            <w:proofErr w:type="spellStart"/>
            <w:r w:rsidRPr="007F7BC1">
              <w:rPr>
                <w:lang w:val="en-GB"/>
              </w:rPr>
              <w:t>subregion</w:t>
            </w:r>
            <w:proofErr w:type="spellEnd"/>
            <w:r w:rsidRPr="007F7BC1">
              <w:rPr>
                <w:lang w:val="en-GB"/>
              </w:rPr>
              <w:t>,</w:t>
            </w:r>
          </w:p>
          <w:p w:rsidR="000A6194" w:rsidRPr="007F7BC1" w:rsidRDefault="000A6194" w:rsidP="00DF299A">
            <w:pPr>
              <w:pStyle w:val="BodyText"/>
              <w:spacing w:line="240" w:lineRule="auto"/>
              <w:rPr>
                <w:b/>
                <w:lang w:val="en-GB"/>
              </w:rPr>
            </w:pPr>
            <w:r w:rsidRPr="007F7BC1">
              <w:rPr>
                <w:b/>
                <w:lang w:val="en-GB"/>
              </w:rPr>
              <w:t>Annex III, Table 2:</w:t>
            </w:r>
          </w:p>
          <w:p w:rsidR="000A6194" w:rsidRPr="007F7BC1" w:rsidRDefault="000A6194" w:rsidP="00DF299A">
            <w:pPr>
              <w:pStyle w:val="Normal1"/>
              <w:spacing w:after="0" w:line="240" w:lineRule="auto"/>
              <w:jc w:val="both"/>
              <w:rPr>
                <w:lang w:val="en-GB"/>
              </w:rPr>
            </w:pPr>
            <w:r w:rsidRPr="007F7BC1">
              <w:rPr>
                <w:lang w:val="en-GB"/>
              </w:rPr>
              <w:t>—selective extraction of species, including incidental non-target catches (e.g. by commercial and recreational fishing).</w:t>
            </w:r>
          </w:p>
        </w:tc>
      </w:tr>
      <w:tr w:rsidR="000A6194" w:rsidRPr="007F7BC1" w:rsidTr="00814054">
        <w:tc>
          <w:tcPr>
            <w:tcW w:w="0" w:type="auto"/>
          </w:tcPr>
          <w:p w:rsidR="000A6194" w:rsidRPr="007F7BC1" w:rsidRDefault="000A6194" w:rsidP="002E4BBE">
            <w:pPr>
              <w:pStyle w:val="BodyText"/>
              <w:spacing w:line="240" w:lineRule="auto"/>
              <w:rPr>
                <w:b/>
                <w:lang w:val="en-GB"/>
              </w:rPr>
            </w:pPr>
            <w:r w:rsidRPr="007F7BC1">
              <w:rPr>
                <w:b/>
                <w:lang w:val="en-GB"/>
              </w:rPr>
              <w:t>Habitats Directive (Directive 92/43/EEC)</w:t>
            </w:r>
          </w:p>
          <w:p w:rsidR="000A6194" w:rsidRPr="007F7BC1" w:rsidRDefault="000A6194" w:rsidP="002E4BBE">
            <w:pPr>
              <w:pStyle w:val="BodyText"/>
              <w:spacing w:line="240" w:lineRule="auto"/>
              <w:rPr>
                <w:lang w:val="en-GB"/>
              </w:rPr>
            </w:pPr>
            <w:r w:rsidRPr="007F7BC1">
              <w:rPr>
                <w:b/>
                <w:lang w:val="en-GB"/>
              </w:rPr>
              <w:t>Article 11</w:t>
            </w:r>
          </w:p>
        </w:tc>
        <w:tc>
          <w:tcPr>
            <w:tcW w:w="12617" w:type="dxa"/>
          </w:tcPr>
          <w:p w:rsidR="000A6194" w:rsidRPr="007F7BC1" w:rsidRDefault="000A6194" w:rsidP="00E82000">
            <w:pPr>
              <w:pStyle w:val="BodyText"/>
              <w:spacing w:line="240" w:lineRule="auto"/>
              <w:rPr>
                <w:i/>
                <w:lang w:val="en-GB"/>
              </w:rPr>
            </w:pPr>
            <w:r w:rsidRPr="007F7BC1">
              <w:rPr>
                <w:i/>
                <w:lang w:val="en-GB"/>
              </w:rPr>
              <w:t>Comments</w:t>
            </w:r>
          </w:p>
          <w:p w:rsidR="000A6194" w:rsidRPr="00AC7225" w:rsidRDefault="000A6194" w:rsidP="001A533F">
            <w:pPr>
              <w:pStyle w:val="BodyText"/>
              <w:spacing w:line="240" w:lineRule="auto"/>
              <w:rPr>
                <w:b/>
                <w:lang w:val="en-GB"/>
              </w:rPr>
            </w:pPr>
            <w:r w:rsidRPr="00AC7225">
              <w:rPr>
                <w:b/>
                <w:lang w:val="en-GB"/>
              </w:rPr>
              <w:t>Habitat D</w:t>
            </w:r>
            <w:r w:rsidR="00AC7225" w:rsidRPr="00AC7225">
              <w:rPr>
                <w:b/>
                <w:lang w:val="en-GB"/>
              </w:rPr>
              <w:t>irective (Directive 79/409/EEC)</w:t>
            </w:r>
          </w:p>
          <w:p w:rsidR="000A6194" w:rsidRPr="007F7BC1" w:rsidRDefault="000A6194" w:rsidP="001A533F">
            <w:pPr>
              <w:pStyle w:val="BodyText"/>
              <w:spacing w:line="240" w:lineRule="auto"/>
              <w:rPr>
                <w:lang w:val="en-GB"/>
              </w:rPr>
            </w:pPr>
            <w:r w:rsidRPr="007F7BC1">
              <w:rPr>
                <w:rFonts w:cs="TimesNewRoman"/>
                <w:b/>
                <w:lang w:val="en-GB" w:eastAsia="ro-RO"/>
              </w:rPr>
              <w:t>Art. 11</w:t>
            </w:r>
            <w:r w:rsidRPr="007F7BC1">
              <w:rPr>
                <w:i/>
                <w:lang w:val="en-GB"/>
              </w:rPr>
              <w:t xml:space="preserve"> </w:t>
            </w:r>
            <w:r w:rsidRPr="007F7BC1">
              <w:rPr>
                <w:lang w:val="en-GB"/>
              </w:rPr>
              <w:t>Member States shall undertake surveillance of the conservation status of the natural habitats and species referred to in Article 2 with particular regard to priority natural habitat types and priority species.</w:t>
            </w:r>
          </w:p>
        </w:tc>
      </w:tr>
      <w:tr w:rsidR="000A6194" w:rsidRPr="007F7BC1" w:rsidTr="00814054">
        <w:tc>
          <w:tcPr>
            <w:tcW w:w="0" w:type="auto"/>
          </w:tcPr>
          <w:p w:rsidR="000A6194" w:rsidRPr="007F7BC1" w:rsidRDefault="000A6194" w:rsidP="002E4BBE">
            <w:pPr>
              <w:pStyle w:val="BodyText"/>
              <w:spacing w:line="240" w:lineRule="auto"/>
              <w:rPr>
                <w:b/>
                <w:lang w:val="en-GB"/>
              </w:rPr>
            </w:pPr>
            <w:r w:rsidRPr="007F7BC1">
              <w:rPr>
                <w:b/>
                <w:lang w:val="en-GB"/>
              </w:rPr>
              <w:t>Convention for the Protection of the Black Sea Against Pollution</w:t>
            </w:r>
          </w:p>
          <w:p w:rsidR="000A6194" w:rsidRPr="007F7BC1" w:rsidRDefault="000A6194" w:rsidP="002E4BBE">
            <w:pPr>
              <w:pStyle w:val="BodyText"/>
              <w:spacing w:line="240" w:lineRule="auto"/>
              <w:rPr>
                <w:lang w:val="en-GB"/>
              </w:rPr>
            </w:pPr>
            <w:r w:rsidRPr="007F7BC1">
              <w:rPr>
                <w:b/>
                <w:lang w:val="en-GB"/>
              </w:rPr>
              <w:t>Black Sea Strategic Action Plan (BS-SAP, 2009)</w:t>
            </w:r>
          </w:p>
        </w:tc>
        <w:tc>
          <w:tcPr>
            <w:tcW w:w="12617" w:type="dxa"/>
          </w:tcPr>
          <w:p w:rsidR="00401FE0" w:rsidRPr="00401FE0" w:rsidRDefault="00401FE0" w:rsidP="008429FE">
            <w:pPr>
              <w:spacing w:after="120" w:line="240" w:lineRule="auto"/>
              <w:rPr>
                <w:i/>
                <w:lang w:val="en-GB"/>
              </w:rPr>
            </w:pPr>
            <w:r w:rsidRPr="00401FE0">
              <w:rPr>
                <w:i/>
                <w:lang w:val="en-GB"/>
              </w:rPr>
              <w:t>Comments</w:t>
            </w:r>
          </w:p>
          <w:p w:rsidR="000A6194" w:rsidRPr="007F7BC1" w:rsidRDefault="000A6194" w:rsidP="008429FE">
            <w:pPr>
              <w:spacing w:after="120" w:line="240" w:lineRule="auto"/>
              <w:rPr>
                <w:b/>
                <w:lang w:val="en-GB"/>
              </w:rPr>
            </w:pPr>
            <w:r w:rsidRPr="007F7BC1">
              <w:rPr>
                <w:b/>
                <w:lang w:val="en-GB"/>
              </w:rPr>
              <w:t>Convention on the Protection of the Black Sea Against Pollution</w:t>
            </w:r>
          </w:p>
          <w:p w:rsidR="000A6194" w:rsidRPr="007F7BC1" w:rsidRDefault="000A6194" w:rsidP="008429FE">
            <w:pPr>
              <w:spacing w:after="120" w:line="240" w:lineRule="auto"/>
              <w:rPr>
                <w:b/>
                <w:lang w:val="en-GB"/>
              </w:rPr>
            </w:pPr>
            <w:r w:rsidRPr="007F7BC1">
              <w:rPr>
                <w:b/>
                <w:lang w:val="en-GB"/>
              </w:rPr>
              <w:t>Black Sea Strategic Action Plan (BS-SAP)</w:t>
            </w:r>
          </w:p>
          <w:p w:rsidR="000A6194" w:rsidRPr="007F7BC1" w:rsidRDefault="000A6194" w:rsidP="008429FE">
            <w:pPr>
              <w:spacing w:after="120" w:line="240" w:lineRule="auto"/>
              <w:rPr>
                <w:lang w:val="en-GB"/>
              </w:rPr>
            </w:pPr>
            <w:r w:rsidRPr="007F7BC1">
              <w:rPr>
                <w:b/>
                <w:lang w:val="en-GB"/>
              </w:rPr>
              <w:t>Article XV</w:t>
            </w:r>
            <w:r w:rsidRPr="007F7BC1">
              <w:rPr>
                <w:lang w:val="en-GB"/>
              </w:rPr>
              <w:t xml:space="preserve"> - The Contracting Parties shall, inter alia, establish through the Commission and, where appropriate, in cooperation with international organizations they consider to be competent, complementary or joint monitoring programmes covering all sources of pollution and shall establish a pollution monitoring system for the Black Sea including, as appropriate, programmes as bilateral or multilateral level for observing, measuring, evaluating and analysing the risks or effects of pollution of the marine environment of the Black Sea.</w:t>
            </w:r>
          </w:p>
          <w:p w:rsidR="000A6194" w:rsidRPr="007F7BC1" w:rsidRDefault="000A6194" w:rsidP="008429FE">
            <w:pPr>
              <w:spacing w:after="120" w:line="240" w:lineRule="auto"/>
              <w:rPr>
                <w:lang w:val="en-GB"/>
              </w:rPr>
            </w:pPr>
            <w:r w:rsidRPr="007F7BC1">
              <w:rPr>
                <w:b/>
                <w:lang w:val="en-GB"/>
              </w:rPr>
              <w:t>URL</w:t>
            </w:r>
            <w:r w:rsidRPr="007F7BC1">
              <w:rPr>
                <w:lang w:val="en-GB"/>
              </w:rPr>
              <w:t xml:space="preserve">: </w:t>
            </w:r>
            <w:hyperlink r:id="rId14" w:history="1">
              <w:r w:rsidRPr="007F7BC1">
                <w:rPr>
                  <w:color w:val="0000FF"/>
                  <w:u w:val="single"/>
                  <w:lang w:val="en-GB"/>
                </w:rPr>
                <w:t>http://www.blacksea-commission.org/_bssap2009.asp</w:t>
              </w:r>
            </w:hyperlink>
          </w:p>
          <w:p w:rsidR="000A6194" w:rsidRPr="007F7BC1" w:rsidRDefault="000A6194" w:rsidP="008429FE">
            <w:pPr>
              <w:spacing w:after="120" w:line="240" w:lineRule="auto"/>
              <w:rPr>
                <w:lang w:val="en-GB"/>
              </w:rPr>
            </w:pPr>
            <w:r w:rsidRPr="007F7BC1">
              <w:rPr>
                <w:b/>
                <w:lang w:val="en-GB"/>
              </w:rPr>
              <w:t>BSIMAP</w:t>
            </w:r>
            <w:r w:rsidRPr="007F7BC1">
              <w:rPr>
                <w:lang w:val="en-GB"/>
              </w:rPr>
              <w:t xml:space="preserve"> - Black Sea Integrated Monitoring and Assessment Programme</w:t>
            </w:r>
          </w:p>
          <w:p w:rsidR="000A6194" w:rsidRPr="007F7BC1" w:rsidRDefault="000A6194" w:rsidP="008429FE">
            <w:pPr>
              <w:pStyle w:val="BodyText"/>
              <w:spacing w:line="240" w:lineRule="auto"/>
              <w:rPr>
                <w:lang w:val="en-GB"/>
              </w:rPr>
            </w:pPr>
            <w:r w:rsidRPr="007F7BC1">
              <w:rPr>
                <w:b/>
                <w:lang w:val="en-GB"/>
              </w:rPr>
              <w:t>URL</w:t>
            </w:r>
            <w:r w:rsidRPr="007F7BC1">
              <w:rPr>
                <w:lang w:val="en-GB"/>
              </w:rPr>
              <w:t xml:space="preserve">: </w:t>
            </w:r>
            <w:hyperlink r:id="rId15" w:history="1">
              <w:r w:rsidRPr="007F7BC1">
                <w:rPr>
                  <w:color w:val="0000FF"/>
                  <w:u w:val="single"/>
                  <w:lang w:val="en-GB"/>
                </w:rPr>
                <w:t>http://www.blacksea-commission.org/_bsimap_description.asp</w:t>
              </w:r>
            </w:hyperlink>
          </w:p>
        </w:tc>
      </w:tr>
      <w:tr w:rsidR="000A6194" w:rsidRPr="007F7BC1" w:rsidTr="00814054">
        <w:trPr>
          <w:trHeight w:val="1275"/>
        </w:trPr>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2.2 GES criteria</w:t>
            </w:r>
          </w:p>
        </w:tc>
        <w:tc>
          <w:tcPr>
            <w:tcW w:w="12617" w:type="dxa"/>
          </w:tcPr>
          <w:p w:rsidR="000A6194" w:rsidRPr="007F7BC1" w:rsidRDefault="000A6194" w:rsidP="00E82000">
            <w:pPr>
              <w:pStyle w:val="BodyText"/>
              <w:spacing w:after="0" w:line="240" w:lineRule="auto"/>
              <w:rPr>
                <w:i/>
                <w:lang w:val="en-GB"/>
              </w:rPr>
            </w:pPr>
            <w:r w:rsidRPr="007F7BC1">
              <w:rPr>
                <w:i/>
                <w:lang w:val="en-GB"/>
              </w:rPr>
              <w:t>Li</w:t>
            </w:r>
            <w:r w:rsidRPr="007F7BC1">
              <w:rPr>
                <w:lang w:val="en-GB"/>
              </w:rPr>
              <w:t xml:space="preserve">st </w:t>
            </w:r>
            <w:r w:rsidRPr="007F7BC1">
              <w:rPr>
                <w:i/>
                <w:lang w:val="en-GB"/>
              </w:rPr>
              <w:t xml:space="preserve">relevant GES Criteria and characteristics </w:t>
            </w:r>
            <w:r w:rsidRPr="007F7BC1">
              <w:rPr>
                <w:i/>
                <w:lang w:val="en-GB"/>
              </w:rPr>
              <w:sym w:font="Symbol" w:char="F05B"/>
            </w:r>
            <w:r w:rsidRPr="007F7BC1">
              <w:rPr>
                <w:i/>
                <w:lang w:val="en-GB"/>
              </w:rPr>
              <w:t>indicators</w:t>
            </w:r>
            <w:r w:rsidRPr="007F7BC1">
              <w:rPr>
                <w:i/>
                <w:lang w:val="en-GB"/>
              </w:rPr>
              <w:sym w:font="Symbol" w:char="F05D"/>
            </w:r>
            <w:r w:rsidRPr="007F7BC1">
              <w:rPr>
                <w:i/>
                <w:lang w:val="en-GB"/>
              </w:rPr>
              <w:t xml:space="preserve">  </w:t>
            </w:r>
            <w:r w:rsidRPr="007F7BC1">
              <w:rPr>
                <w:lang w:val="en-GB"/>
              </w:rPr>
              <w:t xml:space="preserve">(see </w:t>
            </w:r>
            <w:r w:rsidRPr="007F7BC1">
              <w:rPr>
                <w:i/>
                <w:lang w:val="en-GB"/>
              </w:rPr>
              <w:t>Commission Decision of 1. September 2010)</w:t>
            </w:r>
          </w:p>
          <w:p w:rsidR="000A6194" w:rsidRPr="007F7BC1" w:rsidRDefault="000A6194" w:rsidP="004F7D45">
            <w:pPr>
              <w:pStyle w:val="BodyText"/>
              <w:spacing w:line="240" w:lineRule="auto"/>
              <w:rPr>
                <w:iCs/>
                <w:lang w:val="en-GB"/>
              </w:rPr>
            </w:pPr>
            <w:r w:rsidRPr="007F7BC1">
              <w:rPr>
                <w:iCs/>
                <w:lang w:val="en-GB"/>
              </w:rPr>
              <w:t>1.1 Species distribution</w:t>
            </w:r>
          </w:p>
          <w:p w:rsidR="000A6194" w:rsidRPr="007F7BC1" w:rsidRDefault="000A6194" w:rsidP="004F7D45">
            <w:pPr>
              <w:pStyle w:val="BodyText"/>
              <w:spacing w:line="240" w:lineRule="auto"/>
              <w:rPr>
                <w:iCs/>
                <w:lang w:val="en-GB"/>
              </w:rPr>
            </w:pPr>
            <w:r w:rsidRPr="007F7BC1">
              <w:rPr>
                <w:iCs/>
                <w:lang w:val="en-GB"/>
              </w:rPr>
              <w:t>— Distributional range (1.1.1)</w:t>
            </w:r>
          </w:p>
          <w:p w:rsidR="000A6194" w:rsidRPr="007F7BC1" w:rsidRDefault="000A6194" w:rsidP="004F7D45">
            <w:pPr>
              <w:pStyle w:val="BodyText"/>
              <w:spacing w:line="240" w:lineRule="auto"/>
              <w:rPr>
                <w:iCs/>
                <w:lang w:val="en-GB"/>
              </w:rPr>
            </w:pPr>
            <w:r w:rsidRPr="007F7BC1">
              <w:rPr>
                <w:iCs/>
                <w:lang w:val="en-GB"/>
              </w:rPr>
              <w:t>1.2. Population size</w:t>
            </w:r>
          </w:p>
          <w:p w:rsidR="000A6194" w:rsidRPr="007F7BC1" w:rsidRDefault="000A6194" w:rsidP="004F7D45">
            <w:pPr>
              <w:pStyle w:val="BodyText"/>
              <w:spacing w:line="240" w:lineRule="auto"/>
              <w:rPr>
                <w:iCs/>
                <w:lang w:val="en-GB"/>
              </w:rPr>
            </w:pPr>
            <w:r w:rsidRPr="007F7BC1">
              <w:rPr>
                <w:iCs/>
                <w:lang w:val="en-GB"/>
              </w:rPr>
              <w:t>— Population abundance and/or biomass, as appropriate (1.2.1)</w:t>
            </w:r>
          </w:p>
          <w:p w:rsidR="000A6194" w:rsidRPr="007F7BC1" w:rsidRDefault="000A6194" w:rsidP="004F7D45">
            <w:pPr>
              <w:pStyle w:val="BodyText"/>
              <w:spacing w:line="240" w:lineRule="auto"/>
              <w:rPr>
                <w:iCs/>
                <w:lang w:val="en-GB"/>
              </w:rPr>
            </w:pPr>
            <w:r w:rsidRPr="007F7BC1">
              <w:rPr>
                <w:iCs/>
                <w:lang w:val="en-GB"/>
              </w:rPr>
              <w:t>1.3 Population condition</w:t>
            </w:r>
          </w:p>
          <w:p w:rsidR="000A6194" w:rsidRPr="007F7BC1" w:rsidRDefault="000A6194" w:rsidP="00DE605F">
            <w:pPr>
              <w:pStyle w:val="BodyText"/>
              <w:spacing w:line="240" w:lineRule="auto"/>
              <w:rPr>
                <w:iCs/>
                <w:lang w:val="en-GB"/>
              </w:rPr>
            </w:pPr>
            <w:r w:rsidRPr="007F7BC1">
              <w:rPr>
                <w:iCs/>
                <w:lang w:val="en-GB"/>
              </w:rPr>
              <w:t>— Population demographic characteristics (e.g. body size or age class structure, sex ratio, fecundity rates, survival / mortality rates) (1.3.1)</w:t>
            </w:r>
          </w:p>
          <w:p w:rsidR="000A6194" w:rsidRPr="007F7BC1" w:rsidRDefault="000A6194" w:rsidP="004F7D45">
            <w:pPr>
              <w:pStyle w:val="BodyText"/>
              <w:spacing w:line="240" w:lineRule="auto"/>
              <w:rPr>
                <w:iCs/>
                <w:lang w:val="en-GB"/>
              </w:rPr>
            </w:pPr>
            <w:r w:rsidRPr="007F7BC1">
              <w:rPr>
                <w:iCs/>
                <w:lang w:val="en-GB"/>
              </w:rPr>
              <w:t>4.3. Abundance/distribution of key trophic groups/species</w:t>
            </w:r>
          </w:p>
          <w:p w:rsidR="000A6194" w:rsidRPr="007F7BC1" w:rsidRDefault="000A6194" w:rsidP="004F7D45">
            <w:pPr>
              <w:pStyle w:val="BodyText"/>
              <w:spacing w:line="240" w:lineRule="auto"/>
              <w:rPr>
                <w:lang w:val="en-GB"/>
              </w:rPr>
            </w:pPr>
            <w:r w:rsidRPr="007F7BC1">
              <w:rPr>
                <w:iCs/>
                <w:lang w:val="en-GB"/>
              </w:rPr>
              <w:t>— Abundance trends of functionally important selected groups/species (4.3.1)</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2.3 Features, pressures and impacts</w:t>
            </w:r>
          </w:p>
        </w:tc>
        <w:tc>
          <w:tcPr>
            <w:tcW w:w="12617" w:type="dxa"/>
          </w:tcPr>
          <w:p w:rsidR="000A6194" w:rsidRPr="007F7BC1" w:rsidRDefault="000A6194" w:rsidP="00E82000">
            <w:pPr>
              <w:pStyle w:val="BodyText"/>
              <w:spacing w:line="240" w:lineRule="auto"/>
              <w:rPr>
                <w:i/>
                <w:lang w:val="en-GB"/>
              </w:rPr>
            </w:pPr>
            <w:r w:rsidRPr="007F7BC1">
              <w:rPr>
                <w:i/>
                <w:lang w:val="en-GB"/>
              </w:rPr>
              <w:t>List relevant features and pressures from MSFD Annex III</w:t>
            </w:r>
          </w:p>
          <w:p w:rsidR="000A6194" w:rsidRPr="007F7BC1" w:rsidRDefault="000A6194" w:rsidP="009F422F">
            <w:pPr>
              <w:pStyle w:val="BodyText"/>
              <w:spacing w:line="240" w:lineRule="auto"/>
              <w:rPr>
                <w:b/>
                <w:lang w:val="en-GB"/>
              </w:rPr>
            </w:pPr>
            <w:r w:rsidRPr="007F7BC1">
              <w:rPr>
                <w:b/>
                <w:lang w:val="en-GB"/>
              </w:rPr>
              <w:t>Table 1 Characteristics</w:t>
            </w:r>
          </w:p>
          <w:p w:rsidR="000A6194" w:rsidRPr="007F7BC1" w:rsidRDefault="000A6194" w:rsidP="009F422F">
            <w:pPr>
              <w:pStyle w:val="BodyText"/>
              <w:spacing w:line="240" w:lineRule="auto"/>
              <w:rPr>
                <w:lang w:val="en-GB"/>
              </w:rPr>
            </w:pPr>
            <w:r w:rsidRPr="007F7BC1">
              <w:rPr>
                <w:lang w:val="en-GB"/>
              </w:rPr>
              <w:t xml:space="preserve">– description of the population dynamics, natural and actual range and status of species of marine mammals and reptiles occurring in the marine region or </w:t>
            </w:r>
            <w:proofErr w:type="spellStart"/>
            <w:r w:rsidRPr="007F7BC1">
              <w:rPr>
                <w:lang w:val="en-GB"/>
              </w:rPr>
              <w:t>subregion</w:t>
            </w:r>
            <w:proofErr w:type="spellEnd"/>
            <w:r w:rsidRPr="007F7BC1">
              <w:rPr>
                <w:lang w:val="en-GB"/>
              </w:rPr>
              <w:t>,</w:t>
            </w:r>
          </w:p>
          <w:p w:rsidR="000A6194" w:rsidRPr="007F7BC1" w:rsidRDefault="000A6194" w:rsidP="009F422F">
            <w:pPr>
              <w:pStyle w:val="BodyText"/>
              <w:spacing w:line="240" w:lineRule="auto"/>
              <w:rPr>
                <w:b/>
                <w:lang w:val="en-GB"/>
              </w:rPr>
            </w:pPr>
            <w:r w:rsidRPr="007F7BC1">
              <w:rPr>
                <w:b/>
                <w:lang w:val="en-GB"/>
              </w:rPr>
              <w:t>Table 2 Pressures and impacts</w:t>
            </w:r>
          </w:p>
          <w:p w:rsidR="000A6194" w:rsidRPr="007F7BC1" w:rsidRDefault="000A6194" w:rsidP="009F422F">
            <w:pPr>
              <w:pStyle w:val="BodyText"/>
              <w:spacing w:line="240" w:lineRule="auto"/>
              <w:rPr>
                <w:lang w:val="en-GB"/>
              </w:rPr>
            </w:pPr>
            <w:r w:rsidRPr="007F7BC1">
              <w:rPr>
                <w:lang w:val="en-GB"/>
              </w:rPr>
              <w:t>– Underwater noise (e.g. from shipping, underwater acoustic equipment),</w:t>
            </w:r>
          </w:p>
          <w:p w:rsidR="000A6194" w:rsidRPr="007F7BC1" w:rsidRDefault="000A6194" w:rsidP="009F422F">
            <w:pPr>
              <w:pStyle w:val="BodyText"/>
              <w:spacing w:line="240" w:lineRule="auto"/>
              <w:rPr>
                <w:lang w:val="en-GB"/>
              </w:rPr>
            </w:pPr>
            <w:r w:rsidRPr="007F7BC1">
              <w:rPr>
                <w:lang w:val="en-GB"/>
              </w:rPr>
              <w:t>– marine litter</w:t>
            </w:r>
          </w:p>
          <w:p w:rsidR="000A6194" w:rsidRPr="007F7BC1" w:rsidRDefault="000A6194" w:rsidP="009F422F">
            <w:pPr>
              <w:pStyle w:val="BodyText"/>
              <w:spacing w:line="240" w:lineRule="auto"/>
              <w:rPr>
                <w:lang w:val="en-GB"/>
              </w:rPr>
            </w:pPr>
            <w:r w:rsidRPr="007F7BC1">
              <w:rPr>
                <w:lang w:val="en-GB"/>
              </w:rPr>
              <w:t xml:space="preserve">– </w:t>
            </w:r>
            <w:proofErr w:type="gramStart"/>
            <w:r w:rsidRPr="007F7BC1">
              <w:rPr>
                <w:lang w:val="en-GB"/>
              </w:rPr>
              <w:t>selective</w:t>
            </w:r>
            <w:proofErr w:type="gramEnd"/>
            <w:r w:rsidRPr="007F7BC1">
              <w:rPr>
                <w:lang w:val="en-GB"/>
              </w:rPr>
              <w:t xml:space="preserve"> extraction of species, including incidental non-target catches (e.g. by commercial and recreational fishing).</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2.4 GES</w:t>
            </w:r>
          </w:p>
        </w:tc>
        <w:tc>
          <w:tcPr>
            <w:tcW w:w="12617" w:type="dxa"/>
          </w:tcPr>
          <w:p w:rsidR="000A6194" w:rsidRPr="004155E9" w:rsidRDefault="000A6194" w:rsidP="00E82000">
            <w:pPr>
              <w:pStyle w:val="BodyText"/>
              <w:spacing w:line="240" w:lineRule="auto"/>
              <w:rPr>
                <w:i/>
                <w:lang w:val="en-GB"/>
              </w:rPr>
            </w:pPr>
            <w:r w:rsidRPr="004155E9">
              <w:rPr>
                <w:i/>
                <w:lang w:val="en-GB"/>
              </w:rPr>
              <w:t>Assessment of GES (GES as defined in the article 9 reporting)</w:t>
            </w:r>
          </w:p>
          <w:p w:rsidR="000A6194" w:rsidRPr="004155E9" w:rsidRDefault="000A6194" w:rsidP="003C3724">
            <w:pPr>
              <w:pStyle w:val="ListParagraph"/>
              <w:spacing w:before="60" w:after="60" w:line="240" w:lineRule="auto"/>
              <w:ind w:left="0"/>
              <w:rPr>
                <w:lang w:val="en-GB"/>
              </w:rPr>
            </w:pPr>
            <w:r w:rsidRPr="004155E9">
              <w:rPr>
                <w:b/>
                <w:lang w:val="en-GB"/>
              </w:rPr>
              <w:t>Overall GES definition</w:t>
            </w:r>
            <w:r w:rsidRPr="004155E9">
              <w:rPr>
                <w:lang w:val="en-GB"/>
              </w:rPr>
              <w:t>: GES is achieved when all the three species of marine mammals are frequently encountered not only in the remote areas but also near the major sources of pressure (coastal cities, marine resorts, bay areas) and show signs indicative of stable or increasing number of individuals in the population. The occasions of animals found death due to human activities (fisheries and shipping), are extremely rare.</w:t>
            </w:r>
          </w:p>
          <w:p w:rsidR="000A6194" w:rsidRPr="004155E9" w:rsidRDefault="000A6194" w:rsidP="003C3724">
            <w:pPr>
              <w:pStyle w:val="ListParagraph"/>
              <w:spacing w:before="60" w:after="60" w:line="240" w:lineRule="auto"/>
              <w:ind w:left="0"/>
              <w:rPr>
                <w:lang w:val="en-GB"/>
              </w:rPr>
            </w:pPr>
            <w:r w:rsidRPr="004155E9">
              <w:rPr>
                <w:rFonts w:cs="Calibri"/>
                <w:b/>
                <w:lang w:val="en-GB"/>
              </w:rPr>
              <w:t xml:space="preserve">GES definition on </w:t>
            </w:r>
            <w:proofErr w:type="spellStart"/>
            <w:r w:rsidRPr="004155E9">
              <w:rPr>
                <w:rFonts w:cs="Calibri"/>
                <w:b/>
                <w:lang w:val="en-GB"/>
              </w:rPr>
              <w:t>ccriterion</w:t>
            </w:r>
            <w:proofErr w:type="spellEnd"/>
            <w:r w:rsidRPr="004155E9">
              <w:rPr>
                <w:rFonts w:cs="Calibri"/>
                <w:b/>
                <w:lang w:val="en-GB"/>
              </w:rPr>
              <w:t xml:space="preserve"> </w:t>
            </w:r>
            <w:r w:rsidRPr="004155E9">
              <w:rPr>
                <w:b/>
                <w:lang w:val="en-GB"/>
              </w:rPr>
              <w:t>1.1 Species distribution</w:t>
            </w:r>
            <w:r w:rsidRPr="004155E9">
              <w:rPr>
                <w:lang w:val="en-GB"/>
              </w:rPr>
              <w:t>: All the three species of toothed whales are abundant along the Bulgarian coast and can be encountered not only in the remote areas but also near the major sources of pressure (coastal cities, marine resorts, bay areas);</w:t>
            </w:r>
          </w:p>
          <w:p w:rsidR="000A6194" w:rsidRPr="004155E9" w:rsidRDefault="000A6194" w:rsidP="003C3724">
            <w:pPr>
              <w:pStyle w:val="ListParagraph"/>
              <w:spacing w:before="60" w:after="60" w:line="240" w:lineRule="auto"/>
              <w:ind w:left="0"/>
              <w:rPr>
                <w:lang w:val="en-GB"/>
              </w:rPr>
            </w:pPr>
            <w:r w:rsidRPr="004155E9">
              <w:rPr>
                <w:rFonts w:cs="Calibri"/>
                <w:b/>
                <w:lang w:val="en-GB"/>
              </w:rPr>
              <w:t xml:space="preserve">GES definition on criterion </w:t>
            </w:r>
            <w:r w:rsidRPr="004155E9">
              <w:rPr>
                <w:b/>
                <w:lang w:val="en-GB"/>
              </w:rPr>
              <w:t>1.2</w:t>
            </w:r>
            <w:r w:rsidR="00401FE0" w:rsidRPr="004155E9">
              <w:rPr>
                <w:b/>
                <w:lang w:val="en-GB"/>
              </w:rPr>
              <w:t>.1</w:t>
            </w:r>
            <w:r w:rsidRPr="004155E9">
              <w:rPr>
                <w:b/>
                <w:lang w:val="en-GB"/>
              </w:rPr>
              <w:t xml:space="preserve"> and 4.3</w:t>
            </w:r>
            <w:r w:rsidR="00401FE0" w:rsidRPr="004155E9">
              <w:rPr>
                <w:b/>
                <w:lang w:val="en-GB"/>
              </w:rPr>
              <w:t>.1</w:t>
            </w:r>
            <w:r w:rsidRPr="004155E9">
              <w:rPr>
                <w:lang w:val="en-GB"/>
              </w:rPr>
              <w:t xml:space="preserve">: </w:t>
            </w:r>
            <w:r w:rsidR="00401FE0" w:rsidRPr="004155E9">
              <w:rPr>
                <w:lang w:val="en-GB"/>
              </w:rPr>
              <w:t xml:space="preserve">the population abundance of </w:t>
            </w:r>
            <w:r w:rsidRPr="004155E9">
              <w:rPr>
                <w:lang w:val="en-GB"/>
              </w:rPr>
              <w:t>the three species of marine mammals is stable or increasing;</w:t>
            </w:r>
          </w:p>
          <w:p w:rsidR="000A6194" w:rsidRPr="004155E9" w:rsidRDefault="000A6194" w:rsidP="003C3724">
            <w:pPr>
              <w:pStyle w:val="ListParagraph"/>
              <w:spacing w:before="60" w:after="60" w:line="240" w:lineRule="auto"/>
              <w:ind w:left="0"/>
              <w:rPr>
                <w:rFonts w:cs="Calibri"/>
                <w:lang w:val="en-GB"/>
              </w:rPr>
            </w:pPr>
            <w:r w:rsidRPr="004155E9">
              <w:rPr>
                <w:rFonts w:cs="Calibri"/>
                <w:b/>
                <w:lang w:val="en-GB"/>
              </w:rPr>
              <w:t xml:space="preserve">GES definition on criterion </w:t>
            </w:r>
            <w:r w:rsidRPr="004155E9">
              <w:rPr>
                <w:b/>
                <w:lang w:val="en-GB"/>
              </w:rPr>
              <w:t>1.3.1 Population demographic conditions:</w:t>
            </w:r>
            <w:r w:rsidRPr="004155E9">
              <w:rPr>
                <w:lang w:val="en-GB"/>
              </w:rPr>
              <w:t xml:space="preserve"> The occasions of animals found death due to human activities (fisheries and shipping), are extremely rare.</w:t>
            </w:r>
          </w:p>
          <w:p w:rsidR="000A6194" w:rsidRPr="004155E9" w:rsidRDefault="000A6194" w:rsidP="00BD4258">
            <w:pPr>
              <w:spacing w:before="60" w:after="60" w:line="240" w:lineRule="auto"/>
              <w:rPr>
                <w:rFonts w:cs="Calibri"/>
                <w:lang w:val="en-GB"/>
              </w:rPr>
            </w:pPr>
            <w:r w:rsidRPr="004155E9">
              <w:rPr>
                <w:rFonts w:cs="Calibri"/>
                <w:lang w:val="en-GB"/>
              </w:rPr>
              <w:t>Describe how the programme:</w:t>
            </w:r>
          </w:p>
          <w:p w:rsidR="000A6194" w:rsidRPr="004155E9" w:rsidRDefault="000A6194" w:rsidP="00735545">
            <w:pPr>
              <w:pStyle w:val="BodyText"/>
              <w:numPr>
                <w:ilvl w:val="0"/>
                <w:numId w:val="15"/>
              </w:numPr>
              <w:spacing w:line="240" w:lineRule="auto"/>
              <w:ind w:left="360"/>
              <w:rPr>
                <w:lang w:val="en-GB"/>
              </w:rPr>
            </w:pPr>
            <w:proofErr w:type="gramStart"/>
            <w:r w:rsidRPr="004155E9">
              <w:rPr>
                <w:lang w:val="en-GB"/>
              </w:rPr>
              <w:t>addresses</w:t>
            </w:r>
            <w:proofErr w:type="gramEnd"/>
            <w:r w:rsidRPr="004155E9">
              <w:rPr>
                <w:lang w:val="en-GB"/>
              </w:rPr>
              <w:t xml:space="preserve"> assessment needs for the relevant Descriptor(s) and targets – the monitoring programme will provide initial information on state (abundance (indicator 1.2.1, 4.3.1), distribution (1.1.1)), and on pressure and impact (indicator 1.3.1) on the marine mammals for assessment of Descriptors 1 and 4 and the associated targets.</w:t>
            </w:r>
          </w:p>
          <w:p w:rsidR="000A6194" w:rsidRPr="004155E9" w:rsidRDefault="000A6194" w:rsidP="00735545">
            <w:pPr>
              <w:pStyle w:val="BodyText"/>
              <w:numPr>
                <w:ilvl w:val="0"/>
                <w:numId w:val="15"/>
              </w:numPr>
              <w:spacing w:line="240" w:lineRule="auto"/>
              <w:ind w:left="360"/>
              <w:rPr>
                <w:lang w:val="en-GB"/>
              </w:rPr>
            </w:pPr>
            <w:r w:rsidRPr="004155E9">
              <w:rPr>
                <w:lang w:val="en-GB"/>
              </w:rPr>
              <w:t>meets the needs of providing data/ information to support assessment of the Descriptor (or particular biodiversity component programme for D1, 4, 6) – the monitoring programme will be able to provide data from monitoring surveys and data gathered under the obligations of Bulgaria in relation to ACCOBAMS, which are available in the Ministry of the Environment and Waters.</w:t>
            </w:r>
          </w:p>
          <w:p w:rsidR="000A6194" w:rsidRPr="004155E9" w:rsidRDefault="000A6194" w:rsidP="00C8696F">
            <w:pPr>
              <w:pStyle w:val="BodyText"/>
              <w:numPr>
                <w:ilvl w:val="0"/>
                <w:numId w:val="15"/>
              </w:numPr>
              <w:spacing w:line="240" w:lineRule="auto"/>
              <w:ind w:left="360"/>
              <w:rPr>
                <w:lang w:val="en-GB"/>
              </w:rPr>
            </w:pPr>
            <w:proofErr w:type="gramStart"/>
            <w:r w:rsidRPr="004155E9">
              <w:rPr>
                <w:lang w:val="en-GB"/>
              </w:rPr>
              <w:t>contributes</w:t>
            </w:r>
            <w:proofErr w:type="gramEnd"/>
            <w:r w:rsidRPr="004155E9">
              <w:rPr>
                <w:lang w:val="en-GB"/>
              </w:rPr>
              <w:t xml:space="preserve"> to determining distance from GES and trends in status – currently the best way to determine that the status of the population of marine mammals is improving is by using trend targets. The trends in status will be measured by the number of sites to encounter living toothed whales and the population abundance – the higher the numbers means better the environmental status. Moreover, the trends in status will be measured by the decreasing number of mammals found death as a result of human activities – the smaller the number, the better the status.</w:t>
            </w:r>
          </w:p>
          <w:p w:rsidR="000A6194" w:rsidRPr="004155E9" w:rsidRDefault="000A6194" w:rsidP="001D4B8D">
            <w:pPr>
              <w:pStyle w:val="BodyText"/>
              <w:numPr>
                <w:ilvl w:val="0"/>
                <w:numId w:val="15"/>
              </w:numPr>
              <w:spacing w:line="240" w:lineRule="auto"/>
              <w:ind w:left="360"/>
              <w:rPr>
                <w:iCs/>
                <w:lang w:val="en-GB"/>
              </w:rPr>
            </w:pPr>
            <w:proofErr w:type="gramStart"/>
            <w:r w:rsidRPr="004155E9">
              <w:rPr>
                <w:lang w:val="en-GB"/>
              </w:rPr>
              <w:t>addresses</w:t>
            </w:r>
            <w:proofErr w:type="gramEnd"/>
            <w:r w:rsidRPr="004155E9">
              <w:rPr>
                <w:lang w:val="en-GB"/>
              </w:rPr>
              <w:t xml:space="preserve"> natural and climatic variability and distinguish this from the effects of anthropogenic pressures –  the monitoring program will provide initial data to distinguish the natural and climatic variability from the anthropogenic pressure. Data on the number and distribution of marine mammals can be used to model the species distribution in different future scenarios of climate change, the details of which are available on the website of the Data Distribution Centre (DDC) of the </w:t>
            </w:r>
            <w:hyperlink r:id="rId16" w:history="1">
              <w:r w:rsidRPr="009E71BE">
                <w:rPr>
                  <w:rStyle w:val="Hyperlink"/>
                  <w:rFonts w:cs="Arial Unicode MS"/>
                  <w:lang w:val="en-GB"/>
                </w:rPr>
                <w:t>Intergovernmental Panel on Climate Change (IPCC)</w:t>
              </w:r>
            </w:hyperlink>
            <w:r w:rsidRPr="004155E9">
              <w:rPr>
                <w:lang w:val="en-GB"/>
              </w:rPr>
              <w:t>. Data on pressure from human activities will be collected within the monitoring of stranded and dead mammals (indicator 1.3.1).</w:t>
            </w:r>
            <w:r w:rsidRPr="004155E9">
              <w:rPr>
                <w:iCs/>
                <w:lang w:val="en-GB"/>
              </w:rPr>
              <w:t xml:space="preserve"> The other monitoring programs can also provide data on pressures and impacts which can be used in the assessment of anthropogenic pressure on marine mammals.</w:t>
            </w:r>
          </w:p>
          <w:p w:rsidR="000A6194" w:rsidRPr="007F7BC1" w:rsidRDefault="000A6194" w:rsidP="009F422F">
            <w:pPr>
              <w:pStyle w:val="BodyText"/>
              <w:numPr>
                <w:ilvl w:val="0"/>
                <w:numId w:val="15"/>
              </w:numPr>
              <w:spacing w:line="240" w:lineRule="auto"/>
              <w:ind w:left="360"/>
              <w:rPr>
                <w:rFonts w:cs="Calibri"/>
                <w:sz w:val="20"/>
                <w:szCs w:val="20"/>
                <w:lang w:val="en-GB"/>
              </w:rPr>
            </w:pPr>
            <w:proofErr w:type="gramStart"/>
            <w:r w:rsidRPr="004155E9">
              <w:rPr>
                <w:lang w:val="en-GB"/>
              </w:rPr>
              <w:t>responds</w:t>
            </w:r>
            <w:proofErr w:type="gramEnd"/>
            <w:r w:rsidRPr="004155E9">
              <w:rPr>
                <w:lang w:val="en-GB"/>
              </w:rPr>
              <w:t xml:space="preserve"> to risks of not achieving GES –</w:t>
            </w:r>
            <w:r w:rsidRPr="004155E9">
              <w:rPr>
                <w:iCs/>
                <w:lang w:val="en-GB"/>
              </w:rPr>
              <w:t>the information from the planned monitoring will show whether the GES and targets have been achieved and allow assessing the trends in the state of the observed indicators. When a persistent negative trends is detected, actions will be taken to determine the sources of pressure and, if necessary, additional measures to reduce the impacts.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2.5 Environmental targets</w:t>
            </w:r>
          </w:p>
          <w:p w:rsidR="000A6194" w:rsidRPr="007F7BC1" w:rsidRDefault="000A6194" w:rsidP="00AE757B">
            <w:pPr>
              <w:pStyle w:val="BodyText"/>
              <w:spacing w:line="240" w:lineRule="auto"/>
              <w:rPr>
                <w:b/>
                <w:lang w:val="en-GB"/>
              </w:rPr>
            </w:pPr>
            <w:r w:rsidRPr="007F7BC1">
              <w:rPr>
                <w:b/>
                <w:lang w:val="en-GB"/>
              </w:rPr>
              <w:t>Marine Strategy Framework Directive (MSFD, Directive 2008/56/EC)</w:t>
            </w:r>
          </w:p>
          <w:p w:rsidR="000A6194" w:rsidRPr="007F7BC1" w:rsidRDefault="000A6194" w:rsidP="00AE757B">
            <w:pPr>
              <w:pStyle w:val="BodyText"/>
              <w:spacing w:line="240" w:lineRule="auto"/>
              <w:rPr>
                <w:b/>
                <w:lang w:val="en-GB"/>
              </w:rPr>
            </w:pPr>
            <w:r w:rsidRPr="007F7BC1">
              <w:rPr>
                <w:b/>
                <w:lang w:val="en-GB"/>
              </w:rPr>
              <w:t>Habitats Directive (Directive 92/43/EEC)</w:t>
            </w:r>
          </w:p>
          <w:p w:rsidR="000A6194" w:rsidRPr="007F7BC1" w:rsidRDefault="000A6194" w:rsidP="00AE757B">
            <w:pPr>
              <w:pStyle w:val="BodyText"/>
              <w:spacing w:line="240" w:lineRule="auto"/>
              <w:rPr>
                <w:b/>
                <w:lang w:val="en-GB"/>
              </w:rPr>
            </w:pPr>
            <w:r w:rsidRPr="007F7BC1">
              <w:rPr>
                <w:b/>
                <w:lang w:val="en-GB"/>
              </w:rPr>
              <w:t>Water Framework Directive (Directive 2000/60/EC)</w:t>
            </w:r>
          </w:p>
          <w:p w:rsidR="000A6194" w:rsidRPr="007F7BC1" w:rsidRDefault="000A6194" w:rsidP="00AE757B">
            <w:pPr>
              <w:pStyle w:val="BodyText"/>
              <w:spacing w:line="240" w:lineRule="auto"/>
              <w:rPr>
                <w:b/>
                <w:lang w:val="en-GB"/>
              </w:rPr>
            </w:pPr>
            <w:r w:rsidRPr="007F7BC1">
              <w:rPr>
                <w:b/>
                <w:lang w:val="en-GB"/>
              </w:rPr>
              <w:t>Convention for the protection of the Black Sea against pollution</w:t>
            </w:r>
          </w:p>
        </w:tc>
        <w:tc>
          <w:tcPr>
            <w:tcW w:w="12617" w:type="dxa"/>
          </w:tcPr>
          <w:p w:rsidR="000A6194" w:rsidRPr="007F7BC1" w:rsidRDefault="000A6194" w:rsidP="0074058D">
            <w:pPr>
              <w:pStyle w:val="BodyText"/>
              <w:spacing w:line="240" w:lineRule="auto"/>
              <w:rPr>
                <w:i/>
                <w:lang w:val="en-GB"/>
              </w:rPr>
            </w:pPr>
            <w:r w:rsidRPr="007F7BC1">
              <w:rPr>
                <w:i/>
                <w:lang w:val="en-GB"/>
              </w:rPr>
              <w:t>Relevant MSFD targets defined in the article 10 reporting</w:t>
            </w:r>
          </w:p>
          <w:p w:rsidR="000A6194" w:rsidRPr="007F7BC1" w:rsidRDefault="000A6194" w:rsidP="0074058D">
            <w:pPr>
              <w:pStyle w:val="BodyText"/>
              <w:spacing w:line="240" w:lineRule="auto"/>
              <w:rPr>
                <w:b/>
                <w:lang w:val="en-GB"/>
              </w:rPr>
            </w:pPr>
            <w:r w:rsidRPr="007F7BC1">
              <w:rPr>
                <w:b/>
                <w:lang w:val="en-GB"/>
              </w:rPr>
              <w:t>State / Impact targets:</w:t>
            </w:r>
          </w:p>
          <w:p w:rsidR="000A6194" w:rsidRPr="007F7BC1" w:rsidRDefault="000A6194" w:rsidP="0074058D">
            <w:pPr>
              <w:pStyle w:val="BodyText"/>
              <w:spacing w:line="240" w:lineRule="auto"/>
              <w:rPr>
                <w:lang w:val="en-GB"/>
              </w:rPr>
            </w:pPr>
            <w:r w:rsidRPr="007F7BC1">
              <w:rPr>
                <w:lang w:val="en-GB"/>
              </w:rPr>
              <w:t>1.1.1. Target: Preserve the existing distribution range of the three species of marine toothed whales by implementing appropriate management measures.</w:t>
            </w:r>
          </w:p>
          <w:p w:rsidR="000A6194" w:rsidRPr="007F7BC1" w:rsidRDefault="000A6194" w:rsidP="0074058D">
            <w:pPr>
              <w:pStyle w:val="BodyText"/>
              <w:spacing w:line="240" w:lineRule="auto"/>
              <w:rPr>
                <w:lang w:val="en-GB"/>
              </w:rPr>
            </w:pPr>
            <w:r w:rsidRPr="007F7BC1">
              <w:rPr>
                <w:lang w:val="en-GB"/>
              </w:rPr>
              <w:t>1.2.1 Target: Positive trend in the population abundance of the three species of marine toothed whales (</w:t>
            </w:r>
            <w:proofErr w:type="spellStart"/>
            <w:r w:rsidRPr="007F7BC1">
              <w:rPr>
                <w:i/>
                <w:lang w:val="en-GB"/>
              </w:rPr>
              <w:t>Phocoena</w:t>
            </w:r>
            <w:proofErr w:type="spellEnd"/>
            <w:r w:rsidRPr="007F7BC1">
              <w:rPr>
                <w:i/>
                <w:lang w:val="en-GB"/>
              </w:rPr>
              <w:t xml:space="preserve"> </w:t>
            </w:r>
            <w:proofErr w:type="spellStart"/>
            <w:r w:rsidRPr="007F7BC1">
              <w:rPr>
                <w:i/>
                <w:lang w:val="en-GB"/>
              </w:rPr>
              <w:t>phocoena</w:t>
            </w:r>
            <w:proofErr w:type="spellEnd"/>
            <w:r w:rsidRPr="007F7BC1">
              <w:rPr>
                <w:i/>
                <w:lang w:val="en-GB"/>
              </w:rPr>
              <w:t xml:space="preserve">, </w:t>
            </w:r>
            <w:proofErr w:type="spellStart"/>
            <w:r w:rsidRPr="007F7BC1">
              <w:rPr>
                <w:i/>
                <w:lang w:val="en-GB"/>
              </w:rPr>
              <w:t>Turciops</w:t>
            </w:r>
            <w:proofErr w:type="spellEnd"/>
            <w:r w:rsidRPr="007F7BC1">
              <w:rPr>
                <w:i/>
                <w:lang w:val="en-GB"/>
              </w:rPr>
              <w:t xml:space="preserve"> </w:t>
            </w:r>
            <w:proofErr w:type="spellStart"/>
            <w:r w:rsidRPr="007F7BC1">
              <w:rPr>
                <w:i/>
                <w:lang w:val="en-GB"/>
              </w:rPr>
              <w:t>truncatus</w:t>
            </w:r>
            <w:proofErr w:type="spellEnd"/>
            <w:r w:rsidRPr="007F7BC1">
              <w:rPr>
                <w:i/>
                <w:lang w:val="en-GB"/>
              </w:rPr>
              <w:t xml:space="preserve">, </w:t>
            </w:r>
            <w:proofErr w:type="spellStart"/>
            <w:r w:rsidRPr="007F7BC1">
              <w:rPr>
                <w:i/>
                <w:lang w:val="en-GB"/>
              </w:rPr>
              <w:t>Delphinus</w:t>
            </w:r>
            <w:proofErr w:type="spellEnd"/>
            <w:r w:rsidRPr="007F7BC1">
              <w:rPr>
                <w:i/>
                <w:lang w:val="en-GB"/>
              </w:rPr>
              <w:t xml:space="preserve"> </w:t>
            </w:r>
            <w:proofErr w:type="spellStart"/>
            <w:r w:rsidRPr="007F7BC1">
              <w:rPr>
                <w:i/>
                <w:lang w:val="en-GB"/>
              </w:rPr>
              <w:t>delphis</w:t>
            </w:r>
            <w:proofErr w:type="spellEnd"/>
            <w:r w:rsidRPr="007F7BC1">
              <w:rPr>
                <w:lang w:val="en-GB"/>
              </w:rPr>
              <w:t>).</w:t>
            </w:r>
          </w:p>
          <w:p w:rsidR="000A6194" w:rsidRPr="007F7BC1" w:rsidRDefault="000A6194" w:rsidP="0074058D">
            <w:pPr>
              <w:pStyle w:val="BodyText"/>
              <w:spacing w:line="240" w:lineRule="auto"/>
              <w:rPr>
                <w:lang w:val="en-GB"/>
              </w:rPr>
            </w:pPr>
            <w:r w:rsidRPr="007F7BC1">
              <w:rPr>
                <w:lang w:val="en-GB"/>
              </w:rPr>
              <w:t>4.3.1 Target: Positive trend in the population abundance of the three species of marine toothed whales (</w:t>
            </w:r>
            <w:proofErr w:type="spellStart"/>
            <w:r w:rsidR="00F70AC6">
              <w:rPr>
                <w:i/>
                <w:lang w:val="en-GB"/>
              </w:rPr>
              <w:t>Phocoena</w:t>
            </w:r>
            <w:proofErr w:type="spellEnd"/>
            <w:r w:rsidRPr="007F7BC1">
              <w:rPr>
                <w:i/>
                <w:lang w:val="en-GB"/>
              </w:rPr>
              <w:t xml:space="preserve"> </w:t>
            </w:r>
            <w:proofErr w:type="spellStart"/>
            <w:r w:rsidRPr="007F7BC1">
              <w:rPr>
                <w:i/>
                <w:lang w:val="en-GB"/>
              </w:rPr>
              <w:t>phocoena</w:t>
            </w:r>
            <w:proofErr w:type="spellEnd"/>
            <w:r w:rsidRPr="007F7BC1">
              <w:rPr>
                <w:i/>
                <w:lang w:val="en-GB"/>
              </w:rPr>
              <w:t xml:space="preserve">, </w:t>
            </w:r>
            <w:proofErr w:type="spellStart"/>
            <w:r w:rsidRPr="007F7BC1">
              <w:rPr>
                <w:i/>
                <w:lang w:val="en-GB"/>
              </w:rPr>
              <w:t>Turciops</w:t>
            </w:r>
            <w:proofErr w:type="spellEnd"/>
            <w:r w:rsidRPr="007F7BC1">
              <w:rPr>
                <w:i/>
                <w:lang w:val="en-GB"/>
              </w:rPr>
              <w:t xml:space="preserve"> </w:t>
            </w:r>
            <w:proofErr w:type="spellStart"/>
            <w:r w:rsidRPr="007F7BC1">
              <w:rPr>
                <w:i/>
                <w:lang w:val="en-GB"/>
              </w:rPr>
              <w:t>truncatus</w:t>
            </w:r>
            <w:proofErr w:type="spellEnd"/>
            <w:r w:rsidRPr="007F7BC1">
              <w:rPr>
                <w:i/>
                <w:lang w:val="en-GB"/>
              </w:rPr>
              <w:t xml:space="preserve">, </w:t>
            </w:r>
            <w:proofErr w:type="spellStart"/>
            <w:r w:rsidRPr="007F7BC1">
              <w:rPr>
                <w:i/>
                <w:lang w:val="en-GB"/>
              </w:rPr>
              <w:t>Delphinus</w:t>
            </w:r>
            <w:proofErr w:type="spellEnd"/>
            <w:r w:rsidRPr="007F7BC1">
              <w:rPr>
                <w:i/>
                <w:lang w:val="en-GB"/>
              </w:rPr>
              <w:t xml:space="preserve"> </w:t>
            </w:r>
            <w:proofErr w:type="spellStart"/>
            <w:r w:rsidRPr="007F7BC1">
              <w:rPr>
                <w:i/>
                <w:lang w:val="en-GB"/>
              </w:rPr>
              <w:t>delphis</w:t>
            </w:r>
            <w:proofErr w:type="spellEnd"/>
            <w:r w:rsidRPr="007F7BC1">
              <w:rPr>
                <w:lang w:val="en-GB"/>
              </w:rPr>
              <w:t>).</w:t>
            </w:r>
          </w:p>
          <w:p w:rsidR="000A6194" w:rsidRPr="007F7BC1" w:rsidRDefault="000A6194" w:rsidP="0074058D">
            <w:pPr>
              <w:pStyle w:val="BodyText"/>
              <w:spacing w:line="240" w:lineRule="auto"/>
              <w:rPr>
                <w:b/>
                <w:lang w:val="en-GB"/>
              </w:rPr>
            </w:pPr>
            <w:r w:rsidRPr="007F7BC1">
              <w:rPr>
                <w:b/>
                <w:lang w:val="en-GB"/>
              </w:rPr>
              <w:t>Operational targets:</w:t>
            </w:r>
          </w:p>
          <w:p w:rsidR="000A6194" w:rsidRPr="007F7BC1" w:rsidRDefault="000A6194" w:rsidP="0074058D">
            <w:pPr>
              <w:pStyle w:val="BodyText"/>
              <w:spacing w:line="240" w:lineRule="auto"/>
              <w:rPr>
                <w:lang w:val="en-GB"/>
              </w:rPr>
            </w:pPr>
            <w:r w:rsidRPr="007F7BC1">
              <w:rPr>
                <w:lang w:val="en-GB"/>
              </w:rPr>
              <w:t xml:space="preserve">Develop regulations aimed at decreasing by-catch level (Black Sea Strategic Action Plan, target 7). </w:t>
            </w:r>
          </w:p>
          <w:p w:rsidR="000A6194" w:rsidRPr="007F7BC1" w:rsidRDefault="000A6194" w:rsidP="0074058D">
            <w:pPr>
              <w:pStyle w:val="BodyText"/>
              <w:spacing w:line="240" w:lineRule="auto"/>
              <w:rPr>
                <w:lang w:val="en-GB"/>
              </w:rPr>
            </w:pPr>
            <w:r w:rsidRPr="007F7BC1">
              <w:rPr>
                <w:lang w:val="en-GB"/>
              </w:rPr>
              <w:t>Minimize ghost fishing caused by discarded, abandoned or lost fixed and floating nets, including those used in illegal/unregulated fishing activities (Black Sea Strategic Action Plan, target 9).</w:t>
            </w:r>
          </w:p>
          <w:p w:rsidR="000A6194" w:rsidRPr="007F7BC1" w:rsidRDefault="000A6194" w:rsidP="0074058D">
            <w:pPr>
              <w:pStyle w:val="BodyText"/>
              <w:spacing w:line="240" w:lineRule="auto"/>
              <w:rPr>
                <w:lang w:val="en-GB"/>
              </w:rPr>
            </w:pPr>
            <w:r w:rsidRPr="007F7BC1">
              <w:rPr>
                <w:lang w:val="en-GB"/>
              </w:rPr>
              <w:t xml:space="preserve">Consider the necessity of creation of new and/or expansion of existing protected areas, including </w:t>
            </w:r>
            <w:proofErr w:type="spellStart"/>
            <w:r w:rsidRPr="007F7BC1">
              <w:rPr>
                <w:lang w:val="en-GB"/>
              </w:rPr>
              <w:t>transboundary</w:t>
            </w:r>
            <w:proofErr w:type="spellEnd"/>
            <w:r w:rsidRPr="007F7BC1">
              <w:rPr>
                <w:lang w:val="en-GB"/>
              </w:rPr>
              <w:t xml:space="preserve"> areas in consultation with the relevant Black Sea countries with particular attention to marine protected areas. Establish or extend these areas where necessary (Black Sea Strategic Action Plan target 14). </w:t>
            </w:r>
          </w:p>
          <w:p w:rsidR="00F70AC6" w:rsidRPr="007F7BC1" w:rsidRDefault="000A6194" w:rsidP="0074058D">
            <w:pPr>
              <w:pStyle w:val="BodyText"/>
              <w:spacing w:line="240" w:lineRule="auto"/>
              <w:rPr>
                <w:lang w:val="en-GB"/>
              </w:rPr>
            </w:pPr>
            <w:r w:rsidRPr="007F7BC1">
              <w:rPr>
                <w:lang w:val="en-GB"/>
              </w:rPr>
              <w:t>Monitor and facilitate the progress in the implementation of nationally developed management plans of the protected areas (Black Sea Strategic Action Plan, target 21).</w:t>
            </w:r>
          </w:p>
          <w:p w:rsidR="000A6194" w:rsidRPr="007F7BC1" w:rsidRDefault="000A6194" w:rsidP="0074058D">
            <w:pPr>
              <w:pStyle w:val="BodyText"/>
              <w:spacing w:line="240" w:lineRule="auto"/>
              <w:rPr>
                <w:lang w:val="en-GB"/>
              </w:rPr>
            </w:pPr>
            <w:r w:rsidRPr="007F7BC1">
              <w:rPr>
                <w:lang w:val="en-GB"/>
              </w:rPr>
              <w:t xml:space="preserve">Support coordinated scientific studies, increase resources to marine science and improve capacity particularly through targeted training programmes supporting scientific projects/programmes (Black Sea Strategic Action Plan target 25). </w:t>
            </w:r>
          </w:p>
          <w:p w:rsidR="000A6194" w:rsidRPr="007F7BC1" w:rsidRDefault="000A6194" w:rsidP="0074058D">
            <w:pPr>
              <w:pStyle w:val="BodyText"/>
              <w:spacing w:line="240" w:lineRule="auto"/>
              <w:rPr>
                <w:b/>
                <w:lang w:val="en-GB"/>
              </w:rPr>
            </w:pPr>
            <w:r w:rsidRPr="007F7BC1">
              <w:rPr>
                <w:b/>
                <w:lang w:val="en-GB"/>
              </w:rPr>
              <w:t>Habitats Directive (Directive 92/43/EEC)</w:t>
            </w:r>
          </w:p>
          <w:p w:rsidR="000A6194" w:rsidRPr="007F7BC1" w:rsidRDefault="000A6194" w:rsidP="00AE757B">
            <w:pPr>
              <w:pStyle w:val="BodyText"/>
              <w:spacing w:line="240" w:lineRule="auto"/>
              <w:rPr>
                <w:b/>
                <w:lang w:val="en-GB"/>
              </w:rPr>
            </w:pPr>
            <w:r w:rsidRPr="007F7BC1">
              <w:rPr>
                <w:lang w:val="en-GB"/>
              </w:rPr>
              <w:t>Article 2 (1)  The aim of this Directive shall be to contribute towards ensuring bio-diversity through the conservation of natural habitats and of wild fauna and flora in the European territory of the Member States to which the Treaty applies.</w:t>
            </w:r>
          </w:p>
          <w:p w:rsidR="000A6194" w:rsidRPr="007F7BC1" w:rsidRDefault="000A6194" w:rsidP="00AE757B">
            <w:pPr>
              <w:pStyle w:val="BodyText"/>
              <w:spacing w:line="240" w:lineRule="auto"/>
              <w:rPr>
                <w:lang w:val="en-GB"/>
              </w:rPr>
            </w:pPr>
            <w:r w:rsidRPr="007F7BC1">
              <w:rPr>
                <w:b/>
                <w:lang w:val="en-GB"/>
              </w:rPr>
              <w:t>Commission on the Protection of the Black Sea Against Pollution</w:t>
            </w:r>
          </w:p>
          <w:p w:rsidR="000A6194" w:rsidRPr="007F7BC1" w:rsidRDefault="000A6194" w:rsidP="0074058D">
            <w:pPr>
              <w:pStyle w:val="BodyText"/>
              <w:spacing w:line="240" w:lineRule="auto"/>
              <w:rPr>
                <w:b/>
                <w:lang w:val="en-GB"/>
              </w:rPr>
            </w:pPr>
            <w:r w:rsidRPr="007F7BC1">
              <w:rPr>
                <w:b/>
                <w:lang w:val="en-GB"/>
              </w:rPr>
              <w:t xml:space="preserve">Black Sea Strategic Action Plan (BS-SAP), adopted 2009 (URL: </w:t>
            </w:r>
            <w:hyperlink r:id="rId17" w:history="1">
              <w:r w:rsidRPr="007F7BC1">
                <w:rPr>
                  <w:rStyle w:val="Hyperlink"/>
                  <w:rFonts w:cs="Arial Unicode MS"/>
                  <w:b/>
                  <w:lang w:val="en-GB"/>
                </w:rPr>
                <w:t>http://www.blacksea-commission.org/_bssap2009.asp</w:t>
              </w:r>
            </w:hyperlink>
            <w:r w:rsidRPr="007F7BC1">
              <w:rPr>
                <w:b/>
                <w:lang w:val="en-GB"/>
              </w:rPr>
              <w:t>)</w:t>
            </w:r>
          </w:p>
          <w:p w:rsidR="000A6194" w:rsidRPr="007F7BC1" w:rsidRDefault="000A6194" w:rsidP="006D753D">
            <w:pPr>
              <w:pStyle w:val="BodyText"/>
              <w:spacing w:line="240" w:lineRule="auto"/>
              <w:rPr>
                <w:b/>
                <w:lang w:val="en-GB"/>
              </w:rPr>
            </w:pPr>
            <w:r w:rsidRPr="007F7BC1">
              <w:rPr>
                <w:b/>
                <w:lang w:val="en-GB"/>
              </w:rPr>
              <w:t xml:space="preserve">3.3 Management targets and priority status required to meet the </w:t>
            </w:r>
            <w:proofErr w:type="spellStart"/>
            <w:r w:rsidRPr="007F7BC1">
              <w:rPr>
                <w:b/>
                <w:lang w:val="en-GB"/>
              </w:rPr>
              <w:t>EcoQOs</w:t>
            </w:r>
            <w:proofErr w:type="spellEnd"/>
          </w:p>
          <w:p w:rsidR="000A6194" w:rsidRPr="007F7BC1" w:rsidRDefault="000A6194" w:rsidP="006D753D">
            <w:pPr>
              <w:pStyle w:val="BodyText"/>
              <w:spacing w:line="240" w:lineRule="auto"/>
              <w:rPr>
                <w:lang w:val="en-GB"/>
              </w:rPr>
            </w:pPr>
            <w:r w:rsidRPr="007F7BC1">
              <w:rPr>
                <w:lang w:val="en-GB"/>
              </w:rPr>
              <w:t xml:space="preserve">Develop regulations aimed at decreasing by-catch level (Black Sea Strategic Action Plan, target 7). </w:t>
            </w:r>
          </w:p>
          <w:p w:rsidR="000A6194" w:rsidRPr="007F7BC1" w:rsidRDefault="000A6194" w:rsidP="006D753D">
            <w:pPr>
              <w:pStyle w:val="BodyText"/>
              <w:spacing w:line="240" w:lineRule="auto"/>
              <w:rPr>
                <w:lang w:val="en-GB"/>
              </w:rPr>
            </w:pPr>
            <w:r w:rsidRPr="007F7BC1">
              <w:rPr>
                <w:lang w:val="en-GB"/>
              </w:rPr>
              <w:t>Minimize ghost fishing caused by discarded, abandoned or lost fixed and floating nets, including those used in illegal/unregulated fishing activities (Black Sea Strategic Action Plan, target 9).</w:t>
            </w:r>
          </w:p>
          <w:p w:rsidR="000A6194" w:rsidRPr="007F7BC1" w:rsidRDefault="000A6194" w:rsidP="006D753D">
            <w:pPr>
              <w:pStyle w:val="BodyText"/>
              <w:spacing w:line="240" w:lineRule="auto"/>
              <w:rPr>
                <w:lang w:val="en-GB"/>
              </w:rPr>
            </w:pPr>
            <w:r w:rsidRPr="007F7BC1">
              <w:rPr>
                <w:lang w:val="en-GB"/>
              </w:rPr>
              <w:t xml:space="preserve">Consider the necessity of creation of new and/or expansion of existing protected areas, including </w:t>
            </w:r>
            <w:proofErr w:type="spellStart"/>
            <w:r w:rsidRPr="007F7BC1">
              <w:rPr>
                <w:lang w:val="en-GB"/>
              </w:rPr>
              <w:t>transboundary</w:t>
            </w:r>
            <w:proofErr w:type="spellEnd"/>
            <w:r w:rsidRPr="007F7BC1">
              <w:rPr>
                <w:lang w:val="en-GB"/>
              </w:rPr>
              <w:t xml:space="preserve"> areas in consultation with the relevant Black Sea countries with particular attention to marine protected areas. Establish or extend these areas where necessary (Black Sea Strategic Action Plan target 14). </w:t>
            </w:r>
          </w:p>
          <w:p w:rsidR="000A6194" w:rsidRPr="007F7BC1" w:rsidRDefault="000A6194" w:rsidP="006D753D">
            <w:pPr>
              <w:pStyle w:val="BodyText"/>
              <w:spacing w:line="240" w:lineRule="auto"/>
              <w:rPr>
                <w:lang w:val="en-GB"/>
              </w:rPr>
            </w:pPr>
            <w:r w:rsidRPr="007F7BC1">
              <w:rPr>
                <w:lang w:val="en-GB"/>
              </w:rPr>
              <w:t>Monitor and facilitate the progress in the implementation of nationally developed management plans of the protected areas (Black Sea Strategic Action Plan target 21).</w:t>
            </w:r>
          </w:p>
          <w:p w:rsidR="000A6194" w:rsidRPr="007F7BC1" w:rsidRDefault="000A6194" w:rsidP="0074058D">
            <w:pPr>
              <w:pStyle w:val="BodyText"/>
              <w:spacing w:line="240" w:lineRule="auto"/>
              <w:rPr>
                <w:lang w:val="en-GB"/>
              </w:rPr>
            </w:pPr>
            <w:r w:rsidRPr="007F7BC1">
              <w:rPr>
                <w:lang w:val="en-GB"/>
              </w:rPr>
              <w:t xml:space="preserve">Support coordinated scientific studies, increase resources to marine science and improve capacity particularly through targeted training programmes supporting scientific projects/programmes (Black Sea Strategic Action Plan target 25). </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2.6 Spatial allocation</w:t>
            </w:r>
          </w:p>
        </w:tc>
        <w:tc>
          <w:tcPr>
            <w:tcW w:w="12617" w:type="dxa"/>
          </w:tcPr>
          <w:p w:rsidR="000A6194" w:rsidRPr="007F7BC1" w:rsidRDefault="000A6194" w:rsidP="00E82000">
            <w:pPr>
              <w:pStyle w:val="BodyText"/>
              <w:spacing w:line="240" w:lineRule="auto"/>
              <w:rPr>
                <w:i/>
                <w:lang w:val="en-GB"/>
              </w:rPr>
            </w:pPr>
            <w:r w:rsidRPr="007F7BC1">
              <w:rPr>
                <w:i/>
                <w:lang w:val="en-GB"/>
              </w:rPr>
              <w:t>Table of where monitoring is required</w:t>
            </w:r>
          </w:p>
          <w:tbl>
            <w:tblPr>
              <w:tblpPr w:leftFromText="141" w:rightFromText="141" w:vertAnchor="page" w:horzAnchor="margin"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536"/>
              <w:gridCol w:w="1015"/>
              <w:gridCol w:w="1269"/>
              <w:gridCol w:w="1667"/>
            </w:tblGrid>
            <w:tr w:rsidR="000A6194" w:rsidRPr="007F7BC1" w:rsidTr="000A6194">
              <w:tc>
                <w:tcPr>
                  <w:tcW w:w="1921"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lang w:val="en-GB"/>
                    </w:rPr>
                  </w:pPr>
                </w:p>
              </w:tc>
              <w:tc>
                <w:tcPr>
                  <w:tcW w:w="534"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EEZ</w:t>
                  </w:r>
                </w:p>
              </w:tc>
              <w:tc>
                <w:tcPr>
                  <w:tcW w:w="1015"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12-nm zone</w:t>
                  </w:r>
                </w:p>
              </w:tc>
              <w:tc>
                <w:tcPr>
                  <w:tcW w:w="1269"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Coastal waters</w:t>
                  </w:r>
                </w:p>
              </w:tc>
              <w:tc>
                <w:tcPr>
                  <w:tcW w:w="1667"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Transitional waters</w:t>
                  </w:r>
                </w:p>
              </w:tc>
            </w:tr>
            <w:tr w:rsidR="000A6194" w:rsidRPr="007F7BC1" w:rsidTr="000A6194">
              <w:tc>
                <w:tcPr>
                  <w:tcW w:w="1921"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MSFD</w:t>
                  </w:r>
                </w:p>
              </w:tc>
              <w:tc>
                <w:tcPr>
                  <w:tcW w:w="534"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015"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269"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667"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r>
            <w:tr w:rsidR="000A6194" w:rsidRPr="007F7BC1" w:rsidTr="000A6194">
              <w:tc>
                <w:tcPr>
                  <w:tcW w:w="1921"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Habitats Directive</w:t>
                  </w:r>
                </w:p>
              </w:tc>
              <w:tc>
                <w:tcPr>
                  <w:tcW w:w="534"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015"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269"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667"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r>
            <w:tr w:rsidR="000A6194" w:rsidRPr="007F7BC1" w:rsidTr="000A6194">
              <w:tc>
                <w:tcPr>
                  <w:tcW w:w="1921"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Water Framework Directive</w:t>
                  </w:r>
                </w:p>
              </w:tc>
              <w:tc>
                <w:tcPr>
                  <w:tcW w:w="534"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c>
                <w:tcPr>
                  <w:tcW w:w="1015"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c>
                <w:tcPr>
                  <w:tcW w:w="1269"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c>
                <w:tcPr>
                  <w:tcW w:w="1667"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r>
            <w:tr w:rsidR="000A6194" w:rsidRPr="007F7BC1" w:rsidTr="000A6194">
              <w:tc>
                <w:tcPr>
                  <w:tcW w:w="1921"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rPr>
                      <w:b/>
                      <w:lang w:val="en-GB"/>
                    </w:rPr>
                  </w:pPr>
                  <w:r w:rsidRPr="007F7BC1">
                    <w:rPr>
                      <w:b/>
                      <w:lang w:val="en-GB"/>
                    </w:rPr>
                    <w:t>Commission for the Protection of the Black Sea Against Pollution</w:t>
                  </w:r>
                </w:p>
              </w:tc>
              <w:tc>
                <w:tcPr>
                  <w:tcW w:w="534"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015"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269"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x</w:t>
                  </w:r>
                </w:p>
              </w:tc>
              <w:tc>
                <w:tcPr>
                  <w:tcW w:w="1667" w:type="dxa"/>
                  <w:tcBorders>
                    <w:top w:val="single" w:sz="4" w:space="0" w:color="auto"/>
                    <w:left w:val="single" w:sz="4" w:space="0" w:color="auto"/>
                    <w:bottom w:val="single" w:sz="4" w:space="0" w:color="auto"/>
                    <w:right w:val="single" w:sz="4" w:space="0" w:color="auto"/>
                  </w:tcBorders>
                </w:tcPr>
                <w:p w:rsidR="000A6194" w:rsidRPr="007F7BC1" w:rsidRDefault="000A6194" w:rsidP="00E82000">
                  <w:pPr>
                    <w:pStyle w:val="BodyText"/>
                    <w:spacing w:line="240" w:lineRule="auto"/>
                    <w:jc w:val="center"/>
                    <w:rPr>
                      <w:lang w:val="en-GB"/>
                    </w:rPr>
                  </w:pPr>
                  <w:r w:rsidRPr="007F7BC1">
                    <w:rPr>
                      <w:lang w:val="en-GB"/>
                    </w:rPr>
                    <w:t>-</w:t>
                  </w:r>
                </w:p>
              </w:tc>
            </w:tr>
          </w:tbl>
          <w:p w:rsidR="000A6194" w:rsidRPr="007F7BC1" w:rsidRDefault="000A6194" w:rsidP="00E82000">
            <w:pPr>
              <w:pStyle w:val="BodyText"/>
              <w:spacing w:line="240" w:lineRule="auto"/>
              <w:rPr>
                <w:lang w:val="en-GB"/>
              </w:rPr>
            </w:pPr>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b/>
                <w:color w:val="FFFFFF"/>
                <w:lang w:val="en-GB"/>
              </w:rPr>
            </w:pPr>
            <w:r w:rsidRPr="007F7BC1">
              <w:rPr>
                <w:b/>
                <w:color w:val="FFFFFF"/>
                <w:lang w:val="en-GB"/>
              </w:rPr>
              <w:t>3 Monitoring concept</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 xml:space="preserve">3.1 General description of relevant </w:t>
            </w:r>
            <w:proofErr w:type="spellStart"/>
            <w:r w:rsidRPr="007F7BC1">
              <w:rPr>
                <w:color w:val="4F81BD"/>
                <w:lang w:val="en-GB"/>
              </w:rPr>
              <w:t>subprogrammes</w:t>
            </w:r>
            <w:proofErr w:type="spellEnd"/>
            <w:r w:rsidRPr="007F7BC1">
              <w:rPr>
                <w:color w:val="4F81BD"/>
                <w:lang w:val="en-GB"/>
              </w:rPr>
              <w:t xml:space="preserve"> in monitoring programme</w:t>
            </w:r>
          </w:p>
        </w:tc>
        <w:tc>
          <w:tcPr>
            <w:tcW w:w="12617" w:type="dxa"/>
          </w:tcPr>
          <w:p w:rsidR="000A6194" w:rsidRPr="007F7BC1" w:rsidRDefault="000A6194" w:rsidP="005B2523">
            <w:pPr>
              <w:pStyle w:val="BodyText"/>
              <w:spacing w:line="240" w:lineRule="auto"/>
              <w:rPr>
                <w:i/>
                <w:lang w:val="en-GB"/>
              </w:rPr>
            </w:pPr>
            <w:r w:rsidRPr="007F7BC1">
              <w:rPr>
                <w:i/>
                <w:lang w:val="en-GB"/>
              </w:rPr>
              <w:t xml:space="preserve">List </w:t>
            </w:r>
            <w:proofErr w:type="spellStart"/>
            <w:r w:rsidRPr="007F7BC1">
              <w:rPr>
                <w:i/>
                <w:lang w:val="en-GB"/>
              </w:rPr>
              <w:t>subprogrammes</w:t>
            </w:r>
            <w:proofErr w:type="spellEnd"/>
            <w:r w:rsidRPr="007F7BC1">
              <w:rPr>
                <w:i/>
                <w:lang w:val="en-GB"/>
              </w:rPr>
              <w:t xml:space="preserve"> monitored under this programme (only general description)</w:t>
            </w:r>
          </w:p>
          <w:p w:rsidR="000A6194" w:rsidRPr="007F7BC1" w:rsidRDefault="000A6194" w:rsidP="00305D31">
            <w:pPr>
              <w:pStyle w:val="BodyText"/>
              <w:spacing w:line="240" w:lineRule="auto"/>
              <w:rPr>
                <w:lang w:val="en-GB"/>
              </w:rPr>
            </w:pPr>
            <w:r w:rsidRPr="007F7BC1">
              <w:rPr>
                <w:lang w:val="en-GB"/>
              </w:rPr>
              <w:t>Mobile species - abundance and/or biomass. Parameters: Species composition, Species abundance (numbers of individuals and/or biomass), Species distribution (location);</w:t>
            </w:r>
          </w:p>
          <w:p w:rsidR="000A6194" w:rsidRPr="007F7BC1" w:rsidRDefault="000A6194" w:rsidP="00305D31">
            <w:pPr>
              <w:pStyle w:val="BodyText"/>
              <w:spacing w:line="240" w:lineRule="auto"/>
              <w:rPr>
                <w:lang w:val="en-GB"/>
              </w:rPr>
            </w:pPr>
            <w:r w:rsidRPr="007F7BC1">
              <w:rPr>
                <w:lang w:val="en-GB"/>
              </w:rPr>
              <w:t>Mobile species - population characteristics. Parameters: Body size (length, weight), age, sex, fecundity rate, survival rate, mortality rate;</w:t>
            </w:r>
          </w:p>
          <w:p w:rsidR="000A6194" w:rsidRPr="007F7BC1" w:rsidRDefault="000A6194" w:rsidP="00305D31">
            <w:pPr>
              <w:pStyle w:val="BodyText"/>
              <w:spacing w:line="240" w:lineRule="auto"/>
              <w:rPr>
                <w:lang w:val="en-GB"/>
              </w:rPr>
            </w:pPr>
            <w:r w:rsidRPr="007F7BC1">
              <w:rPr>
                <w:lang w:val="en-GB"/>
              </w:rPr>
              <w:t>Mobile species - state of habitats. Parameters: Habitat for the species (extent, suitability);</w:t>
            </w:r>
          </w:p>
          <w:p w:rsidR="000A6194" w:rsidRPr="007F7BC1" w:rsidRDefault="000A6194" w:rsidP="00305D31">
            <w:pPr>
              <w:pStyle w:val="BodyText"/>
              <w:spacing w:line="240" w:lineRule="auto"/>
              <w:rPr>
                <w:lang w:val="en-GB"/>
              </w:rPr>
            </w:pPr>
            <w:r w:rsidRPr="007F7BC1">
              <w:rPr>
                <w:lang w:val="en-GB"/>
              </w:rPr>
              <w:t>Mobile species - mortality/injury rates from fisheries (targeted and/or incidental). Parameters: Rates of mortality, injury or other adverse effects from anthropogenic activities;</w:t>
            </w:r>
          </w:p>
          <w:p w:rsidR="000A6194" w:rsidRPr="007F7BC1" w:rsidRDefault="000A6194" w:rsidP="00305D31">
            <w:pPr>
              <w:pStyle w:val="BodyText"/>
              <w:spacing w:line="240" w:lineRule="auto"/>
              <w:rPr>
                <w:lang w:val="en-GB"/>
              </w:rPr>
            </w:pPr>
            <w:r w:rsidRPr="007F7BC1">
              <w:rPr>
                <w:lang w:val="en-GB"/>
              </w:rPr>
              <w:t>Effectiveness of measures.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3.2 Description of monitoring network</w:t>
            </w:r>
          </w:p>
        </w:tc>
        <w:tc>
          <w:tcPr>
            <w:tcW w:w="12617" w:type="dxa"/>
          </w:tcPr>
          <w:p w:rsidR="000A6194" w:rsidRPr="007F7BC1" w:rsidRDefault="000A6194" w:rsidP="00E82000">
            <w:pPr>
              <w:pStyle w:val="BodyText"/>
              <w:spacing w:line="240" w:lineRule="auto"/>
              <w:rPr>
                <w:i/>
                <w:lang w:val="en-GB"/>
              </w:rPr>
            </w:pPr>
            <w:r w:rsidRPr="007F7BC1">
              <w:rPr>
                <w:i/>
                <w:lang w:val="en-GB"/>
              </w:rPr>
              <w:t>Description + maps (describing the spatial resolution of the entire programme)</w:t>
            </w:r>
          </w:p>
          <w:p w:rsidR="000A6194" w:rsidRPr="007F7BC1" w:rsidRDefault="00814054" w:rsidP="00E82000">
            <w:pPr>
              <w:pStyle w:val="BodyText"/>
              <w:keepNext/>
              <w:spacing w:line="240" w:lineRule="auto"/>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37.5pt;height:223.5pt;visibility:visible">
                  <v:imagedata r:id="rId18" o:title=""/>
                </v:shape>
              </w:pict>
            </w:r>
          </w:p>
          <w:p w:rsidR="000A6194" w:rsidRPr="007F7BC1" w:rsidRDefault="000A6194" w:rsidP="00E82000">
            <w:pPr>
              <w:pStyle w:val="Caption"/>
              <w:spacing w:after="0"/>
              <w:rPr>
                <w:sz w:val="24"/>
                <w:szCs w:val="24"/>
                <w:lang w:val="en-GB"/>
              </w:rPr>
            </w:pPr>
            <w:r w:rsidRPr="007F7BC1">
              <w:rPr>
                <w:sz w:val="24"/>
                <w:szCs w:val="24"/>
                <w:lang w:val="en-GB"/>
              </w:rPr>
              <w:t xml:space="preserve">Figure </w:t>
            </w:r>
            <w:r w:rsidRPr="007F7BC1">
              <w:rPr>
                <w:sz w:val="24"/>
                <w:szCs w:val="24"/>
                <w:lang w:val="en-GB"/>
              </w:rPr>
              <w:fldChar w:fldCharType="begin"/>
            </w:r>
            <w:r w:rsidRPr="007F7BC1">
              <w:rPr>
                <w:sz w:val="24"/>
                <w:szCs w:val="24"/>
                <w:lang w:val="en-GB"/>
              </w:rPr>
              <w:instrText xml:space="preserve"> SEQ Figure \* ARABIC </w:instrText>
            </w:r>
            <w:r w:rsidRPr="007F7BC1">
              <w:rPr>
                <w:sz w:val="24"/>
                <w:szCs w:val="24"/>
                <w:lang w:val="en-GB"/>
              </w:rPr>
              <w:fldChar w:fldCharType="separate"/>
            </w:r>
            <w:r w:rsidRPr="007F7BC1">
              <w:rPr>
                <w:sz w:val="24"/>
                <w:szCs w:val="24"/>
                <w:lang w:val="en-GB"/>
              </w:rPr>
              <w:t>1</w:t>
            </w:r>
            <w:r w:rsidRPr="007F7BC1">
              <w:rPr>
                <w:sz w:val="24"/>
                <w:szCs w:val="24"/>
                <w:lang w:val="en-GB"/>
              </w:rPr>
              <w:fldChar w:fldCharType="end"/>
            </w:r>
            <w:r w:rsidRPr="007F7BC1">
              <w:rPr>
                <w:sz w:val="24"/>
                <w:szCs w:val="24"/>
                <w:lang w:val="en-GB"/>
              </w:rPr>
              <w:t xml:space="preserve"> Sampling stations for toothed whales (</w:t>
            </w:r>
            <w:r w:rsidRPr="007F7BC1">
              <w:rPr>
                <w:i/>
                <w:sz w:val="24"/>
                <w:szCs w:val="24"/>
                <w:lang w:val="en-GB"/>
              </w:rPr>
              <w:t>Delphinus delphis, Turciops truncatus, Phocoena phocoena</w:t>
            </w:r>
            <w:r w:rsidRPr="007F7BC1">
              <w:rPr>
                <w:sz w:val="24"/>
                <w:szCs w:val="24"/>
                <w:lang w:val="en-GB"/>
              </w:rPr>
              <w:t>) and fish in 2012</w:t>
            </w:r>
          </w:p>
          <w:p w:rsidR="000A6194" w:rsidRPr="007F7BC1" w:rsidRDefault="00814054" w:rsidP="00E82000">
            <w:pPr>
              <w:pStyle w:val="BodyText"/>
              <w:keepNext/>
              <w:spacing w:line="240" w:lineRule="auto"/>
              <w:rPr>
                <w:lang w:val="en-GB"/>
              </w:rPr>
            </w:pPr>
            <w:r>
              <w:rPr>
                <w:lang w:val="en-GB"/>
              </w:rPr>
              <w:pict>
                <v:shape id="_x0000_i1038" type="#_x0000_t75" style="width:337.5pt;height:238.5pt;visibility:visible">
                  <v:imagedata r:id="rId19" o:title=""/>
                </v:shape>
              </w:pict>
            </w:r>
          </w:p>
          <w:p w:rsidR="000A6194" w:rsidRPr="007F7BC1" w:rsidRDefault="000A6194" w:rsidP="00B81A61">
            <w:pPr>
              <w:pStyle w:val="Caption"/>
              <w:spacing w:after="120"/>
              <w:rPr>
                <w:sz w:val="24"/>
                <w:szCs w:val="24"/>
                <w:lang w:val="en-GB"/>
              </w:rPr>
            </w:pPr>
            <w:r w:rsidRPr="007F7BC1">
              <w:rPr>
                <w:sz w:val="24"/>
                <w:szCs w:val="24"/>
                <w:lang w:val="en-GB"/>
              </w:rPr>
              <w:t xml:space="preserve">Figure </w:t>
            </w:r>
            <w:r w:rsidRPr="007F7BC1">
              <w:rPr>
                <w:sz w:val="24"/>
                <w:szCs w:val="24"/>
                <w:lang w:val="en-GB"/>
              </w:rPr>
              <w:fldChar w:fldCharType="begin"/>
            </w:r>
            <w:r w:rsidRPr="007F7BC1">
              <w:rPr>
                <w:sz w:val="24"/>
                <w:szCs w:val="24"/>
                <w:lang w:val="en-GB"/>
              </w:rPr>
              <w:instrText xml:space="preserve"> SEQ Figure \* ARABIC </w:instrText>
            </w:r>
            <w:r w:rsidRPr="007F7BC1">
              <w:rPr>
                <w:sz w:val="24"/>
                <w:szCs w:val="24"/>
                <w:lang w:val="en-GB"/>
              </w:rPr>
              <w:fldChar w:fldCharType="separate"/>
            </w:r>
            <w:r w:rsidRPr="007F7BC1">
              <w:rPr>
                <w:sz w:val="24"/>
                <w:szCs w:val="24"/>
                <w:lang w:val="en-GB"/>
              </w:rPr>
              <w:t>2</w:t>
            </w:r>
            <w:r w:rsidRPr="007F7BC1">
              <w:rPr>
                <w:sz w:val="24"/>
                <w:szCs w:val="24"/>
                <w:lang w:val="en-GB"/>
              </w:rPr>
              <w:fldChar w:fldCharType="end"/>
            </w:r>
            <w:r w:rsidRPr="007F7BC1">
              <w:rPr>
                <w:sz w:val="24"/>
                <w:szCs w:val="24"/>
                <w:lang w:val="en-GB"/>
              </w:rPr>
              <w:t xml:space="preserve"> Sampling stations for toothed whales in 2012</w:t>
            </w:r>
          </w:p>
          <w:p w:rsidR="000A6194" w:rsidRPr="007F7BC1" w:rsidRDefault="000A6194" w:rsidP="00B81A61">
            <w:pPr>
              <w:pStyle w:val="BodyText"/>
              <w:spacing w:line="240" w:lineRule="auto"/>
              <w:rPr>
                <w:lang w:val="en-GB"/>
              </w:rPr>
            </w:pPr>
            <w:r w:rsidRPr="007F7BC1">
              <w:rPr>
                <w:lang w:val="en-GB"/>
              </w:rPr>
              <w:t xml:space="preserve">The Institute of fisheries resources-Varna – monitoring of marine mammals (porpoise (Phocoena phocoena) and the ordinary Dolphin (Delphinus delphis)). Research parameters include </w:t>
            </w:r>
            <w:r w:rsidR="008E2D4B" w:rsidRPr="007F7BC1">
              <w:rPr>
                <w:lang w:val="en-GB"/>
              </w:rPr>
              <w:t>behaviour</w:t>
            </w:r>
            <w:r w:rsidRPr="007F7BC1">
              <w:rPr>
                <w:lang w:val="en-GB"/>
              </w:rPr>
              <w:t xml:space="preserve">, mammals, bycatch (number of animals, morphological data, </w:t>
            </w:r>
            <w:r w:rsidR="008E2D4B" w:rsidRPr="007F7BC1">
              <w:rPr>
                <w:lang w:val="en-GB"/>
              </w:rPr>
              <w:t>and gender</w:t>
            </w:r>
            <w:r w:rsidRPr="007F7BC1">
              <w:rPr>
                <w:lang w:val="en-GB"/>
              </w:rPr>
              <w:t>), injury and mortality, causes of death and tissue samples from marine mammals, according to ICES and ACCOBAMS, the recommendations of the Commission. Some of the parameters data date back to 1997.</w:t>
            </w:r>
          </w:p>
          <w:p w:rsidR="000A6194" w:rsidRPr="007F7BC1" w:rsidRDefault="000A6194" w:rsidP="00B81A61">
            <w:pPr>
              <w:pStyle w:val="BodyText"/>
              <w:spacing w:line="240" w:lineRule="auto"/>
              <w:rPr>
                <w:b/>
                <w:lang w:val="en-GB"/>
              </w:rPr>
            </w:pPr>
            <w:r w:rsidRPr="007F7BC1">
              <w:rPr>
                <w:b/>
                <w:lang w:val="en-GB"/>
              </w:rPr>
              <w:t>Descriptor 1, 4-Biodiversity-Mammals-concept for monitoring within the framework “Driver-Pressure-State-Impact-Response”, DPSIR:</w:t>
            </w:r>
          </w:p>
          <w:p w:rsidR="000A6194" w:rsidRPr="007F7BC1" w:rsidRDefault="000A6194" w:rsidP="00B81A61">
            <w:pPr>
              <w:pStyle w:val="BodyText"/>
              <w:spacing w:line="240" w:lineRule="auto"/>
              <w:rPr>
                <w:lang w:val="en-GB"/>
              </w:rPr>
            </w:pPr>
            <w:r w:rsidRPr="007F7BC1">
              <w:rPr>
                <w:b/>
                <w:lang w:val="en-GB"/>
              </w:rPr>
              <w:t>Driving forces/pressure</w:t>
            </w:r>
            <w:r w:rsidRPr="007F7BC1">
              <w:rPr>
                <w:lang w:val="en-GB"/>
              </w:rPr>
              <w:t xml:space="preserve"> – monitoring of driving forces (human activities) as a result of the pressure is carried out in connection with the obligations of Bulgaria to ACCOBAMS (agreement on the conservation of Cetaceans of the Black Sea, Mediterranean Sea and adjacent areas of the Atlantic Ocean, URL: (</w:t>
            </w:r>
            <w:hyperlink r:id="rId20" w:history="1">
              <w:r w:rsidRPr="007F7BC1">
                <w:rPr>
                  <w:rStyle w:val="Hyperlink"/>
                  <w:rFonts w:cs="Arial Unicode MS"/>
                  <w:lang w:val="en-GB"/>
                </w:rPr>
                <w:t>http://accobams.org/</w:t>
              </w:r>
            </w:hyperlink>
            <w:r w:rsidRPr="007F7BC1">
              <w:rPr>
                <w:lang w:val="en-GB"/>
              </w:rPr>
              <w:t>).</w:t>
            </w:r>
          </w:p>
          <w:p w:rsidR="000A6194" w:rsidRPr="007F7BC1" w:rsidRDefault="000A6194" w:rsidP="00B81A61">
            <w:pPr>
              <w:pStyle w:val="BodyText"/>
              <w:spacing w:line="240" w:lineRule="auto"/>
              <w:rPr>
                <w:b/>
                <w:lang w:val="en-GB"/>
              </w:rPr>
            </w:pPr>
            <w:r w:rsidRPr="007F7BC1">
              <w:rPr>
                <w:b/>
                <w:lang w:val="en-GB"/>
              </w:rPr>
              <w:t xml:space="preserve">State – </w:t>
            </w:r>
            <w:r w:rsidRPr="007F7BC1">
              <w:rPr>
                <w:lang w:val="en-GB"/>
              </w:rPr>
              <w:t>additional monitoring of populations of common dolphin (Delphinus delphis), harbor porpoise (Phocoena phocoena) and bottlenose dolphin (Tursiops truncatus) is carried out through from ship by using distance sampling method</w:t>
            </w:r>
            <w:r w:rsidR="00E1485E">
              <w:rPr>
                <w:lang w:val="en-GB"/>
              </w:rPr>
              <w:t xml:space="preserve"> through the standard methodology “European Seabirds at Sea (ESAS)”</w:t>
            </w:r>
            <w:r w:rsidRPr="007F7BC1">
              <w:rPr>
                <w:lang w:val="en-GB"/>
              </w:rPr>
              <w:t>. The MSFD monitoring programme will provide information about the distribution (indicator 1.1.1) and populations size (1.2.1 and indicators 4.3.1), so for the moment, the available data are scarce and geographically limited.</w:t>
            </w:r>
          </w:p>
          <w:p w:rsidR="000A6194" w:rsidRPr="007F7BC1" w:rsidRDefault="000A6194" w:rsidP="00B81A61">
            <w:pPr>
              <w:pStyle w:val="BodyText"/>
              <w:spacing w:line="240" w:lineRule="auto"/>
              <w:rPr>
                <w:lang w:val="en-GB"/>
              </w:rPr>
            </w:pPr>
            <w:r w:rsidRPr="007F7BC1">
              <w:rPr>
                <w:b/>
                <w:lang w:val="en-GB"/>
              </w:rPr>
              <w:t>The</w:t>
            </w:r>
            <w:r w:rsidRPr="007F7BC1">
              <w:rPr>
                <w:lang w:val="en-GB"/>
              </w:rPr>
              <w:t xml:space="preserve"> </w:t>
            </w:r>
            <w:r w:rsidRPr="007F7BC1">
              <w:rPr>
                <w:b/>
                <w:lang w:val="en-GB"/>
              </w:rPr>
              <w:t>impact</w:t>
            </w:r>
            <w:r w:rsidRPr="007F7BC1">
              <w:rPr>
                <w:lang w:val="en-GB"/>
              </w:rPr>
              <w:t xml:space="preserve"> will be measured by mortality (the number of dead dolphins) (indicator 1.3.1), where there is evidence that death occurred as a result of human activities. The monitoring on the impact carried out within the obligations of Bulgarian to ACCOBAMS.</w:t>
            </w:r>
          </w:p>
          <w:p w:rsidR="000A6194" w:rsidRPr="007F7BC1" w:rsidRDefault="000A6194" w:rsidP="009E5FEA">
            <w:pPr>
              <w:pStyle w:val="BodyText"/>
              <w:spacing w:line="240" w:lineRule="auto"/>
              <w:rPr>
                <w:lang w:val="en-GB"/>
              </w:rPr>
            </w:pPr>
            <w:r w:rsidRPr="007F7BC1">
              <w:rPr>
                <w:b/>
                <w:lang w:val="en-GB"/>
              </w:rPr>
              <w:t>Response</w:t>
            </w:r>
            <w:r w:rsidRPr="007F7BC1">
              <w:rPr>
                <w:lang w:val="en-GB"/>
              </w:rPr>
              <w:t xml:space="preserve"> – the information about the sources of pressure will be used to develop appropriate measures. It is necessary to improve the monitoring and assessment methods to determine of the causes of mortality of marine mammals and develop pressure-based measures.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3.3 Threats, activities and measures</w:t>
            </w:r>
          </w:p>
        </w:tc>
        <w:tc>
          <w:tcPr>
            <w:tcW w:w="12617" w:type="dxa"/>
          </w:tcPr>
          <w:p w:rsidR="000A6194" w:rsidRPr="007F7BC1" w:rsidRDefault="000A6194" w:rsidP="00911D68">
            <w:pPr>
              <w:pStyle w:val="BodyText"/>
              <w:spacing w:line="240" w:lineRule="auto"/>
              <w:rPr>
                <w:i/>
                <w:lang w:val="en-GB"/>
              </w:rPr>
            </w:pPr>
            <w:r w:rsidRPr="007F7BC1">
              <w:rPr>
                <w:i/>
                <w:lang w:val="en-GB"/>
              </w:rPr>
              <w:t>Which threats are identified</w:t>
            </w:r>
          </w:p>
          <w:p w:rsidR="000A6194" w:rsidRPr="007F7BC1" w:rsidRDefault="000A6194" w:rsidP="00911D68">
            <w:pPr>
              <w:pStyle w:val="BodyText"/>
              <w:spacing w:line="240" w:lineRule="auto"/>
              <w:rPr>
                <w:lang w:val="en-GB"/>
              </w:rPr>
            </w:pPr>
            <w:r w:rsidRPr="007F7BC1">
              <w:rPr>
                <w:lang w:val="en-GB"/>
              </w:rPr>
              <w:t>The main threats to marine mammals are injury and increased mortality from fishing (catches), contaminants, shipping and marine debris.</w:t>
            </w:r>
          </w:p>
          <w:p w:rsidR="000A6194" w:rsidRPr="007F7BC1" w:rsidRDefault="000A6194" w:rsidP="00911D68">
            <w:pPr>
              <w:pStyle w:val="BodyText"/>
              <w:spacing w:line="240" w:lineRule="auto"/>
              <w:rPr>
                <w:i/>
                <w:lang w:val="en-GB"/>
              </w:rPr>
            </w:pPr>
            <w:r w:rsidRPr="007F7BC1">
              <w:rPr>
                <w:i/>
                <w:lang w:val="en-GB"/>
              </w:rPr>
              <w:t>Which human activities will be measured by the programme</w:t>
            </w:r>
          </w:p>
          <w:p w:rsidR="008E2D4B" w:rsidRPr="008E2D4B" w:rsidRDefault="008E2D4B" w:rsidP="00911D68">
            <w:pPr>
              <w:pStyle w:val="BodyText"/>
              <w:spacing w:line="240" w:lineRule="auto"/>
              <w:rPr>
                <w:lang w:val="en-GB"/>
              </w:rPr>
            </w:pPr>
            <w:r>
              <w:rPr>
                <w:lang w:val="en-GB"/>
              </w:rPr>
              <w:t xml:space="preserve">Bulgarian has an operational </w:t>
            </w:r>
            <w:r w:rsidRPr="008E2D4B">
              <w:rPr>
                <w:lang w:val="en-GB"/>
              </w:rPr>
              <w:t xml:space="preserve">monitoring </w:t>
            </w:r>
            <w:r>
              <w:rPr>
                <w:lang w:val="en-GB"/>
              </w:rPr>
              <w:t>network for</w:t>
            </w:r>
            <w:r w:rsidRPr="008E2D4B">
              <w:rPr>
                <w:lang w:val="en-GB"/>
              </w:rPr>
              <w:t xml:space="preserve"> stranded </w:t>
            </w:r>
            <w:r>
              <w:rPr>
                <w:lang w:val="en-GB"/>
              </w:rPr>
              <w:t xml:space="preserve">marine </w:t>
            </w:r>
            <w:r w:rsidRPr="008E2D4B">
              <w:rPr>
                <w:lang w:val="en-GB"/>
              </w:rPr>
              <w:t>mamma</w:t>
            </w:r>
            <w:r w:rsidR="00D525A9">
              <w:rPr>
                <w:lang w:val="en-GB"/>
              </w:rPr>
              <w:t xml:space="preserve">ls. The aim of the network is </w:t>
            </w:r>
            <w:r w:rsidRPr="008E2D4B">
              <w:rPr>
                <w:lang w:val="en-GB"/>
              </w:rPr>
              <w:t xml:space="preserve">collection of basic data for mammals – entangled in discarded fishing nets, or found dead on shore, and the identification of the causes of increased mortality. This network is supported by the Institute of </w:t>
            </w:r>
            <w:r w:rsidR="00D525A9">
              <w:rPr>
                <w:lang w:val="en-GB"/>
              </w:rPr>
              <w:t>F</w:t>
            </w:r>
            <w:r w:rsidRPr="008E2D4B">
              <w:rPr>
                <w:lang w:val="en-GB"/>
              </w:rPr>
              <w:t xml:space="preserve">ishery </w:t>
            </w:r>
            <w:r w:rsidR="00D525A9">
              <w:rPr>
                <w:lang w:val="en-GB"/>
              </w:rPr>
              <w:t>R</w:t>
            </w:r>
            <w:r w:rsidRPr="008E2D4B">
              <w:rPr>
                <w:lang w:val="en-GB"/>
              </w:rPr>
              <w:t xml:space="preserve">esources-Varna, </w:t>
            </w:r>
            <w:r w:rsidR="00D525A9">
              <w:rPr>
                <w:lang w:val="en-GB"/>
              </w:rPr>
              <w:t xml:space="preserve">the </w:t>
            </w:r>
            <w:r w:rsidRPr="008E2D4B">
              <w:rPr>
                <w:lang w:val="en-GB"/>
              </w:rPr>
              <w:t>NGO "</w:t>
            </w:r>
            <w:r w:rsidR="00D525A9">
              <w:rPr>
                <w:lang w:val="en-GB"/>
              </w:rPr>
              <w:t>G</w:t>
            </w:r>
            <w:r w:rsidRPr="008E2D4B">
              <w:rPr>
                <w:lang w:val="en-GB"/>
              </w:rPr>
              <w:t xml:space="preserve">reen Balkans", </w:t>
            </w:r>
            <w:r w:rsidR="00D525A9">
              <w:rPr>
                <w:lang w:val="en-GB"/>
              </w:rPr>
              <w:t>the R</w:t>
            </w:r>
            <w:r w:rsidRPr="008E2D4B">
              <w:rPr>
                <w:lang w:val="en-GB"/>
              </w:rPr>
              <w:t>egional Inspectorate</w:t>
            </w:r>
            <w:r w:rsidR="00D525A9">
              <w:rPr>
                <w:lang w:val="en-GB"/>
              </w:rPr>
              <w:t>s</w:t>
            </w:r>
            <w:r w:rsidRPr="008E2D4B">
              <w:rPr>
                <w:lang w:val="en-GB"/>
              </w:rPr>
              <w:t xml:space="preserve"> of </w:t>
            </w:r>
            <w:r w:rsidR="00D525A9">
              <w:rPr>
                <w:lang w:val="en-GB"/>
              </w:rPr>
              <w:t>the E</w:t>
            </w:r>
            <w:r w:rsidRPr="008E2D4B">
              <w:rPr>
                <w:lang w:val="en-GB"/>
              </w:rPr>
              <w:t xml:space="preserve">nvironment and </w:t>
            </w:r>
            <w:r w:rsidR="00D525A9">
              <w:rPr>
                <w:lang w:val="en-GB"/>
              </w:rPr>
              <w:t>W</w:t>
            </w:r>
            <w:r w:rsidRPr="008E2D4B">
              <w:rPr>
                <w:lang w:val="en-GB"/>
              </w:rPr>
              <w:t>aters in Varna and Burgas.</w:t>
            </w:r>
          </w:p>
          <w:p w:rsidR="000A6194" w:rsidRPr="007F7BC1" w:rsidRDefault="000A6194" w:rsidP="00911D68">
            <w:pPr>
              <w:pStyle w:val="BodyText"/>
              <w:spacing w:line="240" w:lineRule="auto"/>
              <w:rPr>
                <w:lang w:val="en-GB"/>
              </w:rPr>
            </w:pPr>
            <w:r w:rsidRPr="007F7BC1">
              <w:rPr>
                <w:b/>
                <w:lang w:val="en-GB"/>
              </w:rPr>
              <w:t>Fisheries</w:t>
            </w:r>
            <w:r w:rsidRPr="007F7BC1">
              <w:rPr>
                <w:lang w:val="en-GB"/>
              </w:rPr>
              <w:t xml:space="preserve"> - Fishing is carried out in coastal waters, territorial sea and exclusive economic zone. The main impact of fisheries and incidental catch of marine mammals that lead to injury and death. In established cases of deaths by poisoning, data can be provided by the Regional Inspectorates of Environment and Water in Varna and Bourgas, according the Regulation on environmental protection in the marine environment.</w:t>
            </w:r>
          </w:p>
          <w:p w:rsidR="000A6194" w:rsidRPr="007F7BC1" w:rsidRDefault="000A6194" w:rsidP="00911D68">
            <w:pPr>
              <w:pStyle w:val="BodyText"/>
              <w:spacing w:line="240" w:lineRule="auto"/>
              <w:rPr>
                <w:lang w:val="en-GB"/>
              </w:rPr>
            </w:pPr>
            <w:r w:rsidRPr="007F7BC1">
              <w:rPr>
                <w:b/>
                <w:lang w:val="en-GB"/>
              </w:rPr>
              <w:t>Pollution</w:t>
            </w:r>
            <w:r w:rsidRPr="007F7BC1">
              <w:rPr>
                <w:lang w:val="en-GB"/>
              </w:rPr>
              <w:t xml:space="preserve"> - pollution from land-based and marine sources. Pollution data are available to the Black Sea Basin Directorate, which monitors the point sources of urban and industrial waste water sources and waters that are inhabited by shellfish. The cause of lethal or sublethal effects on marine mammals can be determined by analysing data on contaminants in the marine environment provided from the monitoring program as descriptors 8 and 9. When causes of death by poisoning are established, data can be provided by the Regional Inspectorates of environment and Water in Varna and </w:t>
            </w:r>
            <w:r w:rsidR="003D46D4" w:rsidRPr="007F7BC1">
              <w:rPr>
                <w:lang w:val="en-GB"/>
              </w:rPr>
              <w:t>Burgas</w:t>
            </w:r>
            <w:r w:rsidRPr="007F7BC1">
              <w:rPr>
                <w:lang w:val="en-GB"/>
              </w:rPr>
              <w:t>, according to the Regulation on the protection of the environment in marine waters. The existing software for migration and bioaccumulation of contaminants in the food chain can help understanding the effects of pollutants on marine mammals.</w:t>
            </w:r>
          </w:p>
          <w:p w:rsidR="000A6194" w:rsidRPr="007F7BC1" w:rsidRDefault="000A6194" w:rsidP="00911D68">
            <w:pPr>
              <w:pStyle w:val="BodyText"/>
              <w:spacing w:line="240" w:lineRule="auto"/>
              <w:rPr>
                <w:lang w:val="en-GB"/>
              </w:rPr>
            </w:pPr>
            <w:r w:rsidRPr="007F7BC1">
              <w:rPr>
                <w:b/>
                <w:lang w:val="en-GB"/>
              </w:rPr>
              <w:t>Shipping</w:t>
            </w:r>
            <w:r w:rsidRPr="007F7BC1">
              <w:rPr>
                <w:lang w:val="en-GB"/>
              </w:rPr>
              <w:t xml:space="preserve"> - direct impact is reflected in the injury or death due to collisions with vessels and indirect - from the effects of underwater noise on communication and behaviour of marine mammals. Injury data can be reported by Bulgaria in connection with obligations under ACCOBAMS (Agreement on the Conservation of Cetaceans in the Black Sea Mediterranean Sea and Contiguous Atlantic Area). Occurrence data can be provided by the Regional Inspectorates of Environment and Water in Varna and Burgas, according to the Regulation on the protection of the environment in marine waters. Therefore, the monitoring program can provide data on the status (abundance and distribution of marine mammals). Data on the effects of underwater noise on the distribution of mammals can be obtained from the monitoring program in descriptor 11 - Underwater noise.</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3.4 Data management</w:t>
            </w:r>
          </w:p>
        </w:tc>
        <w:tc>
          <w:tcPr>
            <w:tcW w:w="12617" w:type="dxa"/>
          </w:tcPr>
          <w:p w:rsidR="000A6194" w:rsidRPr="007F7BC1" w:rsidRDefault="000A6194" w:rsidP="00E82000">
            <w:pPr>
              <w:pStyle w:val="BodyText"/>
              <w:spacing w:line="240" w:lineRule="auto"/>
              <w:rPr>
                <w:i/>
                <w:lang w:val="en-GB"/>
              </w:rPr>
            </w:pPr>
            <w:r w:rsidRPr="007F7BC1">
              <w:rPr>
                <w:i/>
                <w:lang w:val="en-GB"/>
              </w:rPr>
              <w:t>How and where are data managed? How and where can data be accessed? (General description – programme level)</w:t>
            </w:r>
          </w:p>
          <w:p w:rsidR="000A6194" w:rsidRPr="007F7BC1" w:rsidRDefault="000A6194" w:rsidP="00626296">
            <w:pPr>
              <w:pStyle w:val="BodyText"/>
              <w:spacing w:line="240" w:lineRule="auto"/>
              <w:rPr>
                <w:lang w:val="en-GB"/>
              </w:rPr>
            </w:pPr>
            <w:r w:rsidRPr="007F7BC1">
              <w:rPr>
                <w:lang w:val="en-GB"/>
              </w:rPr>
              <w:t>The Institute of Oceanology and the Institute of Fisheries Aquaculture have historical data collected during their research cruises. The institutions do not have a single database to store different types of data. The data are not consistent with the requirements of the Directive s INSPIRE. Data collected within the various projects are only available as metadata.</w:t>
            </w:r>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b/>
                <w:i/>
                <w:color w:val="FFFFFF"/>
                <w:lang w:val="en-GB"/>
              </w:rPr>
            </w:pPr>
            <w:r w:rsidRPr="007F7BC1">
              <w:rPr>
                <w:b/>
                <w:color w:val="FFFFFF"/>
                <w:lang w:val="en-GB"/>
              </w:rPr>
              <w:t>4. Assessment</w:t>
            </w:r>
          </w:p>
        </w:tc>
      </w:tr>
      <w:tr w:rsidR="000A6194" w:rsidRPr="007F7BC1" w:rsidTr="00814054">
        <w:trPr>
          <w:trHeight w:val="2925"/>
        </w:trPr>
        <w:tc>
          <w:tcPr>
            <w:tcW w:w="0" w:type="auto"/>
          </w:tcPr>
          <w:p w:rsidR="000A6194" w:rsidRPr="007F7BC1" w:rsidRDefault="000A6194" w:rsidP="00E82000">
            <w:pPr>
              <w:pStyle w:val="BodyText"/>
              <w:spacing w:line="240" w:lineRule="auto"/>
              <w:rPr>
                <w:color w:val="4F81BD"/>
                <w:lang w:val="en-GB"/>
              </w:rPr>
            </w:pPr>
            <w:r w:rsidRPr="007F7BC1">
              <w:rPr>
                <w:color w:val="4F81BD"/>
                <w:lang w:val="en-GB"/>
              </w:rPr>
              <w:t>4.1 Assessments</w:t>
            </w:r>
          </w:p>
        </w:tc>
        <w:tc>
          <w:tcPr>
            <w:tcW w:w="12617" w:type="dxa"/>
          </w:tcPr>
          <w:p w:rsidR="000A6194" w:rsidRPr="007F7BC1" w:rsidRDefault="000A6194" w:rsidP="00E82000">
            <w:pPr>
              <w:pStyle w:val="BodyText"/>
              <w:spacing w:line="240" w:lineRule="auto"/>
              <w:rPr>
                <w:i/>
                <w:lang w:val="en-GB"/>
              </w:rPr>
            </w:pPr>
            <w:r w:rsidRPr="007F7BC1">
              <w:rPr>
                <w:i/>
                <w:lang w:val="en-GB"/>
              </w:rPr>
              <w:t xml:space="preserve">Existing assessments </w:t>
            </w:r>
          </w:p>
          <w:p w:rsidR="000A6194" w:rsidRPr="007F7BC1" w:rsidRDefault="000A6194" w:rsidP="00E82000">
            <w:pPr>
              <w:pStyle w:val="BodyText"/>
              <w:spacing w:line="240" w:lineRule="auto"/>
              <w:rPr>
                <w:b/>
                <w:lang w:val="en-GB"/>
              </w:rPr>
            </w:pPr>
            <w:r w:rsidRPr="007F7BC1">
              <w:rPr>
                <w:b/>
                <w:lang w:val="en-GB"/>
              </w:rPr>
              <w:t>Bulgarian reporting under Art. 8, 9 and 10 of the MSFD (in BG and EN)</w:t>
            </w:r>
          </w:p>
          <w:p w:rsidR="000A6194" w:rsidRPr="007F7BC1" w:rsidRDefault="000A6194" w:rsidP="00E82000">
            <w:pPr>
              <w:pStyle w:val="BodyText"/>
              <w:spacing w:line="240" w:lineRule="auto"/>
              <w:rPr>
                <w:lang w:val="en-GB"/>
              </w:rPr>
            </w:pPr>
            <w:r w:rsidRPr="007F7BC1">
              <w:rPr>
                <w:lang w:val="en-GB"/>
              </w:rPr>
              <w:t xml:space="preserve">URL: </w:t>
            </w:r>
            <w:hyperlink r:id="rId21" w:history="1">
              <w:r w:rsidRPr="007F7BC1">
                <w:rPr>
                  <w:rStyle w:val="Hyperlink"/>
                  <w:rFonts w:cs="Arial Unicode MS"/>
                  <w:lang w:val="en-GB"/>
                </w:rPr>
                <w:t>http://cdr.eionet.europa.eu/bg/eu/msfd8910/</w:t>
              </w:r>
            </w:hyperlink>
          </w:p>
          <w:p w:rsidR="000A6194" w:rsidRPr="007F7BC1" w:rsidRDefault="000A6194" w:rsidP="00E82000">
            <w:pPr>
              <w:pStyle w:val="BodyText"/>
              <w:spacing w:line="240" w:lineRule="auto"/>
              <w:rPr>
                <w:b/>
                <w:lang w:val="en-GB"/>
              </w:rPr>
            </w:pPr>
            <w:r w:rsidRPr="007F7BC1">
              <w:rPr>
                <w:b/>
                <w:lang w:val="en-GB"/>
              </w:rPr>
              <w:t>Southstream Project Environmental Impact Assessment (in Bulgarian)</w:t>
            </w:r>
          </w:p>
          <w:p w:rsidR="000A6194" w:rsidRPr="007F7BC1" w:rsidRDefault="00814054" w:rsidP="00E82000">
            <w:pPr>
              <w:pStyle w:val="BodyText"/>
              <w:spacing w:line="240" w:lineRule="auto"/>
              <w:rPr>
                <w:rStyle w:val="Hyperlink"/>
                <w:rFonts w:cs="Arial Unicode MS"/>
                <w:lang w:val="en-GB"/>
              </w:rPr>
            </w:pPr>
            <w:hyperlink r:id="rId22" w:history="1">
              <w:r w:rsidR="000A6194" w:rsidRPr="007F7BC1">
                <w:rPr>
                  <w:rStyle w:val="Hyperlink"/>
                  <w:rFonts w:cs="Arial Unicode MS"/>
                  <w:lang w:val="en-GB"/>
                </w:rPr>
                <w:t>http://www.south-stream-offshore.com/bg/ovoss/ovoss-v-blgariya/doklad-za-rezultatite-ovos-v-blgariya/</w:t>
              </w:r>
            </w:hyperlink>
          </w:p>
          <w:p w:rsidR="000A6194" w:rsidRPr="007F7BC1" w:rsidRDefault="000A6194" w:rsidP="00E82000">
            <w:pPr>
              <w:pStyle w:val="BodyText"/>
              <w:spacing w:line="240" w:lineRule="auto"/>
              <w:rPr>
                <w:lang w:val="en-GB"/>
              </w:rPr>
            </w:pPr>
            <w:r w:rsidRPr="007F7BC1">
              <w:rPr>
                <w:b/>
                <w:lang w:val="en-GB"/>
              </w:rPr>
              <w:t>Definition of the areas under national jurisdiction included in the Agreement’s field of application (over which the Agreement applies).</w:t>
            </w:r>
          </w:p>
          <w:p w:rsidR="000A6194" w:rsidRPr="007F7BC1" w:rsidRDefault="00814054" w:rsidP="00E82000">
            <w:pPr>
              <w:pStyle w:val="BodyText"/>
              <w:spacing w:line="240" w:lineRule="auto"/>
              <w:rPr>
                <w:lang w:val="en-GB"/>
              </w:rPr>
            </w:pPr>
            <w:hyperlink r:id="rId23" w:history="1">
              <w:r w:rsidR="000A6194" w:rsidRPr="007F7BC1">
                <w:rPr>
                  <w:rStyle w:val="Hyperlink"/>
                  <w:rFonts w:cs="Arial Unicode MS"/>
                  <w:lang w:val="en-GB"/>
                </w:rPr>
                <w:t>http://www.accobams.org/index.php?option=com_content&amp;view=article&amp;id=1056&amp;Itemid=86</w:t>
              </w:r>
            </w:hyperlink>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4.2 Assessment of GES</w:t>
            </w:r>
          </w:p>
        </w:tc>
        <w:tc>
          <w:tcPr>
            <w:tcW w:w="12617" w:type="dxa"/>
          </w:tcPr>
          <w:p w:rsidR="000A6194" w:rsidRPr="007F7BC1" w:rsidRDefault="000A6194" w:rsidP="00E82000">
            <w:pPr>
              <w:pStyle w:val="BodyText"/>
              <w:spacing w:line="240" w:lineRule="auto"/>
              <w:rPr>
                <w:i/>
                <w:lang w:val="en-GB"/>
              </w:rPr>
            </w:pPr>
            <w:r w:rsidRPr="007F7BC1">
              <w:rPr>
                <w:i/>
                <w:lang w:val="en-GB"/>
              </w:rPr>
              <w:t>Will assessment of GES be carried out by the programme</w:t>
            </w:r>
          </w:p>
          <w:p w:rsidR="000A6194" w:rsidRPr="007F7BC1" w:rsidRDefault="000A6194" w:rsidP="008C0EB4">
            <w:pPr>
              <w:pStyle w:val="BodyText"/>
              <w:spacing w:line="240" w:lineRule="auto"/>
              <w:rPr>
                <w:lang w:val="en-GB"/>
              </w:rPr>
            </w:pPr>
            <w:r w:rsidRPr="007F7BC1">
              <w:rPr>
                <w:lang w:val="en-GB"/>
              </w:rPr>
              <w:t>The program will provide initial data for assessing the GES. The necessary changes in the programme to provide data on GES are specified in section 6.</w:t>
            </w:r>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b/>
                <w:color w:val="FFFFFF"/>
                <w:lang w:val="en-GB"/>
              </w:rPr>
            </w:pPr>
            <w:r w:rsidRPr="007F7BC1">
              <w:rPr>
                <w:b/>
                <w:color w:val="FFFFFF"/>
                <w:lang w:val="en-GB"/>
              </w:rPr>
              <w:t>5. Literature</w:t>
            </w:r>
          </w:p>
        </w:tc>
      </w:tr>
      <w:tr w:rsidR="000A6194" w:rsidRPr="007F7BC1" w:rsidTr="00814054">
        <w:tc>
          <w:tcPr>
            <w:tcW w:w="0" w:type="auto"/>
          </w:tcPr>
          <w:p w:rsidR="000A6194" w:rsidRPr="007F7BC1" w:rsidRDefault="000A6194" w:rsidP="00E82000">
            <w:pPr>
              <w:pStyle w:val="BodyText"/>
              <w:spacing w:line="240" w:lineRule="auto"/>
              <w:rPr>
                <w:lang w:val="en-GB"/>
              </w:rPr>
            </w:pPr>
          </w:p>
        </w:tc>
        <w:tc>
          <w:tcPr>
            <w:tcW w:w="12617" w:type="dxa"/>
          </w:tcPr>
          <w:p w:rsidR="000A6194" w:rsidRPr="007F7BC1" w:rsidRDefault="000A6194" w:rsidP="00E82000">
            <w:pPr>
              <w:pStyle w:val="BodyText"/>
              <w:spacing w:line="240" w:lineRule="auto"/>
              <w:rPr>
                <w:i/>
                <w:lang w:val="en-GB"/>
              </w:rPr>
            </w:pPr>
            <w:r w:rsidRPr="007F7BC1">
              <w:rPr>
                <w:i/>
                <w:lang w:val="en-GB"/>
              </w:rPr>
              <w:t>List of relevant literature</w:t>
            </w:r>
          </w:p>
          <w:p w:rsidR="000A6194" w:rsidRPr="007F7BC1" w:rsidRDefault="000A6194" w:rsidP="00E82000">
            <w:pPr>
              <w:pStyle w:val="BodyText"/>
              <w:spacing w:line="240" w:lineRule="auto"/>
              <w:rPr>
                <w:lang w:val="en-GB"/>
              </w:rPr>
            </w:pPr>
            <w:r w:rsidRPr="007F7BC1">
              <w:rPr>
                <w:lang w:val="en-GB"/>
              </w:rPr>
              <w:t xml:space="preserve">ACCOBAMS Guidelines. URL: </w:t>
            </w:r>
            <w:hyperlink r:id="rId24" w:history="1">
              <w:r w:rsidRPr="007F7BC1">
                <w:rPr>
                  <w:rStyle w:val="Hyperlink"/>
                  <w:rFonts w:cs="Arial Unicode MS"/>
                  <w:lang w:val="en-GB"/>
                </w:rPr>
                <w:t>http://www.accobams.org/</w:t>
              </w:r>
            </w:hyperlink>
            <w:r w:rsidRPr="007F7BC1">
              <w:rPr>
                <w:lang w:val="en-GB"/>
              </w:rPr>
              <w:t xml:space="preserve"> (Go to Documents &gt; Guidelines)</w:t>
            </w:r>
          </w:p>
          <w:p w:rsidR="000A6194" w:rsidRPr="007F7BC1" w:rsidRDefault="000A6194" w:rsidP="00E82000">
            <w:pPr>
              <w:pStyle w:val="BodyText"/>
              <w:spacing w:line="240" w:lineRule="auto"/>
              <w:rPr>
                <w:lang w:val="en-GB"/>
              </w:rPr>
            </w:pPr>
            <w:r w:rsidRPr="007F7BC1">
              <w:rPr>
                <w:lang w:val="en-GB"/>
              </w:rPr>
              <w:t xml:space="preserve">PAMGUARD software. URL: </w:t>
            </w:r>
            <w:hyperlink r:id="rId25" w:history="1">
              <w:r w:rsidRPr="007F7BC1">
                <w:rPr>
                  <w:rStyle w:val="Hyperlink"/>
                  <w:rFonts w:cs="Arial Unicode MS"/>
                  <w:lang w:val="en-GB"/>
                </w:rPr>
                <w:t>http://www.pamguard.org/</w:t>
              </w:r>
            </w:hyperlink>
          </w:p>
          <w:p w:rsidR="000A6194" w:rsidRPr="007F7BC1" w:rsidRDefault="000A6194" w:rsidP="009E0158">
            <w:pPr>
              <w:pStyle w:val="BodyText"/>
              <w:rPr>
                <w:lang w:val="en-GB"/>
              </w:rPr>
            </w:pPr>
            <w:r w:rsidRPr="007F7BC1">
              <w:rPr>
                <w:lang w:val="en-GB"/>
              </w:rPr>
              <w:t xml:space="preserve">Zampoukas, N., H. Piha, 2011. Review of Methodological Standards Related to the Marine Strategy Framework Directive Criteria on Good Environmental Status. Publications Office of the European Union, 53 pp. URL: &lt; </w:t>
            </w:r>
            <w:hyperlink r:id="rId26" w:history="1">
              <w:r w:rsidRPr="007F7BC1">
                <w:rPr>
                  <w:rStyle w:val="Hyperlink"/>
                  <w:rFonts w:cs="Arial Unicode MS"/>
                  <w:lang w:val="en-GB"/>
                </w:rPr>
                <w:t>http://publications.jrc.ec.europa.eu/repository/handle/111111111/16069</w:t>
              </w:r>
            </w:hyperlink>
            <w:r w:rsidRPr="007F7BC1">
              <w:rPr>
                <w:lang w:val="en-GB"/>
              </w:rPr>
              <w:t>&gt;;</w:t>
            </w:r>
          </w:p>
          <w:p w:rsidR="000A6194" w:rsidRPr="007F7BC1" w:rsidRDefault="000A6194" w:rsidP="00E82000">
            <w:pPr>
              <w:pStyle w:val="BodyText"/>
              <w:spacing w:line="240" w:lineRule="auto"/>
              <w:rPr>
                <w:lang w:val="en-GB"/>
              </w:rPr>
            </w:pPr>
            <w:r w:rsidRPr="007F7BC1">
              <w:rPr>
                <w:lang w:val="en-GB"/>
              </w:rPr>
              <w:t xml:space="preserve">Zampoukas, N., H. Piha, E. Bigagli, N. Hoepffner, G. Hanke, A. Cardoso, 2012. Monitoring for the Marine Strategy Framework Directive: Requirements and Options. Publications Office of the European Union, 42 pp. URL: </w:t>
            </w:r>
            <w:hyperlink r:id="rId27" w:history="1">
              <w:r w:rsidRPr="007F7BC1">
                <w:rPr>
                  <w:rStyle w:val="Hyperlink"/>
                  <w:rFonts w:cs="Arial Unicode MS"/>
                  <w:lang w:val="en-GB"/>
                </w:rPr>
                <w:t>http://publications.jrc.ec.europa.eu/repository/handle/111111111/23169</w:t>
              </w:r>
            </w:hyperlink>
            <w:r w:rsidRPr="007F7BC1">
              <w:rPr>
                <w:lang w:val="en-GB"/>
              </w:rPr>
              <w:t xml:space="preserve"> </w:t>
            </w:r>
          </w:p>
          <w:p w:rsidR="000A6194" w:rsidRPr="007F7BC1" w:rsidRDefault="000A6194" w:rsidP="00E82000">
            <w:pPr>
              <w:pStyle w:val="BodyText"/>
              <w:spacing w:line="240" w:lineRule="auto"/>
              <w:rPr>
                <w:color w:val="0000FF"/>
                <w:u w:val="single"/>
                <w:lang w:val="en-GB"/>
              </w:rPr>
            </w:pPr>
            <w:r w:rsidRPr="007F7BC1">
              <w:rPr>
                <w:lang w:val="en-GB"/>
              </w:rPr>
              <w:t xml:space="preserve">Guidance to Manage the Risk to Marine Mammals from Man-made Sound Sources in Irish Waters, 2014. See Appenidx 6 – Marine mammals recording form – sightings. URL: </w:t>
            </w:r>
            <w:hyperlink r:id="rId28" w:history="1">
              <w:r w:rsidRPr="007F7BC1">
                <w:rPr>
                  <w:rStyle w:val="Hyperlink"/>
                  <w:rFonts w:cs="Arial Unicode MS"/>
                  <w:lang w:val="en-GB"/>
                </w:rPr>
                <w:t>http://www.npws.ie/</w:t>
              </w:r>
            </w:hyperlink>
          </w:p>
        </w:tc>
      </w:tr>
      <w:tr w:rsidR="000A6194" w:rsidRPr="007F7BC1" w:rsidTr="00814054">
        <w:tc>
          <w:tcPr>
            <w:tcW w:w="15310" w:type="dxa"/>
            <w:gridSpan w:val="2"/>
            <w:shd w:val="clear" w:color="auto" w:fill="4F81BD"/>
            <w:vAlign w:val="center"/>
          </w:tcPr>
          <w:p w:rsidR="000A6194" w:rsidRPr="007F7BC1" w:rsidRDefault="000A6194" w:rsidP="00E82000">
            <w:pPr>
              <w:pStyle w:val="BodyText"/>
              <w:spacing w:line="240" w:lineRule="auto"/>
              <w:jc w:val="center"/>
              <w:rPr>
                <w:b/>
                <w:color w:val="FFFFFF"/>
                <w:lang w:val="en-GB"/>
              </w:rPr>
            </w:pPr>
            <w:r w:rsidRPr="007F7BC1">
              <w:rPr>
                <w:b/>
                <w:color w:val="FFFFFF"/>
                <w:lang w:val="en-GB"/>
              </w:rPr>
              <w:t>6. Activities required to implement the concept</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6.1 Changes to the current monitoring programme</w:t>
            </w:r>
          </w:p>
        </w:tc>
        <w:tc>
          <w:tcPr>
            <w:tcW w:w="12617" w:type="dxa"/>
          </w:tcPr>
          <w:p w:rsidR="000A6194" w:rsidRPr="007F7BC1" w:rsidRDefault="000A6194" w:rsidP="00E82000">
            <w:pPr>
              <w:pStyle w:val="BodyText"/>
              <w:spacing w:line="240" w:lineRule="auto"/>
              <w:rPr>
                <w:i/>
                <w:lang w:val="en-GB"/>
              </w:rPr>
            </w:pPr>
            <w:r w:rsidRPr="007F7BC1">
              <w:rPr>
                <w:i/>
                <w:lang w:val="en-GB"/>
              </w:rPr>
              <w:t>Necessary changes and recommendations</w:t>
            </w:r>
          </w:p>
          <w:p w:rsidR="000A6194" w:rsidRPr="007F7BC1" w:rsidRDefault="000A6194" w:rsidP="008D3AC6">
            <w:pPr>
              <w:pStyle w:val="Normal1"/>
              <w:numPr>
                <w:ilvl w:val="0"/>
                <w:numId w:val="20"/>
              </w:numPr>
              <w:spacing w:after="120" w:line="240" w:lineRule="auto"/>
              <w:ind w:left="360"/>
              <w:rPr>
                <w:i/>
                <w:lang w:val="en-GB"/>
              </w:rPr>
            </w:pPr>
            <w:r w:rsidRPr="007F7BC1">
              <w:rPr>
                <w:rFonts w:cs="Times New Roman"/>
                <w:lang w:val="en-GB"/>
              </w:rPr>
              <w:t xml:space="preserve">The lack of specialized research on the abundance and demographic </w:t>
            </w:r>
            <w:r w:rsidRPr="007F7BC1">
              <w:rPr>
                <w:lang w:val="en-GB"/>
              </w:rPr>
              <w:t>characteristics</w:t>
            </w:r>
            <w:r w:rsidRPr="007F7BC1">
              <w:rPr>
                <w:rFonts w:cs="Times New Roman"/>
                <w:lang w:val="en-GB"/>
              </w:rPr>
              <w:t xml:space="preserve"> of the marine mammals in the Bulgarian marine waters causes serious information gap; Seasonal (May, July, September) field observations about the distribution, species composition and abundance of marine mammals to fill in the gaps in information;</w:t>
            </w:r>
          </w:p>
          <w:p w:rsidR="000A6194" w:rsidRPr="007F7BC1" w:rsidRDefault="000A6194" w:rsidP="008D3AC6">
            <w:pPr>
              <w:pStyle w:val="Normal1"/>
              <w:numPr>
                <w:ilvl w:val="0"/>
                <w:numId w:val="20"/>
              </w:numPr>
              <w:spacing w:after="120" w:line="240" w:lineRule="auto"/>
              <w:ind w:left="360"/>
              <w:rPr>
                <w:lang w:val="en-GB"/>
              </w:rPr>
            </w:pPr>
            <w:r w:rsidRPr="007F7BC1">
              <w:rPr>
                <w:lang w:val="en-GB"/>
              </w:rPr>
              <w:t>better coordination with other institutions / organizations providing information related to the state or impact on the marine environment;</w:t>
            </w:r>
          </w:p>
          <w:p w:rsidR="000A6194" w:rsidRPr="007F7BC1" w:rsidRDefault="000A6194" w:rsidP="008D3AC6">
            <w:pPr>
              <w:pStyle w:val="Normal1"/>
              <w:numPr>
                <w:ilvl w:val="0"/>
                <w:numId w:val="20"/>
              </w:numPr>
              <w:spacing w:after="120" w:line="240" w:lineRule="auto"/>
              <w:ind w:left="360"/>
              <w:rPr>
                <w:lang w:val="en-GB"/>
              </w:rPr>
            </w:pPr>
            <w:r w:rsidRPr="007F7BC1">
              <w:rPr>
                <w:lang w:val="en-GB"/>
              </w:rPr>
              <w:t>ensuring sufficient capacity of the competent authorities and organizations (such as human resources, expertise and equipment) for the design and monitoring of the marine environment;</w:t>
            </w:r>
          </w:p>
          <w:p w:rsidR="000A6194" w:rsidRPr="007F7BC1" w:rsidRDefault="000A6194" w:rsidP="008D3AC6">
            <w:pPr>
              <w:pStyle w:val="Normal1"/>
              <w:numPr>
                <w:ilvl w:val="0"/>
                <w:numId w:val="20"/>
              </w:numPr>
              <w:spacing w:after="120" w:line="240" w:lineRule="auto"/>
              <w:ind w:left="360"/>
              <w:rPr>
                <w:lang w:val="en-GB"/>
              </w:rPr>
            </w:pPr>
            <w:r w:rsidRPr="007F7BC1">
              <w:rPr>
                <w:lang w:val="en-GB"/>
              </w:rPr>
              <w:t>development of indicators and criteria to assess the changes in the components of the marine environment in relation to climate change and to distinguish them from the effects of anthropogenic pressures; Providing the necessary and timely funding of the implementation of monitoring programs in accordance with the MSFD;</w:t>
            </w:r>
          </w:p>
          <w:p w:rsidR="000A6194" w:rsidRPr="007F7BC1" w:rsidRDefault="000A6194" w:rsidP="008D3AC6">
            <w:pPr>
              <w:pStyle w:val="Normal1"/>
              <w:numPr>
                <w:ilvl w:val="0"/>
                <w:numId w:val="20"/>
              </w:numPr>
              <w:spacing w:after="120" w:line="240" w:lineRule="auto"/>
              <w:ind w:left="360"/>
              <w:rPr>
                <w:lang w:val="en-GB"/>
              </w:rPr>
            </w:pPr>
            <w:r w:rsidRPr="007F7BC1">
              <w:rPr>
                <w:lang w:val="en-GB"/>
              </w:rPr>
              <w:t>improving the data and information management related to the state of the marine environment; improving access to national and regional databases and data from projects funded by the EC and other financial instruments.</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 xml:space="preserve">6.2 Gaps: GES information </w:t>
            </w:r>
          </w:p>
        </w:tc>
        <w:tc>
          <w:tcPr>
            <w:tcW w:w="12617" w:type="dxa"/>
          </w:tcPr>
          <w:p w:rsidR="000A6194" w:rsidRPr="007F7BC1" w:rsidRDefault="000A6194" w:rsidP="00E82000">
            <w:pPr>
              <w:pStyle w:val="BodyText"/>
              <w:spacing w:line="240" w:lineRule="auto"/>
              <w:rPr>
                <w:i/>
                <w:lang w:val="en-GB"/>
              </w:rPr>
            </w:pPr>
            <w:r w:rsidRPr="007F7BC1">
              <w:rPr>
                <w:i/>
                <w:lang w:val="en-GB"/>
              </w:rPr>
              <w:t xml:space="preserve">If not yet adequate for data and information needs to assess GES, describe when the programme will be considered fully adequate </w:t>
            </w:r>
          </w:p>
          <w:p w:rsidR="000A6194" w:rsidRPr="007F7BC1" w:rsidRDefault="000A6194" w:rsidP="00E82000">
            <w:pPr>
              <w:pStyle w:val="BodyText"/>
              <w:spacing w:line="240" w:lineRule="auto"/>
              <w:rPr>
                <w:lang w:val="en-GB"/>
              </w:rPr>
            </w:pPr>
            <w:r w:rsidRPr="007F7BC1">
              <w:rPr>
                <w:lang w:val="en-GB"/>
              </w:rPr>
              <w:t>The programme is expected to be adequate for information on GES in time for next assessment in 2018</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6.3 Plans: Plans for GES information</w:t>
            </w:r>
          </w:p>
        </w:tc>
        <w:tc>
          <w:tcPr>
            <w:tcW w:w="12617" w:type="dxa"/>
          </w:tcPr>
          <w:p w:rsidR="000A6194" w:rsidRPr="007F7BC1" w:rsidRDefault="000A6194" w:rsidP="00E82000">
            <w:pPr>
              <w:pStyle w:val="BodyText"/>
              <w:spacing w:line="240" w:lineRule="auto"/>
              <w:rPr>
                <w:i/>
                <w:lang w:val="en-GB"/>
              </w:rPr>
            </w:pPr>
            <w:r w:rsidRPr="007F7BC1">
              <w:rPr>
                <w:i/>
                <w:lang w:val="en-GB"/>
              </w:rPr>
              <w:t>If the programme is not considered fully adequate for data and information needs to assess GES, describe what plans are in place to make it fully adequate (e.g. to fill gaps in data methods, understanding or capacity). Describe timeframe, priorities and obstacles.</w:t>
            </w:r>
          </w:p>
          <w:p w:rsidR="000A6194" w:rsidRPr="007F7BC1" w:rsidRDefault="000A6194" w:rsidP="00873E47">
            <w:pPr>
              <w:spacing w:after="120" w:line="240" w:lineRule="auto"/>
              <w:jc w:val="both"/>
              <w:rPr>
                <w:rFonts w:cs="Times New Roman"/>
                <w:lang w:val="en-GB"/>
              </w:rPr>
            </w:pPr>
            <w:r w:rsidRPr="007F7BC1">
              <w:rPr>
                <w:rFonts w:cs="Times New Roman"/>
                <w:lang w:val="en-GB"/>
              </w:rPr>
              <w:t xml:space="preserve">In the period 2015-2016 studies are planned to fill the gaps in the available information about the state of the marine environment and on this basis – developing proposals to improve the MSFD monitoring programme. The conduct of a pilot study by carrying out observations on board a vessel and acoustically – through the use of the hydrophone system. </w:t>
            </w:r>
          </w:p>
          <w:p w:rsidR="000A6194" w:rsidRPr="007F7BC1" w:rsidRDefault="000A6194" w:rsidP="00873E47">
            <w:pPr>
              <w:spacing w:after="120" w:line="240" w:lineRule="auto"/>
              <w:jc w:val="both"/>
              <w:rPr>
                <w:rFonts w:cs="Times New Roman"/>
                <w:lang w:val="en-GB"/>
              </w:rPr>
            </w:pPr>
            <w:r w:rsidRPr="007F7BC1">
              <w:rPr>
                <w:rFonts w:cs="Times New Roman"/>
                <w:lang w:val="en-GB"/>
              </w:rPr>
              <w:t xml:space="preserve">The </w:t>
            </w:r>
            <w:r w:rsidR="009A399A">
              <w:rPr>
                <w:rFonts w:cs="Times New Roman"/>
                <w:lang w:val="en-GB"/>
              </w:rPr>
              <w:t>study is</w:t>
            </w:r>
            <w:r w:rsidRPr="007F7BC1">
              <w:rPr>
                <w:rFonts w:cs="Times New Roman"/>
                <w:lang w:val="en-GB"/>
              </w:rPr>
              <w:t xml:space="preserve"> expected to provide indicators for the distribution of the species and abundance of the populations of cetaceans. </w:t>
            </w:r>
          </w:p>
          <w:p w:rsidR="000A6194" w:rsidRPr="007F7BC1" w:rsidRDefault="000A6194" w:rsidP="00873E47">
            <w:pPr>
              <w:spacing w:after="120" w:line="240" w:lineRule="auto"/>
              <w:rPr>
                <w:rFonts w:cs="Times New Roman"/>
                <w:lang w:val="en-GB"/>
              </w:rPr>
            </w:pPr>
            <w:r w:rsidRPr="007F7BC1">
              <w:rPr>
                <w:rFonts w:cs="Times New Roman"/>
                <w:lang w:val="en-GB"/>
              </w:rPr>
              <w:t>Actions are taken to increase the capacity of the Black Sea Basin Directorate in relation to the implementation of the adopted obligation under the MSFD, including in planning of monitoring programmes, the programmes of measures, etc.</w:t>
            </w:r>
          </w:p>
          <w:p w:rsidR="000A6194" w:rsidRPr="007F7BC1" w:rsidRDefault="000A6194" w:rsidP="00873E47">
            <w:pPr>
              <w:spacing w:after="120" w:line="240" w:lineRule="auto"/>
              <w:rPr>
                <w:rFonts w:eastAsia="Malgun Gothic"/>
                <w:lang w:val="en-GB" w:eastAsia="ko-KR"/>
              </w:rPr>
            </w:pPr>
            <w:r w:rsidRPr="007F7BC1">
              <w:rPr>
                <w:rFonts w:eastAsia="Malgun Gothic"/>
                <w:lang w:val="en-GB" w:eastAsia="ko-KR"/>
              </w:rPr>
              <w:t>In the period 2015-2016 new modules of the water in Bulgarian Water Information system. One of the planned modules will include data and information on the application of MSFD, incl. programs and subprogrammes for monitoring data, monitoring data undertaken achieve the GES, targets, indicators in individual descriptors, measures and their implementation, etc.</w:t>
            </w:r>
          </w:p>
          <w:p w:rsidR="000A6194" w:rsidRPr="007F7BC1" w:rsidRDefault="000A6194" w:rsidP="00873E47">
            <w:pPr>
              <w:spacing w:after="120" w:line="240" w:lineRule="auto"/>
              <w:jc w:val="both"/>
              <w:rPr>
                <w:rFonts w:cs="Times New Roman"/>
                <w:lang w:val="en-GB"/>
              </w:rPr>
            </w:pPr>
            <w:r w:rsidRPr="007F7BC1">
              <w:rPr>
                <w:rFonts w:cs="Times New Roman"/>
                <w:lang w:val="en-GB"/>
              </w:rPr>
              <w:t>Improving coordination with other institutions/organizations providing information relating to the status or the impact on the marine environment.</w:t>
            </w:r>
          </w:p>
          <w:p w:rsidR="000A6194" w:rsidRPr="007F7BC1" w:rsidRDefault="000A6194" w:rsidP="009A399A">
            <w:pPr>
              <w:pStyle w:val="BodyText"/>
              <w:spacing w:line="240" w:lineRule="auto"/>
              <w:rPr>
                <w:iCs/>
                <w:lang w:val="en-GB"/>
              </w:rPr>
            </w:pPr>
            <w:r w:rsidRPr="007F7BC1">
              <w:rPr>
                <w:lang w:val="en-GB"/>
              </w:rPr>
              <w:t xml:space="preserve">Consider of the feasibility of the use of standardized </w:t>
            </w:r>
            <w:r w:rsidR="009A399A">
              <w:rPr>
                <w:lang w:val="en-GB"/>
              </w:rPr>
              <w:t xml:space="preserve">“European Seabirds at Sea” (ESAS) </w:t>
            </w:r>
            <w:r w:rsidRPr="007F7BC1">
              <w:rPr>
                <w:lang w:val="en-GB"/>
              </w:rPr>
              <w:t>monitoring, to record marine mammals and standard forms to streamline data collection, processing, reporting and assessment in a comparable and compatible way.</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 xml:space="preserve">6.4 Gaps: Target information </w:t>
            </w:r>
          </w:p>
        </w:tc>
        <w:tc>
          <w:tcPr>
            <w:tcW w:w="12617" w:type="dxa"/>
          </w:tcPr>
          <w:p w:rsidR="000A6194" w:rsidRPr="007F7BC1" w:rsidRDefault="000A6194" w:rsidP="00E82000">
            <w:pPr>
              <w:pStyle w:val="BodyText"/>
              <w:spacing w:line="240" w:lineRule="auto"/>
              <w:rPr>
                <w:i/>
                <w:lang w:val="en-GB"/>
              </w:rPr>
            </w:pPr>
            <w:r w:rsidRPr="007F7BC1">
              <w:rPr>
                <w:i/>
                <w:lang w:val="en-GB"/>
              </w:rPr>
              <w:t>If not yet adequate for data and information needs to assess targets, describe when the programme will be considered fully adequate</w:t>
            </w:r>
          </w:p>
          <w:p w:rsidR="000A6194" w:rsidRPr="007F7BC1" w:rsidRDefault="000A6194" w:rsidP="0000384B">
            <w:pPr>
              <w:pStyle w:val="BodyText"/>
              <w:spacing w:line="240" w:lineRule="auto"/>
              <w:rPr>
                <w:lang w:val="en-GB"/>
              </w:rPr>
            </w:pPr>
            <w:r w:rsidRPr="007F7BC1">
              <w:rPr>
                <w:lang w:val="en-GB"/>
              </w:rPr>
              <w:t>The programme is expected to be adequate for information on GES targets in time for next assessment in 2018</w:t>
            </w:r>
          </w:p>
        </w:tc>
      </w:tr>
      <w:tr w:rsidR="000A6194" w:rsidRPr="007F7BC1" w:rsidTr="00814054">
        <w:tc>
          <w:tcPr>
            <w:tcW w:w="0" w:type="auto"/>
          </w:tcPr>
          <w:p w:rsidR="000A6194" w:rsidRPr="007F7BC1" w:rsidRDefault="000A6194" w:rsidP="00E82000">
            <w:pPr>
              <w:pStyle w:val="BodyText"/>
              <w:spacing w:line="240" w:lineRule="auto"/>
              <w:rPr>
                <w:color w:val="4F81BD"/>
                <w:lang w:val="en-GB"/>
              </w:rPr>
            </w:pPr>
            <w:r w:rsidRPr="007F7BC1">
              <w:rPr>
                <w:color w:val="4F81BD"/>
                <w:lang w:val="en-GB"/>
              </w:rPr>
              <w:t>6.5 Plans: Plans for information on targets</w:t>
            </w:r>
          </w:p>
        </w:tc>
        <w:tc>
          <w:tcPr>
            <w:tcW w:w="12617" w:type="dxa"/>
          </w:tcPr>
          <w:p w:rsidR="000A6194" w:rsidRPr="007F7BC1" w:rsidRDefault="000A6194" w:rsidP="00E82000">
            <w:pPr>
              <w:pStyle w:val="BodyText"/>
              <w:spacing w:line="240" w:lineRule="auto"/>
              <w:rPr>
                <w:i/>
                <w:lang w:val="en-GB"/>
              </w:rPr>
            </w:pPr>
            <w:r w:rsidRPr="007F7BC1">
              <w:rPr>
                <w:i/>
                <w:lang w:val="en-GB"/>
              </w:rPr>
              <w:t>If the programme is not considered fully adequate for data and information needs to assess targets, describe what plans are in place to make it fully adequate (e.g. to fill gaps in data methods or capacity). Describe timeframe, priorities and obstacles.</w:t>
            </w:r>
          </w:p>
          <w:p w:rsidR="000A6194" w:rsidRPr="007F7BC1" w:rsidRDefault="000A6194" w:rsidP="00A018F7">
            <w:pPr>
              <w:pStyle w:val="BodyText"/>
              <w:spacing w:line="240" w:lineRule="auto"/>
              <w:rPr>
                <w:iCs/>
                <w:lang w:val="en-GB"/>
              </w:rPr>
            </w:pPr>
            <w:r w:rsidRPr="007F7BC1">
              <w:rPr>
                <w:iCs/>
                <w:lang w:val="en-GB"/>
              </w:rPr>
              <w:t>The described in Section 6.3 (Plans for information on GES) research is expected to provide and update information / clarification of objectives. The results will be shared with Romania, to ensure greater coherence in subsequent implementation of the MSFD, and also within the Commission for Protection of the Black Sea against Pollution.</w:t>
            </w:r>
          </w:p>
          <w:p w:rsidR="000A6194" w:rsidRPr="007F7BC1" w:rsidRDefault="000A6194" w:rsidP="0008162D">
            <w:pPr>
              <w:pStyle w:val="BodyText"/>
              <w:spacing w:line="240" w:lineRule="auto"/>
              <w:rPr>
                <w:iCs/>
                <w:lang w:val="en-GB"/>
              </w:rPr>
            </w:pPr>
            <w:r w:rsidRPr="007F7BC1">
              <w:rPr>
                <w:iCs/>
                <w:lang w:val="en-GB"/>
              </w:rPr>
              <w:t>On this basis, it is necessary Bulgaria and Romania to review and develop commonly agreed objectives based on agreed, if not harmonized indicators for their marine waters, taking into account the assessment and recommendations of the European Commission.</w:t>
            </w:r>
          </w:p>
        </w:tc>
      </w:tr>
    </w:tbl>
    <w:p w:rsidR="00DA7EAE" w:rsidRPr="007F7BC1" w:rsidRDefault="00DA7EAE">
      <w:pPr>
        <w:pStyle w:val="BodyText"/>
        <w:rPr>
          <w:lang w:val="en-GB"/>
        </w:rPr>
      </w:pPr>
    </w:p>
    <w:sectPr w:rsidR="00DA7EAE" w:rsidRPr="007F7BC1" w:rsidSect="00814054">
      <w:pgSz w:w="16838" w:h="11906" w:orient="landscape"/>
      <w:pgMar w:top="1134" w:right="1701"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4E6" w:rsidRDefault="00BB74E6" w:rsidP="00183C3A">
      <w:pPr>
        <w:spacing w:after="0" w:line="240" w:lineRule="auto"/>
      </w:pPr>
      <w:r>
        <w:separator/>
      </w:r>
    </w:p>
  </w:endnote>
  <w:endnote w:type="continuationSeparator" w:id="0">
    <w:p w:rsidR="00BB74E6" w:rsidRDefault="00BB74E6"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4E6" w:rsidRDefault="00BB74E6" w:rsidP="00183C3A">
      <w:pPr>
        <w:spacing w:after="0" w:line="240" w:lineRule="auto"/>
      </w:pPr>
      <w:r>
        <w:separator/>
      </w:r>
    </w:p>
  </w:footnote>
  <w:footnote w:type="continuationSeparator" w:id="0">
    <w:p w:rsidR="00BB74E6" w:rsidRDefault="00BB74E6"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2695F"/>
    <w:multiLevelType w:val="hybridMultilevel"/>
    <w:tmpl w:val="8214BA3E"/>
    <w:lvl w:ilvl="0" w:tplc="F8AC8F82">
      <w:start w:val="2"/>
      <w:numFmt w:val="bullet"/>
      <w:lvlText w:val="-"/>
      <w:lvlJc w:val="left"/>
      <w:pPr>
        <w:ind w:left="1080" w:hanging="360"/>
      </w:pPr>
      <w:rPr>
        <w:rFonts w:ascii="Calibri" w:eastAsia="Times New Roman" w:hAnsi="Calibri"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nsid w:val="23D5633D"/>
    <w:multiLevelType w:val="hybridMultilevel"/>
    <w:tmpl w:val="39A834DA"/>
    <w:lvl w:ilvl="0" w:tplc="08090019">
      <w:start w:val="1"/>
      <w:numFmt w:val="lowerLetter"/>
      <w:lvlText w:val="%1."/>
      <w:lvlJc w:val="left"/>
      <w:pPr>
        <w:ind w:left="765" w:hanging="360"/>
      </w:pPr>
      <w:rPr>
        <w:rFonts w:cs="Times New Roman"/>
      </w:rPr>
    </w:lvl>
    <w:lvl w:ilvl="1" w:tplc="08090019">
      <w:start w:val="1"/>
      <w:numFmt w:val="lowerLetter"/>
      <w:lvlText w:val="%2."/>
      <w:lvlJc w:val="left"/>
      <w:pPr>
        <w:ind w:left="1485" w:hanging="360"/>
      </w:pPr>
      <w:rPr>
        <w:rFonts w:cs="Times New Roman"/>
      </w:rPr>
    </w:lvl>
    <w:lvl w:ilvl="2" w:tplc="0809001B">
      <w:start w:val="1"/>
      <w:numFmt w:val="lowerRoman"/>
      <w:lvlText w:val="%3."/>
      <w:lvlJc w:val="right"/>
      <w:pPr>
        <w:ind w:left="2205" w:hanging="180"/>
      </w:pPr>
      <w:rPr>
        <w:rFonts w:cs="Times New Roman"/>
      </w:rPr>
    </w:lvl>
    <w:lvl w:ilvl="3" w:tplc="0809000F">
      <w:start w:val="1"/>
      <w:numFmt w:val="decimal"/>
      <w:lvlText w:val="%4."/>
      <w:lvlJc w:val="left"/>
      <w:pPr>
        <w:ind w:left="2925" w:hanging="360"/>
      </w:pPr>
      <w:rPr>
        <w:rFonts w:cs="Times New Roman"/>
      </w:rPr>
    </w:lvl>
    <w:lvl w:ilvl="4" w:tplc="08090019">
      <w:start w:val="1"/>
      <w:numFmt w:val="lowerLetter"/>
      <w:lvlText w:val="%5."/>
      <w:lvlJc w:val="left"/>
      <w:pPr>
        <w:ind w:left="3645" w:hanging="360"/>
      </w:pPr>
      <w:rPr>
        <w:rFonts w:cs="Times New Roman"/>
      </w:rPr>
    </w:lvl>
    <w:lvl w:ilvl="5" w:tplc="0809001B">
      <w:start w:val="1"/>
      <w:numFmt w:val="lowerRoman"/>
      <w:lvlText w:val="%6."/>
      <w:lvlJc w:val="right"/>
      <w:pPr>
        <w:ind w:left="4365" w:hanging="180"/>
      </w:pPr>
      <w:rPr>
        <w:rFonts w:cs="Times New Roman"/>
      </w:rPr>
    </w:lvl>
    <w:lvl w:ilvl="6" w:tplc="0809000F">
      <w:start w:val="1"/>
      <w:numFmt w:val="decimal"/>
      <w:lvlText w:val="%7."/>
      <w:lvlJc w:val="left"/>
      <w:pPr>
        <w:ind w:left="5085" w:hanging="360"/>
      </w:pPr>
      <w:rPr>
        <w:rFonts w:cs="Times New Roman"/>
      </w:rPr>
    </w:lvl>
    <w:lvl w:ilvl="7" w:tplc="08090019">
      <w:start w:val="1"/>
      <w:numFmt w:val="lowerLetter"/>
      <w:lvlText w:val="%8."/>
      <w:lvlJc w:val="left"/>
      <w:pPr>
        <w:ind w:left="5805" w:hanging="360"/>
      </w:pPr>
      <w:rPr>
        <w:rFonts w:cs="Times New Roman"/>
      </w:rPr>
    </w:lvl>
    <w:lvl w:ilvl="8" w:tplc="0809001B">
      <w:start w:val="1"/>
      <w:numFmt w:val="lowerRoman"/>
      <w:lvlText w:val="%9."/>
      <w:lvlJc w:val="right"/>
      <w:pPr>
        <w:ind w:left="6525" w:hanging="180"/>
      </w:pPr>
      <w:rPr>
        <w:rFonts w:cs="Times New Roman"/>
      </w:rPr>
    </w:lvl>
  </w:abstractNum>
  <w:abstractNum w:abstractNumId="3">
    <w:nsid w:val="2473132F"/>
    <w:multiLevelType w:val="hybridMultilevel"/>
    <w:tmpl w:val="B77A3B4E"/>
    <w:lvl w:ilvl="0" w:tplc="957C25F0">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A4E2235"/>
    <w:multiLevelType w:val="hybridMultilevel"/>
    <w:tmpl w:val="E6760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B1E515E"/>
    <w:multiLevelType w:val="hybridMultilevel"/>
    <w:tmpl w:val="B140904C"/>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0305850"/>
    <w:multiLevelType w:val="hybridMultilevel"/>
    <w:tmpl w:val="1376E332"/>
    <w:lvl w:ilvl="0" w:tplc="F8AC8F82">
      <w:start w:val="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10A7B34"/>
    <w:multiLevelType w:val="hybridMultilevel"/>
    <w:tmpl w:val="876A89C6"/>
    <w:lvl w:ilvl="0" w:tplc="C4AA3D0C">
      <w:start w:val="2"/>
      <w:numFmt w:val="bullet"/>
      <w:lvlText w:val="-"/>
      <w:lvlJc w:val="left"/>
      <w:pPr>
        <w:ind w:left="819" w:hanging="360"/>
      </w:pPr>
      <w:rPr>
        <w:rFonts w:ascii="Calibri" w:eastAsia="Times New Roman" w:hAnsi="Calibri" w:hint="default"/>
      </w:rPr>
    </w:lvl>
    <w:lvl w:ilvl="1" w:tplc="04020003" w:tentative="1">
      <w:start w:val="1"/>
      <w:numFmt w:val="bullet"/>
      <w:lvlText w:val="o"/>
      <w:lvlJc w:val="left"/>
      <w:pPr>
        <w:ind w:left="1539" w:hanging="360"/>
      </w:pPr>
      <w:rPr>
        <w:rFonts w:ascii="Courier New" w:hAnsi="Courier New" w:hint="default"/>
      </w:rPr>
    </w:lvl>
    <w:lvl w:ilvl="2" w:tplc="04020005" w:tentative="1">
      <w:start w:val="1"/>
      <w:numFmt w:val="bullet"/>
      <w:lvlText w:val=""/>
      <w:lvlJc w:val="left"/>
      <w:pPr>
        <w:ind w:left="2259" w:hanging="360"/>
      </w:pPr>
      <w:rPr>
        <w:rFonts w:ascii="Wingdings" w:hAnsi="Wingdings" w:hint="default"/>
      </w:rPr>
    </w:lvl>
    <w:lvl w:ilvl="3" w:tplc="04020001" w:tentative="1">
      <w:start w:val="1"/>
      <w:numFmt w:val="bullet"/>
      <w:lvlText w:val=""/>
      <w:lvlJc w:val="left"/>
      <w:pPr>
        <w:ind w:left="2979" w:hanging="360"/>
      </w:pPr>
      <w:rPr>
        <w:rFonts w:ascii="Symbol" w:hAnsi="Symbol" w:hint="default"/>
      </w:rPr>
    </w:lvl>
    <w:lvl w:ilvl="4" w:tplc="04020003" w:tentative="1">
      <w:start w:val="1"/>
      <w:numFmt w:val="bullet"/>
      <w:lvlText w:val="o"/>
      <w:lvlJc w:val="left"/>
      <w:pPr>
        <w:ind w:left="3699" w:hanging="360"/>
      </w:pPr>
      <w:rPr>
        <w:rFonts w:ascii="Courier New" w:hAnsi="Courier New" w:hint="default"/>
      </w:rPr>
    </w:lvl>
    <w:lvl w:ilvl="5" w:tplc="04020005" w:tentative="1">
      <w:start w:val="1"/>
      <w:numFmt w:val="bullet"/>
      <w:lvlText w:val=""/>
      <w:lvlJc w:val="left"/>
      <w:pPr>
        <w:ind w:left="4419" w:hanging="360"/>
      </w:pPr>
      <w:rPr>
        <w:rFonts w:ascii="Wingdings" w:hAnsi="Wingdings" w:hint="default"/>
      </w:rPr>
    </w:lvl>
    <w:lvl w:ilvl="6" w:tplc="04020001" w:tentative="1">
      <w:start w:val="1"/>
      <w:numFmt w:val="bullet"/>
      <w:lvlText w:val=""/>
      <w:lvlJc w:val="left"/>
      <w:pPr>
        <w:ind w:left="5139" w:hanging="360"/>
      </w:pPr>
      <w:rPr>
        <w:rFonts w:ascii="Symbol" w:hAnsi="Symbol" w:hint="default"/>
      </w:rPr>
    </w:lvl>
    <w:lvl w:ilvl="7" w:tplc="04020003" w:tentative="1">
      <w:start w:val="1"/>
      <w:numFmt w:val="bullet"/>
      <w:lvlText w:val="o"/>
      <w:lvlJc w:val="left"/>
      <w:pPr>
        <w:ind w:left="5859" w:hanging="360"/>
      </w:pPr>
      <w:rPr>
        <w:rFonts w:ascii="Courier New" w:hAnsi="Courier New" w:hint="default"/>
      </w:rPr>
    </w:lvl>
    <w:lvl w:ilvl="8" w:tplc="04020005" w:tentative="1">
      <w:start w:val="1"/>
      <w:numFmt w:val="bullet"/>
      <w:lvlText w:val=""/>
      <w:lvlJc w:val="left"/>
      <w:pPr>
        <w:ind w:left="6579" w:hanging="360"/>
      </w:pPr>
      <w:rPr>
        <w:rFonts w:ascii="Wingdings" w:hAnsi="Wingdings" w:hint="default"/>
      </w:rPr>
    </w:lvl>
  </w:abstractNum>
  <w:abstractNum w:abstractNumId="8">
    <w:nsid w:val="364C37D3"/>
    <w:multiLevelType w:val="hybridMultilevel"/>
    <w:tmpl w:val="93F464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4E5257"/>
    <w:multiLevelType w:val="hybridMultilevel"/>
    <w:tmpl w:val="39A834DA"/>
    <w:lvl w:ilvl="0" w:tplc="08090019">
      <w:start w:val="1"/>
      <w:numFmt w:val="lowerLetter"/>
      <w:lvlText w:val="%1."/>
      <w:lvlJc w:val="left"/>
      <w:pPr>
        <w:ind w:left="765" w:hanging="360"/>
      </w:pPr>
      <w:rPr>
        <w:rFonts w:cs="Times New Roman"/>
      </w:rPr>
    </w:lvl>
    <w:lvl w:ilvl="1" w:tplc="08090019">
      <w:start w:val="1"/>
      <w:numFmt w:val="lowerLetter"/>
      <w:lvlText w:val="%2."/>
      <w:lvlJc w:val="left"/>
      <w:pPr>
        <w:ind w:left="1485" w:hanging="360"/>
      </w:pPr>
      <w:rPr>
        <w:rFonts w:cs="Times New Roman"/>
      </w:rPr>
    </w:lvl>
    <w:lvl w:ilvl="2" w:tplc="0809001B">
      <w:start w:val="1"/>
      <w:numFmt w:val="lowerRoman"/>
      <w:lvlText w:val="%3."/>
      <w:lvlJc w:val="right"/>
      <w:pPr>
        <w:ind w:left="2205" w:hanging="180"/>
      </w:pPr>
      <w:rPr>
        <w:rFonts w:cs="Times New Roman"/>
      </w:rPr>
    </w:lvl>
    <w:lvl w:ilvl="3" w:tplc="0809000F">
      <w:start w:val="1"/>
      <w:numFmt w:val="decimal"/>
      <w:lvlText w:val="%4."/>
      <w:lvlJc w:val="left"/>
      <w:pPr>
        <w:ind w:left="2925" w:hanging="360"/>
      </w:pPr>
      <w:rPr>
        <w:rFonts w:cs="Times New Roman"/>
      </w:rPr>
    </w:lvl>
    <w:lvl w:ilvl="4" w:tplc="08090019">
      <w:start w:val="1"/>
      <w:numFmt w:val="lowerLetter"/>
      <w:lvlText w:val="%5."/>
      <w:lvlJc w:val="left"/>
      <w:pPr>
        <w:ind w:left="3645" w:hanging="360"/>
      </w:pPr>
      <w:rPr>
        <w:rFonts w:cs="Times New Roman"/>
      </w:rPr>
    </w:lvl>
    <w:lvl w:ilvl="5" w:tplc="0809001B">
      <w:start w:val="1"/>
      <w:numFmt w:val="lowerRoman"/>
      <w:lvlText w:val="%6."/>
      <w:lvlJc w:val="right"/>
      <w:pPr>
        <w:ind w:left="4365" w:hanging="180"/>
      </w:pPr>
      <w:rPr>
        <w:rFonts w:cs="Times New Roman"/>
      </w:rPr>
    </w:lvl>
    <w:lvl w:ilvl="6" w:tplc="0809000F">
      <w:start w:val="1"/>
      <w:numFmt w:val="decimal"/>
      <w:lvlText w:val="%7."/>
      <w:lvlJc w:val="left"/>
      <w:pPr>
        <w:ind w:left="5085" w:hanging="360"/>
      </w:pPr>
      <w:rPr>
        <w:rFonts w:cs="Times New Roman"/>
      </w:rPr>
    </w:lvl>
    <w:lvl w:ilvl="7" w:tplc="08090019">
      <w:start w:val="1"/>
      <w:numFmt w:val="lowerLetter"/>
      <w:lvlText w:val="%8."/>
      <w:lvlJc w:val="left"/>
      <w:pPr>
        <w:ind w:left="5805" w:hanging="360"/>
      </w:pPr>
      <w:rPr>
        <w:rFonts w:cs="Times New Roman"/>
      </w:rPr>
    </w:lvl>
    <w:lvl w:ilvl="8" w:tplc="0809001B">
      <w:start w:val="1"/>
      <w:numFmt w:val="lowerRoman"/>
      <w:lvlText w:val="%9."/>
      <w:lvlJc w:val="right"/>
      <w:pPr>
        <w:ind w:left="6525" w:hanging="180"/>
      </w:pPr>
      <w:rPr>
        <w:rFonts w:cs="Times New Roman"/>
      </w:rPr>
    </w:lvl>
  </w:abstractNum>
  <w:abstractNum w:abstractNumId="10">
    <w:nsid w:val="397D2F30"/>
    <w:multiLevelType w:val="hybridMultilevel"/>
    <w:tmpl w:val="FF20F8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4CE82B4B"/>
    <w:multiLevelType w:val="singleLevel"/>
    <w:tmpl w:val="196EE41C"/>
    <w:lvl w:ilvl="0">
      <w:start w:val="1"/>
      <w:numFmt w:val="bullet"/>
      <w:lvlText w:val="-"/>
      <w:lvlJc w:val="left"/>
      <w:pPr>
        <w:tabs>
          <w:tab w:val="num" w:pos="1080"/>
        </w:tabs>
        <w:ind w:left="1080" w:hanging="360"/>
      </w:pPr>
      <w:rPr>
        <w:rFonts w:ascii="Times New Roman" w:hAnsi="Times New Roman" w:hint="default"/>
      </w:rPr>
    </w:lvl>
  </w:abstractNum>
  <w:abstractNum w:abstractNumId="12">
    <w:nsid w:val="508B364F"/>
    <w:multiLevelType w:val="hybridMultilevel"/>
    <w:tmpl w:val="618003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19E6CA6"/>
    <w:multiLevelType w:val="hybridMultilevel"/>
    <w:tmpl w:val="E0E091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38B33D9"/>
    <w:multiLevelType w:val="hybridMultilevel"/>
    <w:tmpl w:val="7584D7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3D14227"/>
    <w:multiLevelType w:val="hybridMultilevel"/>
    <w:tmpl w:val="25302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23253BD"/>
    <w:multiLevelType w:val="hybridMultilevel"/>
    <w:tmpl w:val="8CFE6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8D3402A"/>
    <w:multiLevelType w:val="hybridMultilevel"/>
    <w:tmpl w:val="B10477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43740BD"/>
    <w:multiLevelType w:val="hybridMultilevel"/>
    <w:tmpl w:val="C1FEC3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76916A47"/>
    <w:multiLevelType w:val="hybridMultilevel"/>
    <w:tmpl w:val="09A8D0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2"/>
  </w:num>
  <w:num w:numId="5">
    <w:abstractNumId w:val="8"/>
  </w:num>
  <w:num w:numId="6">
    <w:abstractNumId w:val="4"/>
  </w:num>
  <w:num w:numId="7">
    <w:abstractNumId w:val="6"/>
  </w:num>
  <w:num w:numId="8">
    <w:abstractNumId w:val="1"/>
  </w:num>
  <w:num w:numId="9">
    <w:abstractNumId w:val="10"/>
  </w:num>
  <w:num w:numId="10">
    <w:abstractNumId w:val="16"/>
  </w:num>
  <w:num w:numId="11">
    <w:abstractNumId w:val="0"/>
  </w:num>
  <w:num w:numId="12">
    <w:abstractNumId w:val="19"/>
  </w:num>
  <w:num w:numId="13">
    <w:abstractNumId w:val="5"/>
  </w:num>
  <w:num w:numId="14">
    <w:abstractNumId w:val="17"/>
  </w:num>
  <w:num w:numId="15">
    <w:abstractNumId w:val="9"/>
  </w:num>
  <w:num w:numId="16">
    <w:abstractNumId w:val="13"/>
  </w:num>
  <w:num w:numId="17">
    <w:abstractNumId w:val="2"/>
  </w:num>
  <w:num w:numId="18">
    <w:abstractNumId w:val="11"/>
  </w:num>
  <w:num w:numId="19">
    <w:abstractNumId w:val="15"/>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304"/>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3BC"/>
    <w:rsid w:val="00003038"/>
    <w:rsid w:val="0000384B"/>
    <w:rsid w:val="000127F7"/>
    <w:rsid w:val="00012D73"/>
    <w:rsid w:val="00021C17"/>
    <w:rsid w:val="0002459C"/>
    <w:rsid w:val="0002545E"/>
    <w:rsid w:val="00025DBD"/>
    <w:rsid w:val="00026000"/>
    <w:rsid w:val="00037566"/>
    <w:rsid w:val="00043AA9"/>
    <w:rsid w:val="00044781"/>
    <w:rsid w:val="00044A9D"/>
    <w:rsid w:val="00051FEE"/>
    <w:rsid w:val="00052080"/>
    <w:rsid w:val="0005416C"/>
    <w:rsid w:val="000563D8"/>
    <w:rsid w:val="00060BB1"/>
    <w:rsid w:val="000814C6"/>
    <w:rsid w:val="0008162D"/>
    <w:rsid w:val="0008227F"/>
    <w:rsid w:val="000A3DE7"/>
    <w:rsid w:val="000A6194"/>
    <w:rsid w:val="000C0EA1"/>
    <w:rsid w:val="000C24F7"/>
    <w:rsid w:val="000D4DEA"/>
    <w:rsid w:val="000D78BA"/>
    <w:rsid w:val="000E3B27"/>
    <w:rsid w:val="000E59EE"/>
    <w:rsid w:val="000F2204"/>
    <w:rsid w:val="00100928"/>
    <w:rsid w:val="00121554"/>
    <w:rsid w:val="001218F7"/>
    <w:rsid w:val="00121952"/>
    <w:rsid w:val="00131BE0"/>
    <w:rsid w:val="00151975"/>
    <w:rsid w:val="0015284F"/>
    <w:rsid w:val="001564A7"/>
    <w:rsid w:val="001614C9"/>
    <w:rsid w:val="001766C5"/>
    <w:rsid w:val="001816B9"/>
    <w:rsid w:val="001825B7"/>
    <w:rsid w:val="00183C3A"/>
    <w:rsid w:val="00184FFC"/>
    <w:rsid w:val="00185974"/>
    <w:rsid w:val="00193039"/>
    <w:rsid w:val="001A33D7"/>
    <w:rsid w:val="001A533F"/>
    <w:rsid w:val="001A6A09"/>
    <w:rsid w:val="001A6F9E"/>
    <w:rsid w:val="001B2F0B"/>
    <w:rsid w:val="001B606E"/>
    <w:rsid w:val="001C0F88"/>
    <w:rsid w:val="001C4C5B"/>
    <w:rsid w:val="001C5005"/>
    <w:rsid w:val="001C6A14"/>
    <w:rsid w:val="001D4B8D"/>
    <w:rsid w:val="001D67F2"/>
    <w:rsid w:val="001F24D1"/>
    <w:rsid w:val="001F42E8"/>
    <w:rsid w:val="00202274"/>
    <w:rsid w:val="002052F5"/>
    <w:rsid w:val="00211CBF"/>
    <w:rsid w:val="0021372B"/>
    <w:rsid w:val="0021645A"/>
    <w:rsid w:val="00221925"/>
    <w:rsid w:val="002372B3"/>
    <w:rsid w:val="00241810"/>
    <w:rsid w:val="00245F9F"/>
    <w:rsid w:val="002520F0"/>
    <w:rsid w:val="00255857"/>
    <w:rsid w:val="00263A94"/>
    <w:rsid w:val="00264FD3"/>
    <w:rsid w:val="00266DCF"/>
    <w:rsid w:val="00273655"/>
    <w:rsid w:val="002740D4"/>
    <w:rsid w:val="00277268"/>
    <w:rsid w:val="00277D96"/>
    <w:rsid w:val="00282B07"/>
    <w:rsid w:val="00294EED"/>
    <w:rsid w:val="002958BA"/>
    <w:rsid w:val="002B7781"/>
    <w:rsid w:val="002C1B3D"/>
    <w:rsid w:val="002C55A1"/>
    <w:rsid w:val="002C57C9"/>
    <w:rsid w:val="002E4BBE"/>
    <w:rsid w:val="0030084F"/>
    <w:rsid w:val="00301FE2"/>
    <w:rsid w:val="00305D31"/>
    <w:rsid w:val="003207BF"/>
    <w:rsid w:val="00321B79"/>
    <w:rsid w:val="0032327A"/>
    <w:rsid w:val="00325EE5"/>
    <w:rsid w:val="00357897"/>
    <w:rsid w:val="0036336C"/>
    <w:rsid w:val="003646ED"/>
    <w:rsid w:val="00381727"/>
    <w:rsid w:val="003855D7"/>
    <w:rsid w:val="00393F10"/>
    <w:rsid w:val="0039778C"/>
    <w:rsid w:val="003A683C"/>
    <w:rsid w:val="003B02C3"/>
    <w:rsid w:val="003B19E9"/>
    <w:rsid w:val="003B355D"/>
    <w:rsid w:val="003B4CD3"/>
    <w:rsid w:val="003B5C9E"/>
    <w:rsid w:val="003B6803"/>
    <w:rsid w:val="003B6ECF"/>
    <w:rsid w:val="003C3351"/>
    <w:rsid w:val="003C3724"/>
    <w:rsid w:val="003D3062"/>
    <w:rsid w:val="003D326D"/>
    <w:rsid w:val="003D3A79"/>
    <w:rsid w:val="003D46D4"/>
    <w:rsid w:val="003E416C"/>
    <w:rsid w:val="003F0F47"/>
    <w:rsid w:val="003F59B6"/>
    <w:rsid w:val="003F6D5F"/>
    <w:rsid w:val="00401FE0"/>
    <w:rsid w:val="004155E9"/>
    <w:rsid w:val="004222FC"/>
    <w:rsid w:val="00430AB4"/>
    <w:rsid w:val="00432FDD"/>
    <w:rsid w:val="00434368"/>
    <w:rsid w:val="00440C75"/>
    <w:rsid w:val="00443CB6"/>
    <w:rsid w:val="00444DA8"/>
    <w:rsid w:val="00453994"/>
    <w:rsid w:val="00454274"/>
    <w:rsid w:val="00471113"/>
    <w:rsid w:val="004743C0"/>
    <w:rsid w:val="00481BA9"/>
    <w:rsid w:val="00490D8E"/>
    <w:rsid w:val="004A15C8"/>
    <w:rsid w:val="004A161B"/>
    <w:rsid w:val="004A73E5"/>
    <w:rsid w:val="004B151A"/>
    <w:rsid w:val="004B4843"/>
    <w:rsid w:val="004C0DD2"/>
    <w:rsid w:val="004C6F3E"/>
    <w:rsid w:val="004E538A"/>
    <w:rsid w:val="004F7D45"/>
    <w:rsid w:val="00513B1C"/>
    <w:rsid w:val="00514B3C"/>
    <w:rsid w:val="00515461"/>
    <w:rsid w:val="0052302D"/>
    <w:rsid w:val="0052466A"/>
    <w:rsid w:val="005368B9"/>
    <w:rsid w:val="0053751D"/>
    <w:rsid w:val="00543448"/>
    <w:rsid w:val="0056241D"/>
    <w:rsid w:val="00572814"/>
    <w:rsid w:val="005815B0"/>
    <w:rsid w:val="005A4C3A"/>
    <w:rsid w:val="005A4EAF"/>
    <w:rsid w:val="005B17E5"/>
    <w:rsid w:val="005B2523"/>
    <w:rsid w:val="005B4705"/>
    <w:rsid w:val="005B4890"/>
    <w:rsid w:val="005B5B8D"/>
    <w:rsid w:val="005C3220"/>
    <w:rsid w:val="005C77D0"/>
    <w:rsid w:val="005D030C"/>
    <w:rsid w:val="005E1A81"/>
    <w:rsid w:val="005E6724"/>
    <w:rsid w:val="005E73AD"/>
    <w:rsid w:val="005F0290"/>
    <w:rsid w:val="005F349D"/>
    <w:rsid w:val="005F3C4E"/>
    <w:rsid w:val="00613A5E"/>
    <w:rsid w:val="0061543A"/>
    <w:rsid w:val="00615937"/>
    <w:rsid w:val="00616C89"/>
    <w:rsid w:val="00616EEA"/>
    <w:rsid w:val="006244E1"/>
    <w:rsid w:val="00626296"/>
    <w:rsid w:val="0063737A"/>
    <w:rsid w:val="006418D8"/>
    <w:rsid w:val="00641F22"/>
    <w:rsid w:val="00651D3C"/>
    <w:rsid w:val="006570AE"/>
    <w:rsid w:val="006679FC"/>
    <w:rsid w:val="00674085"/>
    <w:rsid w:val="006A0DFD"/>
    <w:rsid w:val="006A7F79"/>
    <w:rsid w:val="006B3A86"/>
    <w:rsid w:val="006B5672"/>
    <w:rsid w:val="006D5571"/>
    <w:rsid w:val="006D753D"/>
    <w:rsid w:val="006E53B9"/>
    <w:rsid w:val="006E5BAF"/>
    <w:rsid w:val="006E7403"/>
    <w:rsid w:val="006F1008"/>
    <w:rsid w:val="006F4F3C"/>
    <w:rsid w:val="006F74B2"/>
    <w:rsid w:val="00714599"/>
    <w:rsid w:val="00723850"/>
    <w:rsid w:val="00724396"/>
    <w:rsid w:val="00735545"/>
    <w:rsid w:val="00735629"/>
    <w:rsid w:val="00736A78"/>
    <w:rsid w:val="0074058D"/>
    <w:rsid w:val="00741E0D"/>
    <w:rsid w:val="007431C7"/>
    <w:rsid w:val="007535A3"/>
    <w:rsid w:val="007930B1"/>
    <w:rsid w:val="007A139D"/>
    <w:rsid w:val="007A31F6"/>
    <w:rsid w:val="007A4015"/>
    <w:rsid w:val="007A47CC"/>
    <w:rsid w:val="007B3241"/>
    <w:rsid w:val="007B35CD"/>
    <w:rsid w:val="007C6D18"/>
    <w:rsid w:val="007E27CE"/>
    <w:rsid w:val="007E5C32"/>
    <w:rsid w:val="007E5EA1"/>
    <w:rsid w:val="007E70AB"/>
    <w:rsid w:val="007F7BC1"/>
    <w:rsid w:val="0080324F"/>
    <w:rsid w:val="00806834"/>
    <w:rsid w:val="00806870"/>
    <w:rsid w:val="00806EC2"/>
    <w:rsid w:val="0081025F"/>
    <w:rsid w:val="00814054"/>
    <w:rsid w:val="008262E2"/>
    <w:rsid w:val="00842254"/>
    <w:rsid w:val="008429FE"/>
    <w:rsid w:val="0084413A"/>
    <w:rsid w:val="00853DF5"/>
    <w:rsid w:val="008557F6"/>
    <w:rsid w:val="00855D7D"/>
    <w:rsid w:val="008561F7"/>
    <w:rsid w:val="008616FC"/>
    <w:rsid w:val="00861CA5"/>
    <w:rsid w:val="00873C0C"/>
    <w:rsid w:val="00873E47"/>
    <w:rsid w:val="0088047A"/>
    <w:rsid w:val="0088056B"/>
    <w:rsid w:val="008938FB"/>
    <w:rsid w:val="00893B89"/>
    <w:rsid w:val="00896F16"/>
    <w:rsid w:val="00897316"/>
    <w:rsid w:val="008A544C"/>
    <w:rsid w:val="008B7969"/>
    <w:rsid w:val="008C0EB4"/>
    <w:rsid w:val="008C2B46"/>
    <w:rsid w:val="008C7581"/>
    <w:rsid w:val="008D0CFF"/>
    <w:rsid w:val="008D3AC6"/>
    <w:rsid w:val="008E2D4B"/>
    <w:rsid w:val="008E7F10"/>
    <w:rsid w:val="008F56F0"/>
    <w:rsid w:val="0090588E"/>
    <w:rsid w:val="00906841"/>
    <w:rsid w:val="00907016"/>
    <w:rsid w:val="00911D68"/>
    <w:rsid w:val="00916860"/>
    <w:rsid w:val="0092382D"/>
    <w:rsid w:val="00925696"/>
    <w:rsid w:val="009343BC"/>
    <w:rsid w:val="00954C5E"/>
    <w:rsid w:val="00963DA6"/>
    <w:rsid w:val="00972AAF"/>
    <w:rsid w:val="009779CF"/>
    <w:rsid w:val="00982450"/>
    <w:rsid w:val="0098311C"/>
    <w:rsid w:val="00983B08"/>
    <w:rsid w:val="009854FA"/>
    <w:rsid w:val="00992049"/>
    <w:rsid w:val="00993FAC"/>
    <w:rsid w:val="009A1177"/>
    <w:rsid w:val="009A399A"/>
    <w:rsid w:val="009C4226"/>
    <w:rsid w:val="009D005F"/>
    <w:rsid w:val="009D64C3"/>
    <w:rsid w:val="009D72F8"/>
    <w:rsid w:val="009E0158"/>
    <w:rsid w:val="009E1164"/>
    <w:rsid w:val="009E1EB9"/>
    <w:rsid w:val="009E5FEA"/>
    <w:rsid w:val="009E71BE"/>
    <w:rsid w:val="009F07CB"/>
    <w:rsid w:val="009F09FA"/>
    <w:rsid w:val="009F422F"/>
    <w:rsid w:val="009F67C7"/>
    <w:rsid w:val="00A018F7"/>
    <w:rsid w:val="00A02A4B"/>
    <w:rsid w:val="00A21FF5"/>
    <w:rsid w:val="00A22DE2"/>
    <w:rsid w:val="00A23C0F"/>
    <w:rsid w:val="00A34D29"/>
    <w:rsid w:val="00A36E51"/>
    <w:rsid w:val="00A468A5"/>
    <w:rsid w:val="00A545F2"/>
    <w:rsid w:val="00A62D2A"/>
    <w:rsid w:val="00A66952"/>
    <w:rsid w:val="00A7483F"/>
    <w:rsid w:val="00A75E32"/>
    <w:rsid w:val="00A76C2D"/>
    <w:rsid w:val="00A829D9"/>
    <w:rsid w:val="00A86FC4"/>
    <w:rsid w:val="00A9184B"/>
    <w:rsid w:val="00A93B84"/>
    <w:rsid w:val="00A95199"/>
    <w:rsid w:val="00AA669E"/>
    <w:rsid w:val="00AA7892"/>
    <w:rsid w:val="00AB1107"/>
    <w:rsid w:val="00AB115C"/>
    <w:rsid w:val="00AC1DEE"/>
    <w:rsid w:val="00AC4AD7"/>
    <w:rsid w:val="00AC7225"/>
    <w:rsid w:val="00AD419F"/>
    <w:rsid w:val="00AD6E9C"/>
    <w:rsid w:val="00AD73AB"/>
    <w:rsid w:val="00AE757B"/>
    <w:rsid w:val="00AF035B"/>
    <w:rsid w:val="00B12021"/>
    <w:rsid w:val="00B12D5A"/>
    <w:rsid w:val="00B14307"/>
    <w:rsid w:val="00B178EB"/>
    <w:rsid w:val="00B26157"/>
    <w:rsid w:val="00B31936"/>
    <w:rsid w:val="00B31EFE"/>
    <w:rsid w:val="00B3390E"/>
    <w:rsid w:val="00B36333"/>
    <w:rsid w:val="00B4269F"/>
    <w:rsid w:val="00B456F7"/>
    <w:rsid w:val="00B4771D"/>
    <w:rsid w:val="00B55FF5"/>
    <w:rsid w:val="00B62D28"/>
    <w:rsid w:val="00B65CEB"/>
    <w:rsid w:val="00B7435D"/>
    <w:rsid w:val="00B81A61"/>
    <w:rsid w:val="00B8274E"/>
    <w:rsid w:val="00BA1A99"/>
    <w:rsid w:val="00BB2958"/>
    <w:rsid w:val="00BB74E6"/>
    <w:rsid w:val="00BD4258"/>
    <w:rsid w:val="00BD48E6"/>
    <w:rsid w:val="00BE1A52"/>
    <w:rsid w:val="00BE1EF1"/>
    <w:rsid w:val="00BE58FF"/>
    <w:rsid w:val="00BE6CA0"/>
    <w:rsid w:val="00C002E8"/>
    <w:rsid w:val="00C002FB"/>
    <w:rsid w:val="00C0146D"/>
    <w:rsid w:val="00C046CE"/>
    <w:rsid w:val="00C06375"/>
    <w:rsid w:val="00C118D9"/>
    <w:rsid w:val="00C17151"/>
    <w:rsid w:val="00C40452"/>
    <w:rsid w:val="00C445BC"/>
    <w:rsid w:val="00C517F8"/>
    <w:rsid w:val="00C53F41"/>
    <w:rsid w:val="00C57ECB"/>
    <w:rsid w:val="00C64D64"/>
    <w:rsid w:val="00C70AFA"/>
    <w:rsid w:val="00C74F57"/>
    <w:rsid w:val="00C8067A"/>
    <w:rsid w:val="00C833FC"/>
    <w:rsid w:val="00C8696F"/>
    <w:rsid w:val="00C87AA4"/>
    <w:rsid w:val="00C9760B"/>
    <w:rsid w:val="00CB75C5"/>
    <w:rsid w:val="00CC0874"/>
    <w:rsid w:val="00CD1D38"/>
    <w:rsid w:val="00CD45D9"/>
    <w:rsid w:val="00CE0381"/>
    <w:rsid w:val="00CE4A3D"/>
    <w:rsid w:val="00CE5D12"/>
    <w:rsid w:val="00CF64A9"/>
    <w:rsid w:val="00D0010A"/>
    <w:rsid w:val="00D10710"/>
    <w:rsid w:val="00D15BF6"/>
    <w:rsid w:val="00D2016F"/>
    <w:rsid w:val="00D25B29"/>
    <w:rsid w:val="00D335F3"/>
    <w:rsid w:val="00D352EA"/>
    <w:rsid w:val="00D358DD"/>
    <w:rsid w:val="00D3736A"/>
    <w:rsid w:val="00D433E6"/>
    <w:rsid w:val="00D525A9"/>
    <w:rsid w:val="00D575C6"/>
    <w:rsid w:val="00D67800"/>
    <w:rsid w:val="00D72474"/>
    <w:rsid w:val="00D806F7"/>
    <w:rsid w:val="00D83EEE"/>
    <w:rsid w:val="00D878DF"/>
    <w:rsid w:val="00D903DF"/>
    <w:rsid w:val="00DA7C0E"/>
    <w:rsid w:val="00DA7EAE"/>
    <w:rsid w:val="00DB153F"/>
    <w:rsid w:val="00DB5D8F"/>
    <w:rsid w:val="00DC1B10"/>
    <w:rsid w:val="00DC6467"/>
    <w:rsid w:val="00DC654C"/>
    <w:rsid w:val="00DD0BD7"/>
    <w:rsid w:val="00DE0AA9"/>
    <w:rsid w:val="00DE5427"/>
    <w:rsid w:val="00DE570B"/>
    <w:rsid w:val="00DE605F"/>
    <w:rsid w:val="00DF299A"/>
    <w:rsid w:val="00DF3996"/>
    <w:rsid w:val="00DF702D"/>
    <w:rsid w:val="00E01759"/>
    <w:rsid w:val="00E030C2"/>
    <w:rsid w:val="00E071B9"/>
    <w:rsid w:val="00E11F74"/>
    <w:rsid w:val="00E1485E"/>
    <w:rsid w:val="00E15A44"/>
    <w:rsid w:val="00E250EB"/>
    <w:rsid w:val="00E25417"/>
    <w:rsid w:val="00E3283F"/>
    <w:rsid w:val="00E3465B"/>
    <w:rsid w:val="00E41A89"/>
    <w:rsid w:val="00E43396"/>
    <w:rsid w:val="00E7145D"/>
    <w:rsid w:val="00E809CC"/>
    <w:rsid w:val="00E82000"/>
    <w:rsid w:val="00E97E5A"/>
    <w:rsid w:val="00EB0833"/>
    <w:rsid w:val="00EB66FB"/>
    <w:rsid w:val="00EB6771"/>
    <w:rsid w:val="00EB7E8B"/>
    <w:rsid w:val="00ED0402"/>
    <w:rsid w:val="00ED0B6D"/>
    <w:rsid w:val="00EF2449"/>
    <w:rsid w:val="00F12BE3"/>
    <w:rsid w:val="00F14ABC"/>
    <w:rsid w:val="00F15B61"/>
    <w:rsid w:val="00F20F70"/>
    <w:rsid w:val="00F25CDF"/>
    <w:rsid w:val="00F40E69"/>
    <w:rsid w:val="00F4283C"/>
    <w:rsid w:val="00F42AD7"/>
    <w:rsid w:val="00F4360B"/>
    <w:rsid w:val="00F43788"/>
    <w:rsid w:val="00F44ABB"/>
    <w:rsid w:val="00F56114"/>
    <w:rsid w:val="00F57943"/>
    <w:rsid w:val="00F70AC6"/>
    <w:rsid w:val="00F918E2"/>
    <w:rsid w:val="00F932D1"/>
    <w:rsid w:val="00F9666A"/>
    <w:rsid w:val="00FA0976"/>
    <w:rsid w:val="00FA2C0B"/>
    <w:rsid w:val="00FC3104"/>
    <w:rsid w:val="00FC5A79"/>
    <w:rsid w:val="00FE1058"/>
    <w:rsid w:val="00FE3D6B"/>
    <w:rsid w:val="00FE704C"/>
    <w:rsid w:val="00FF4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iPriority="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6C"/>
    <w:pPr>
      <w:spacing w:after="200" w:line="276" w:lineRule="auto"/>
    </w:pPr>
    <w:rPr>
      <w:sz w:val="22"/>
      <w:szCs w:val="22"/>
      <w:lang w:val="da-DK" w:eastAsia="en-US"/>
    </w:rPr>
  </w:style>
  <w:style w:type="paragraph" w:styleId="Heading1">
    <w:name w:val="heading 1"/>
    <w:basedOn w:val="Normal"/>
    <w:next w:val="Normal"/>
    <w:link w:val="Heading1Char"/>
    <w:uiPriority w:val="99"/>
    <w:qFormat/>
    <w:rsid w:val="00E3283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F56F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646ED"/>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626296"/>
    <w:pPr>
      <w:spacing w:before="240" w:after="60"/>
      <w:outlineLvl w:val="4"/>
    </w:pPr>
    <w:rPr>
      <w:rFonts w:eastAsia="Times New Roman" w:cs="Times New Roman"/>
      <w:b/>
      <w:bCs/>
      <w:i/>
      <w:iCs/>
      <w:sz w:val="26"/>
      <w:szCs w:val="26"/>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3283F"/>
    <w:rPr>
      <w:rFonts w:ascii="Cambria" w:hAnsi="Cambria" w:cs="Arial Unicode MS"/>
      <w:b/>
      <w:bCs/>
      <w:color w:val="365F91"/>
      <w:sz w:val="28"/>
      <w:szCs w:val="28"/>
    </w:rPr>
  </w:style>
  <w:style w:type="character" w:customStyle="1" w:styleId="Heading2Char">
    <w:name w:val="Heading 2 Char"/>
    <w:link w:val="Heading2"/>
    <w:uiPriority w:val="99"/>
    <w:semiHidden/>
    <w:rsid w:val="008F56F0"/>
    <w:rPr>
      <w:rFonts w:ascii="Cambria" w:hAnsi="Cambria" w:cs="Arial Unicode MS"/>
      <w:b/>
      <w:bCs/>
      <w:color w:val="4F81BD"/>
      <w:sz w:val="26"/>
      <w:szCs w:val="26"/>
    </w:rPr>
  </w:style>
  <w:style w:type="character" w:customStyle="1" w:styleId="Heading3Char">
    <w:name w:val="Heading 3 Char"/>
    <w:link w:val="Heading3"/>
    <w:uiPriority w:val="99"/>
    <w:semiHidden/>
    <w:rsid w:val="003646ED"/>
    <w:rPr>
      <w:rFonts w:ascii="Cambria" w:hAnsi="Cambria" w:cs="Arial Unicode MS"/>
      <w:b/>
      <w:bCs/>
      <w:color w:val="4F81BD"/>
    </w:rPr>
  </w:style>
  <w:style w:type="character" w:customStyle="1" w:styleId="Heading8Char">
    <w:name w:val="Heading 8 Char"/>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05416C"/>
    <w:pPr>
      <w:spacing w:after="120"/>
    </w:pPr>
  </w:style>
  <w:style w:type="character" w:customStyle="1" w:styleId="BodyTextChar">
    <w:name w:val="Body Text Char"/>
    <w:link w:val="BodyText"/>
    <w:uiPriority w:val="99"/>
    <w:rsid w:val="0005416C"/>
    <w:rPr>
      <w:rFonts w:cs="Times New Roman"/>
    </w:rPr>
  </w:style>
  <w:style w:type="paragraph" w:styleId="Caption">
    <w:name w:val="caption"/>
    <w:basedOn w:val="Normal"/>
    <w:next w:val="Normal"/>
    <w:uiPriority w:val="99"/>
    <w:qFormat/>
    <w:rsid w:val="0005416C"/>
    <w:pPr>
      <w:spacing w:line="240" w:lineRule="auto"/>
    </w:pPr>
    <w:rPr>
      <w:b/>
      <w:bCs/>
      <w:color w:val="4F81BD"/>
      <w:sz w:val="18"/>
      <w:szCs w:val="18"/>
    </w:rPr>
  </w:style>
  <w:style w:type="table" w:styleId="TableGrid">
    <w:name w:val="Table Grid"/>
    <w:basedOn w:val="TableNormal"/>
    <w:uiPriority w:val="99"/>
    <w:rsid w:val="00934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11CBF"/>
    <w:pPr>
      <w:spacing w:after="0" w:line="240" w:lineRule="auto"/>
    </w:pPr>
    <w:rPr>
      <w:rFonts w:ascii="Tahoma" w:hAnsi="Tahoma" w:cs="Tahoma"/>
      <w:sz w:val="16"/>
      <w:szCs w:val="16"/>
    </w:rPr>
  </w:style>
  <w:style w:type="character" w:customStyle="1" w:styleId="BalloonTextChar">
    <w:name w:val="Balloon Text Char"/>
    <w:link w:val="BalloonText"/>
    <w:semiHidden/>
    <w:rsid w:val="00211CBF"/>
    <w:rPr>
      <w:rFonts w:ascii="Tahoma" w:hAnsi="Tahoma" w:cs="Tahoma"/>
      <w:sz w:val="16"/>
      <w:szCs w:val="16"/>
    </w:rPr>
  </w:style>
  <w:style w:type="paragraph" w:styleId="NormalWeb">
    <w:name w:val="Normal (Web)"/>
    <w:basedOn w:val="Normal"/>
    <w:uiPriority w:val="99"/>
    <w:semiHidden/>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link w:val="Footer"/>
    <w:uiPriority w:val="99"/>
    <w:rsid w:val="00183C3A"/>
    <w:rPr>
      <w:rFonts w:cs="Times New Roman"/>
    </w:rPr>
  </w:style>
  <w:style w:type="character" w:styleId="Hyperlink">
    <w:name w:val="Hyperlink"/>
    <w:uiPriority w:val="99"/>
    <w:rsid w:val="001D67F2"/>
    <w:rPr>
      <w:rFonts w:cs="Times New Roman"/>
      <w:color w:val="0000FF"/>
      <w:u w:val="single"/>
    </w:rPr>
  </w:style>
  <w:style w:type="paragraph" w:styleId="ListParagraph">
    <w:name w:val="List Paragraph"/>
    <w:basedOn w:val="Normal"/>
    <w:uiPriority w:val="99"/>
    <w:qFormat/>
    <w:rsid w:val="00972AAF"/>
    <w:pPr>
      <w:ind w:left="720"/>
      <w:contextualSpacing/>
    </w:pPr>
  </w:style>
  <w:style w:type="character" w:styleId="FollowedHyperlink">
    <w:name w:val="FollowedHyperlink"/>
    <w:uiPriority w:val="99"/>
    <w:semiHidden/>
    <w:rsid w:val="0061543A"/>
    <w:rPr>
      <w:rFonts w:cs="Times New Roman"/>
      <w:color w:val="800080"/>
      <w:u w:val="single"/>
    </w:rPr>
  </w:style>
  <w:style w:type="paragraph" w:customStyle="1" w:styleId="Normal1">
    <w:name w:val="Normal1"/>
    <w:rsid w:val="00896F16"/>
    <w:pPr>
      <w:spacing w:after="200" w:line="276" w:lineRule="auto"/>
    </w:pPr>
    <w:rPr>
      <w:rFonts w:cs="Calibri"/>
      <w:color w:val="000000"/>
      <w:sz w:val="22"/>
      <w:lang w:val="en-US" w:eastAsia="en-US"/>
    </w:rPr>
  </w:style>
  <w:style w:type="character" w:customStyle="1" w:styleId="apple-converted-space">
    <w:name w:val="apple-converted-space"/>
    <w:rsid w:val="000E59EE"/>
    <w:rPr>
      <w:rFonts w:cs="Times New Roman"/>
    </w:rPr>
  </w:style>
  <w:style w:type="character" w:customStyle="1" w:styleId="Heading5Char">
    <w:name w:val="Heading 5 Char"/>
    <w:link w:val="Heading5"/>
    <w:semiHidden/>
    <w:rsid w:val="00626296"/>
    <w:rPr>
      <w:rFonts w:ascii="Calibri" w:eastAsia="Times New Roman" w:hAnsi="Calibri" w:cs="Times New Roman"/>
      <w:b/>
      <w:bCs/>
      <w:i/>
      <w:iCs/>
      <w:sz w:val="26"/>
      <w:szCs w:val="26"/>
      <w:lang w:val="da-DK"/>
    </w:rPr>
  </w:style>
  <w:style w:type="character" w:customStyle="1" w:styleId="hps">
    <w:name w:val="hps"/>
    <w:basedOn w:val="DefaultParagraphFont"/>
    <w:rsid w:val="00992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960293">
      <w:bodyDiv w:val="1"/>
      <w:marLeft w:val="0"/>
      <w:marRight w:val="0"/>
      <w:marTop w:val="0"/>
      <w:marBottom w:val="0"/>
      <w:divBdr>
        <w:top w:val="none" w:sz="0" w:space="0" w:color="auto"/>
        <w:left w:val="none" w:sz="0" w:space="0" w:color="auto"/>
        <w:bottom w:val="none" w:sz="0" w:space="0" w:color="auto"/>
        <w:right w:val="none" w:sz="0" w:space="0" w:color="auto"/>
      </w:divBdr>
    </w:div>
    <w:div w:id="683282954">
      <w:bodyDiv w:val="1"/>
      <w:marLeft w:val="0"/>
      <w:marRight w:val="0"/>
      <w:marTop w:val="0"/>
      <w:marBottom w:val="0"/>
      <w:divBdr>
        <w:top w:val="none" w:sz="0" w:space="0" w:color="auto"/>
        <w:left w:val="none" w:sz="0" w:space="0" w:color="auto"/>
        <w:bottom w:val="none" w:sz="0" w:space="0" w:color="auto"/>
        <w:right w:val="none" w:sz="0" w:space="0" w:color="auto"/>
      </w:divBdr>
    </w:div>
    <w:div w:id="797067102">
      <w:marLeft w:val="0"/>
      <w:marRight w:val="0"/>
      <w:marTop w:val="0"/>
      <w:marBottom w:val="0"/>
      <w:divBdr>
        <w:top w:val="none" w:sz="0" w:space="0" w:color="auto"/>
        <w:left w:val="none" w:sz="0" w:space="0" w:color="auto"/>
        <w:bottom w:val="none" w:sz="0" w:space="0" w:color="auto"/>
        <w:right w:val="none" w:sz="0" w:space="0" w:color="auto"/>
      </w:divBdr>
    </w:div>
    <w:div w:id="797067103">
      <w:marLeft w:val="0"/>
      <w:marRight w:val="0"/>
      <w:marTop w:val="0"/>
      <w:marBottom w:val="0"/>
      <w:divBdr>
        <w:top w:val="none" w:sz="0" w:space="0" w:color="auto"/>
        <w:left w:val="none" w:sz="0" w:space="0" w:color="auto"/>
        <w:bottom w:val="none" w:sz="0" w:space="0" w:color="auto"/>
        <w:right w:val="none" w:sz="0" w:space="0" w:color="auto"/>
      </w:divBdr>
    </w:div>
    <w:div w:id="797067104">
      <w:marLeft w:val="0"/>
      <w:marRight w:val="0"/>
      <w:marTop w:val="0"/>
      <w:marBottom w:val="0"/>
      <w:divBdr>
        <w:top w:val="none" w:sz="0" w:space="0" w:color="auto"/>
        <w:left w:val="none" w:sz="0" w:space="0" w:color="auto"/>
        <w:bottom w:val="none" w:sz="0" w:space="0" w:color="auto"/>
        <w:right w:val="none" w:sz="0" w:space="0" w:color="auto"/>
      </w:divBdr>
    </w:div>
    <w:div w:id="797067105">
      <w:marLeft w:val="0"/>
      <w:marRight w:val="0"/>
      <w:marTop w:val="0"/>
      <w:marBottom w:val="0"/>
      <w:divBdr>
        <w:top w:val="none" w:sz="0" w:space="0" w:color="auto"/>
        <w:left w:val="none" w:sz="0" w:space="0" w:color="auto"/>
        <w:bottom w:val="none" w:sz="0" w:space="0" w:color="auto"/>
        <w:right w:val="none" w:sz="0" w:space="0" w:color="auto"/>
      </w:divBdr>
    </w:div>
    <w:div w:id="797067106">
      <w:marLeft w:val="0"/>
      <w:marRight w:val="0"/>
      <w:marTop w:val="0"/>
      <w:marBottom w:val="0"/>
      <w:divBdr>
        <w:top w:val="none" w:sz="0" w:space="0" w:color="auto"/>
        <w:left w:val="none" w:sz="0" w:space="0" w:color="auto"/>
        <w:bottom w:val="none" w:sz="0" w:space="0" w:color="auto"/>
        <w:right w:val="none" w:sz="0" w:space="0" w:color="auto"/>
      </w:divBdr>
    </w:div>
    <w:div w:id="797067107">
      <w:marLeft w:val="0"/>
      <w:marRight w:val="0"/>
      <w:marTop w:val="0"/>
      <w:marBottom w:val="0"/>
      <w:divBdr>
        <w:top w:val="none" w:sz="0" w:space="0" w:color="auto"/>
        <w:left w:val="none" w:sz="0" w:space="0" w:color="auto"/>
        <w:bottom w:val="none" w:sz="0" w:space="0" w:color="auto"/>
        <w:right w:val="none" w:sz="0" w:space="0" w:color="auto"/>
      </w:divBdr>
    </w:div>
    <w:div w:id="797067108">
      <w:marLeft w:val="0"/>
      <w:marRight w:val="0"/>
      <w:marTop w:val="0"/>
      <w:marBottom w:val="0"/>
      <w:divBdr>
        <w:top w:val="none" w:sz="0" w:space="0" w:color="auto"/>
        <w:left w:val="none" w:sz="0" w:space="0" w:color="auto"/>
        <w:bottom w:val="none" w:sz="0" w:space="0" w:color="auto"/>
        <w:right w:val="none" w:sz="0" w:space="0" w:color="auto"/>
      </w:divBdr>
    </w:div>
    <w:div w:id="797067109">
      <w:marLeft w:val="0"/>
      <w:marRight w:val="0"/>
      <w:marTop w:val="0"/>
      <w:marBottom w:val="0"/>
      <w:divBdr>
        <w:top w:val="none" w:sz="0" w:space="0" w:color="auto"/>
        <w:left w:val="none" w:sz="0" w:space="0" w:color="auto"/>
        <w:bottom w:val="none" w:sz="0" w:space="0" w:color="auto"/>
        <w:right w:val="none" w:sz="0" w:space="0" w:color="auto"/>
      </w:divBdr>
    </w:div>
    <w:div w:id="797067110">
      <w:marLeft w:val="0"/>
      <w:marRight w:val="0"/>
      <w:marTop w:val="0"/>
      <w:marBottom w:val="0"/>
      <w:divBdr>
        <w:top w:val="none" w:sz="0" w:space="0" w:color="auto"/>
        <w:left w:val="none" w:sz="0" w:space="0" w:color="auto"/>
        <w:bottom w:val="none" w:sz="0" w:space="0" w:color="auto"/>
        <w:right w:val="none" w:sz="0" w:space="0" w:color="auto"/>
      </w:divBdr>
    </w:div>
    <w:div w:id="831219786">
      <w:bodyDiv w:val="1"/>
      <w:marLeft w:val="0"/>
      <w:marRight w:val="0"/>
      <w:marTop w:val="0"/>
      <w:marBottom w:val="0"/>
      <w:divBdr>
        <w:top w:val="none" w:sz="0" w:space="0" w:color="auto"/>
        <w:left w:val="none" w:sz="0" w:space="0" w:color="auto"/>
        <w:bottom w:val="none" w:sz="0" w:space="0" w:color="auto"/>
        <w:right w:val="none" w:sz="0" w:space="0" w:color="auto"/>
      </w:divBdr>
    </w:div>
    <w:div w:id="207581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w.government.bg/" TargetMode="External"/><Relationship Id="rId13" Type="http://schemas.openxmlformats.org/officeDocument/2006/relationships/hyperlink" Target="http://www.blacksea-commission.org/_tda2008.asp" TargetMode="External"/><Relationship Id="rId18" Type="http://schemas.openxmlformats.org/officeDocument/2006/relationships/image" Target="media/image1.png"/><Relationship Id="rId26" Type="http://schemas.openxmlformats.org/officeDocument/2006/relationships/hyperlink" Target="http://publications.jrc.ec.europa.eu/repository/handle/111111111/16069" TargetMode="External"/><Relationship Id="rId3" Type="http://schemas.microsoft.com/office/2007/relationships/stylesWithEffects" Target="stylesWithEffects.xml"/><Relationship Id="rId21" Type="http://schemas.openxmlformats.org/officeDocument/2006/relationships/hyperlink" Target="http://cdr.eionet.europa.eu/bg/eu/msfd8910/" TargetMode="External"/><Relationship Id="rId7" Type="http://schemas.openxmlformats.org/officeDocument/2006/relationships/endnotes" Target="endnotes.xml"/><Relationship Id="rId12" Type="http://schemas.openxmlformats.org/officeDocument/2006/relationships/hyperlink" Target="http://www.blacksea-commission.org/" TargetMode="External"/><Relationship Id="rId17" Type="http://schemas.openxmlformats.org/officeDocument/2006/relationships/hyperlink" Target="http://www.blacksea-commission.org/_bssap2009.asp" TargetMode="External"/><Relationship Id="rId25" Type="http://schemas.openxmlformats.org/officeDocument/2006/relationships/hyperlink" Target="http://www.pamguard.org/" TargetMode="External"/><Relationship Id="rId2" Type="http://schemas.openxmlformats.org/officeDocument/2006/relationships/styles" Target="styles.xml"/><Relationship Id="rId16" Type="http://schemas.openxmlformats.org/officeDocument/2006/relationships/hyperlink" Target="http://www.ipcc.ch/" TargetMode="External"/><Relationship Id="rId20" Type="http://schemas.openxmlformats.org/officeDocument/2006/relationships/hyperlink" Target="http://accobams.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bas.bg" TargetMode="External"/><Relationship Id="rId24" Type="http://schemas.openxmlformats.org/officeDocument/2006/relationships/hyperlink" Target="http://www.accobams.org/" TargetMode="External"/><Relationship Id="rId5" Type="http://schemas.openxmlformats.org/officeDocument/2006/relationships/webSettings" Target="webSettings.xml"/><Relationship Id="rId15" Type="http://schemas.openxmlformats.org/officeDocument/2006/relationships/hyperlink" Target="http://www.blacksea-commission.org/_bsimap_description.asp" TargetMode="External"/><Relationship Id="rId23" Type="http://schemas.openxmlformats.org/officeDocument/2006/relationships/hyperlink" Target="http://www.accobams.org/index.php?option=com_content&amp;view=article&amp;id=1056&amp;Itemid=86" TargetMode="External"/><Relationship Id="rId28" Type="http://schemas.openxmlformats.org/officeDocument/2006/relationships/hyperlink" Target="http://www.npws.ie/media/npwsie/content/files/Underwater%20sound%20guidance_Jan%202014.pdf" TargetMode="External"/><Relationship Id="rId10" Type="http://schemas.openxmlformats.org/officeDocument/2006/relationships/hyperlink" Target="http://eea.government.bg/en"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sbd.org/" TargetMode="External"/><Relationship Id="rId14" Type="http://schemas.openxmlformats.org/officeDocument/2006/relationships/hyperlink" Target="http://www.blacksea-commission.org/_bssap2009.asp" TargetMode="External"/><Relationship Id="rId22" Type="http://schemas.openxmlformats.org/officeDocument/2006/relationships/hyperlink" Target="http://www.south-stream-offshore.com/bg/ovoss/ovoss-v-blgariya/doklad-za-rezultatite-ovos-v-blgariya/" TargetMode="External"/><Relationship Id="rId27" Type="http://schemas.openxmlformats.org/officeDocument/2006/relationships/hyperlink" Target="http://publications.jrc.ec.europa.eu/repository/handle/111111111/23169"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TotalTime>
  <Pages>12</Pages>
  <Words>4331</Words>
  <Characters>24688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Raben-Levetzau</dc:creator>
  <cp:keywords/>
  <dc:description/>
  <cp:lastModifiedBy>Стела Барова</cp:lastModifiedBy>
  <cp:revision>219</cp:revision>
  <cp:lastPrinted>2014-03-06T14:12:00Z</cp:lastPrinted>
  <dcterms:created xsi:type="dcterms:W3CDTF">2014-02-27T11:38:00Z</dcterms:created>
  <dcterms:modified xsi:type="dcterms:W3CDTF">2015-01-07T11:07:00Z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