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58" w:type="pct"/>
        <w:tblInd w:w="-2" w:type="dxa"/>
        <w:tblCellMar>
          <w:left w:w="0" w:type="dxa"/>
          <w:right w:w="0" w:type="dxa"/>
        </w:tblCellMar>
        <w:tblLook w:val="0000" w:firstRow="0" w:lastRow="0" w:firstColumn="0" w:lastColumn="0" w:noHBand="0" w:noVBand="0"/>
      </w:tblPr>
      <w:tblGrid>
        <w:gridCol w:w="9131"/>
      </w:tblGrid>
      <w:tr w:rsidR="00281BD0" w:rsidRPr="000B219B" w:rsidTr="00281BD0">
        <w:trPr>
          <w:trHeight w:val="1073"/>
        </w:trPr>
        <w:tc>
          <w:tcPr>
            <w:tcW w:w="5000" w:type="pct"/>
            <w:vAlign w:val="center"/>
          </w:tcPr>
          <w:p w:rsidR="00281BD0" w:rsidRPr="000B219B" w:rsidRDefault="00281BD0" w:rsidP="0012264A">
            <w:pPr>
              <w:spacing w:after="0" w:line="240" w:lineRule="auto"/>
              <w:jc w:val="center"/>
              <w:rPr>
                <w:sz w:val="24"/>
                <w:szCs w:val="24"/>
              </w:rPr>
            </w:pPr>
            <w:r>
              <w:rPr>
                <w:noProof/>
                <w:lang w:eastAsia="en-GB"/>
              </w:rPr>
              <w:drawing>
                <wp:inline distT="0" distB="0" distL="0" distR="0" wp14:anchorId="0F8171BC" wp14:editId="73F4FA08">
                  <wp:extent cx="704850" cy="704850"/>
                  <wp:effectExtent l="0" t="0" r="0" b="0"/>
                  <wp:docPr id="2" name="Picture 2" descr="Description: Description: SEA PROT fin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SEA PROT final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tc>
      </w:tr>
      <w:tr w:rsidR="00281BD0" w:rsidRPr="00790F06" w:rsidTr="00281BD0">
        <w:trPr>
          <w:trHeight w:val="848"/>
        </w:trPr>
        <w:tc>
          <w:tcPr>
            <w:tcW w:w="5000" w:type="pct"/>
            <w:tcBorders>
              <w:top w:val="nil"/>
              <w:left w:val="nil"/>
              <w:bottom w:val="nil"/>
              <w:right w:val="nil"/>
            </w:tcBorders>
          </w:tcPr>
          <w:p w:rsidR="00281BD0" w:rsidRPr="00790F06" w:rsidRDefault="00281BD0" w:rsidP="0012264A">
            <w:pPr>
              <w:spacing w:before="120" w:after="120" w:line="240" w:lineRule="auto"/>
              <w:jc w:val="center"/>
              <w:rPr>
                <w:b/>
                <w:sz w:val="28"/>
                <w:szCs w:val="28"/>
              </w:rPr>
            </w:pPr>
            <w:r w:rsidRPr="00790F06">
              <w:rPr>
                <w:b/>
                <w:sz w:val="28"/>
                <w:szCs w:val="28"/>
              </w:rPr>
              <w:t>Marine Strategy Framework Directive (MSFD)</w:t>
            </w:r>
          </w:p>
          <w:p w:rsidR="00281BD0" w:rsidRPr="00790F06" w:rsidRDefault="00281BD0" w:rsidP="0012264A">
            <w:pPr>
              <w:spacing w:before="120" w:after="120" w:line="240" w:lineRule="auto"/>
              <w:jc w:val="center"/>
              <w:rPr>
                <w:i/>
                <w:sz w:val="28"/>
                <w:szCs w:val="28"/>
              </w:rPr>
            </w:pPr>
            <w:r w:rsidRPr="00790F06">
              <w:rPr>
                <w:b/>
                <w:i/>
                <w:sz w:val="28"/>
                <w:szCs w:val="28"/>
              </w:rPr>
              <w:t>Common Implementation Strategy</w:t>
            </w:r>
          </w:p>
        </w:tc>
      </w:tr>
      <w:tr w:rsidR="00281BD0" w:rsidRPr="00767EE0" w:rsidTr="00281BD0">
        <w:trPr>
          <w:trHeight w:val="911"/>
        </w:trPr>
        <w:tc>
          <w:tcPr>
            <w:tcW w:w="5000" w:type="pct"/>
          </w:tcPr>
          <w:p w:rsidR="00281BD0" w:rsidRDefault="00281BD0" w:rsidP="0012264A">
            <w:pPr>
              <w:spacing w:after="0" w:line="240" w:lineRule="auto"/>
              <w:jc w:val="center"/>
              <w:rPr>
                <w:b/>
                <w:sz w:val="24"/>
                <w:szCs w:val="24"/>
              </w:rPr>
            </w:pPr>
            <w:r>
              <w:rPr>
                <w:b/>
                <w:sz w:val="24"/>
                <w:szCs w:val="24"/>
              </w:rPr>
              <w:t>10</w:t>
            </w:r>
            <w:r w:rsidRPr="00C54B46">
              <w:rPr>
                <w:b/>
                <w:sz w:val="24"/>
                <w:szCs w:val="24"/>
                <w:vertAlign w:val="superscript"/>
              </w:rPr>
              <w:t>th</w:t>
            </w:r>
            <w:r>
              <w:rPr>
                <w:b/>
                <w:sz w:val="24"/>
                <w:szCs w:val="24"/>
              </w:rPr>
              <w:t xml:space="preserve"> </w:t>
            </w:r>
            <w:r w:rsidRPr="00092E01">
              <w:rPr>
                <w:b/>
                <w:sz w:val="24"/>
                <w:szCs w:val="24"/>
              </w:rPr>
              <w:t>meeting of the</w:t>
            </w:r>
            <w:r>
              <w:rPr>
                <w:b/>
                <w:sz w:val="24"/>
                <w:szCs w:val="24"/>
              </w:rPr>
              <w:br/>
            </w:r>
            <w:r w:rsidRPr="00092E01">
              <w:rPr>
                <w:b/>
                <w:sz w:val="24"/>
                <w:szCs w:val="24"/>
              </w:rPr>
              <w:t>Working Group on Data, Information and Knowledge Exchange (WG DIKE)</w:t>
            </w:r>
          </w:p>
          <w:p w:rsidR="00281BD0" w:rsidRDefault="00281BD0" w:rsidP="0012264A">
            <w:pPr>
              <w:spacing w:after="0" w:line="240" w:lineRule="auto"/>
              <w:jc w:val="center"/>
              <w:rPr>
                <w:sz w:val="20"/>
                <w:szCs w:val="20"/>
              </w:rPr>
            </w:pPr>
          </w:p>
          <w:p w:rsidR="00281BD0" w:rsidRPr="005E0A5F" w:rsidRDefault="00281BD0" w:rsidP="0012264A">
            <w:pPr>
              <w:spacing w:after="0" w:line="240" w:lineRule="auto"/>
              <w:jc w:val="center"/>
              <w:rPr>
                <w:b/>
                <w:i/>
                <w:sz w:val="20"/>
                <w:szCs w:val="20"/>
                <w:lang w:val="fr-FR"/>
              </w:rPr>
            </w:pPr>
            <w:r w:rsidRPr="005E0A5F">
              <w:rPr>
                <w:b/>
                <w:i/>
                <w:sz w:val="20"/>
                <w:szCs w:val="20"/>
                <w:lang w:val="fr-FR"/>
              </w:rPr>
              <w:t>1400-1800: 29</w:t>
            </w:r>
            <w:r>
              <w:rPr>
                <w:b/>
                <w:i/>
                <w:sz w:val="20"/>
                <w:szCs w:val="20"/>
                <w:lang w:val="fr-FR"/>
              </w:rPr>
              <w:t xml:space="preserve"> </w:t>
            </w:r>
            <w:proofErr w:type="spellStart"/>
            <w:r w:rsidRPr="005E0A5F">
              <w:rPr>
                <w:b/>
                <w:i/>
                <w:sz w:val="20"/>
                <w:szCs w:val="20"/>
                <w:lang w:val="fr-FR"/>
              </w:rPr>
              <w:t>September</w:t>
            </w:r>
            <w:proofErr w:type="spellEnd"/>
            <w:r w:rsidRPr="005E0A5F">
              <w:rPr>
                <w:b/>
                <w:i/>
                <w:sz w:val="20"/>
                <w:szCs w:val="20"/>
                <w:lang w:val="fr-FR"/>
              </w:rPr>
              <w:t xml:space="preserve"> 2014</w:t>
            </w:r>
          </w:p>
          <w:p w:rsidR="00281BD0" w:rsidRPr="005E0A5F" w:rsidRDefault="00281BD0" w:rsidP="0012264A">
            <w:pPr>
              <w:spacing w:after="0" w:line="240" w:lineRule="auto"/>
              <w:jc w:val="center"/>
              <w:rPr>
                <w:b/>
                <w:i/>
                <w:sz w:val="20"/>
                <w:szCs w:val="20"/>
                <w:lang w:val="fr-FR"/>
              </w:rPr>
            </w:pPr>
            <w:r w:rsidRPr="005E0A5F">
              <w:rPr>
                <w:b/>
                <w:i/>
                <w:sz w:val="20"/>
                <w:szCs w:val="20"/>
                <w:lang w:val="fr-FR"/>
              </w:rPr>
              <w:t>0900-1800: 30</w:t>
            </w:r>
            <w:r>
              <w:rPr>
                <w:b/>
                <w:i/>
                <w:sz w:val="20"/>
                <w:szCs w:val="20"/>
                <w:lang w:val="fr-FR"/>
              </w:rPr>
              <w:t xml:space="preserve"> </w:t>
            </w:r>
            <w:proofErr w:type="spellStart"/>
            <w:r w:rsidRPr="005E0A5F">
              <w:rPr>
                <w:b/>
                <w:i/>
                <w:sz w:val="20"/>
                <w:szCs w:val="20"/>
                <w:lang w:val="fr-FR"/>
              </w:rPr>
              <w:t>September</w:t>
            </w:r>
            <w:proofErr w:type="spellEnd"/>
            <w:r w:rsidRPr="005E0A5F">
              <w:rPr>
                <w:b/>
                <w:i/>
                <w:sz w:val="20"/>
                <w:szCs w:val="20"/>
                <w:lang w:val="fr-FR"/>
              </w:rPr>
              <w:t xml:space="preserve"> 2014</w:t>
            </w:r>
          </w:p>
          <w:p w:rsidR="00281BD0" w:rsidRPr="00767EE0" w:rsidRDefault="00281BD0" w:rsidP="0012264A">
            <w:pPr>
              <w:spacing w:after="0" w:line="240" w:lineRule="auto"/>
              <w:jc w:val="center"/>
              <w:rPr>
                <w:sz w:val="24"/>
                <w:szCs w:val="24"/>
                <w:lang w:val="fr-BE"/>
              </w:rPr>
            </w:pPr>
            <w:proofErr w:type="spellStart"/>
            <w:r w:rsidRPr="00223A41">
              <w:rPr>
                <w:i/>
                <w:sz w:val="20"/>
                <w:szCs w:val="20"/>
                <w:lang w:val="fr-BE"/>
              </w:rPr>
              <w:t>Conference</w:t>
            </w:r>
            <w:proofErr w:type="spellEnd"/>
            <w:r w:rsidRPr="00223A41">
              <w:rPr>
                <w:i/>
                <w:sz w:val="20"/>
                <w:szCs w:val="20"/>
                <w:lang w:val="fr-BE"/>
              </w:rPr>
              <w:t xml:space="preserve"> Centre Albert </w:t>
            </w:r>
            <w:proofErr w:type="spellStart"/>
            <w:r w:rsidRPr="00223A41">
              <w:rPr>
                <w:i/>
                <w:sz w:val="20"/>
                <w:szCs w:val="20"/>
                <w:lang w:val="fr-BE"/>
              </w:rPr>
              <w:t>Borschette</w:t>
            </w:r>
            <w:proofErr w:type="spellEnd"/>
            <w:r w:rsidRPr="00223A41">
              <w:rPr>
                <w:i/>
                <w:sz w:val="20"/>
                <w:szCs w:val="20"/>
                <w:lang w:val="fr-BE"/>
              </w:rPr>
              <w:t xml:space="preserve">, Rue Froissart 36, </w:t>
            </w:r>
            <w:r>
              <w:rPr>
                <w:i/>
                <w:sz w:val="20"/>
                <w:szCs w:val="20"/>
                <w:lang w:val="fr-BE"/>
              </w:rPr>
              <w:t>B-</w:t>
            </w:r>
            <w:r w:rsidRPr="00223A41">
              <w:rPr>
                <w:i/>
                <w:sz w:val="20"/>
                <w:szCs w:val="20"/>
                <w:lang w:val="fr-BE"/>
              </w:rPr>
              <w:t>1040 Brussels</w:t>
            </w:r>
          </w:p>
        </w:tc>
      </w:tr>
    </w:tbl>
    <w:p w:rsidR="00281BD0" w:rsidRPr="00767EE0" w:rsidRDefault="00281BD0" w:rsidP="00281BD0">
      <w:pPr>
        <w:rPr>
          <w:rFonts w:ascii="Times New Roman" w:hAnsi="Times New Roman" w:cs="Palatino Linotype"/>
          <w:sz w:val="24"/>
          <w:lang w:val="fr-BE" w:eastAsia="de-DE"/>
        </w:rPr>
      </w:pPr>
    </w:p>
    <w:tbl>
      <w:tblPr>
        <w:tblW w:w="4915" w:type="pct"/>
        <w:tblInd w:w="108" w:type="dxa"/>
        <w:shd w:val="clear" w:color="auto" w:fill="C0C0C0"/>
        <w:tblLook w:val="0000" w:firstRow="0" w:lastRow="0" w:firstColumn="0" w:lastColumn="0" w:noHBand="0" w:noVBand="0"/>
      </w:tblPr>
      <w:tblGrid>
        <w:gridCol w:w="1619"/>
        <w:gridCol w:w="7466"/>
      </w:tblGrid>
      <w:tr w:rsidR="00281BD0" w:rsidTr="0012264A">
        <w:tc>
          <w:tcPr>
            <w:tcW w:w="891" w:type="pct"/>
            <w:shd w:val="clear" w:color="auto" w:fill="C0C0C0"/>
          </w:tcPr>
          <w:p w:rsidR="00281BD0" w:rsidRDefault="00281BD0" w:rsidP="0012264A">
            <w:pPr>
              <w:spacing w:after="120"/>
              <w:rPr>
                <w:rFonts w:cs="Palatino Linotype"/>
                <w:sz w:val="20"/>
                <w:szCs w:val="20"/>
                <w:lang w:val="en-US" w:eastAsia="de-DE"/>
              </w:rPr>
            </w:pPr>
            <w:r>
              <w:rPr>
                <w:rFonts w:cs="Palatino Linotype"/>
                <w:bCs/>
                <w:sz w:val="20"/>
                <w:szCs w:val="20"/>
                <w:lang w:val="en-US" w:eastAsia="de-DE"/>
              </w:rPr>
              <w:t>Agenda item:</w:t>
            </w:r>
          </w:p>
        </w:tc>
        <w:tc>
          <w:tcPr>
            <w:tcW w:w="4109" w:type="pct"/>
            <w:shd w:val="clear" w:color="auto" w:fill="C0C0C0"/>
          </w:tcPr>
          <w:p w:rsidR="00281BD0" w:rsidRDefault="00E7523F" w:rsidP="0012264A">
            <w:pPr>
              <w:spacing w:after="120"/>
              <w:rPr>
                <w:rFonts w:cs="Palatino Linotype"/>
                <w:sz w:val="20"/>
                <w:szCs w:val="20"/>
                <w:lang w:val="en-US" w:eastAsia="de-DE"/>
              </w:rPr>
            </w:pPr>
            <w:r>
              <w:rPr>
                <w:rFonts w:cs="Palatino Linotype"/>
                <w:sz w:val="20"/>
                <w:szCs w:val="20"/>
                <w:lang w:val="en-US" w:eastAsia="de-DE"/>
              </w:rPr>
              <w:t>7</w:t>
            </w:r>
          </w:p>
        </w:tc>
      </w:tr>
      <w:tr w:rsidR="00281BD0" w:rsidTr="0012264A">
        <w:tc>
          <w:tcPr>
            <w:tcW w:w="891" w:type="pct"/>
            <w:shd w:val="clear" w:color="auto" w:fill="C0C0C0"/>
          </w:tcPr>
          <w:p w:rsidR="00281BD0" w:rsidRDefault="00281BD0" w:rsidP="0012264A">
            <w:pPr>
              <w:spacing w:after="120"/>
              <w:rPr>
                <w:rFonts w:cs="Palatino Linotype"/>
                <w:sz w:val="20"/>
                <w:szCs w:val="20"/>
                <w:lang w:val="en-US" w:eastAsia="de-DE"/>
              </w:rPr>
            </w:pPr>
            <w:r>
              <w:rPr>
                <w:rFonts w:cs="Palatino Linotype"/>
                <w:sz w:val="20"/>
                <w:szCs w:val="20"/>
                <w:lang w:val="en-US" w:eastAsia="de-DE"/>
              </w:rPr>
              <w:t>Document:</w:t>
            </w:r>
          </w:p>
        </w:tc>
        <w:tc>
          <w:tcPr>
            <w:tcW w:w="4109" w:type="pct"/>
            <w:shd w:val="clear" w:color="auto" w:fill="C0C0C0"/>
          </w:tcPr>
          <w:p w:rsidR="00281BD0" w:rsidRDefault="00281BD0" w:rsidP="0012264A">
            <w:pPr>
              <w:spacing w:after="120"/>
              <w:rPr>
                <w:rFonts w:cs="Palatino Linotype"/>
                <w:sz w:val="20"/>
                <w:szCs w:val="20"/>
                <w:lang w:val="en-US" w:eastAsia="de-DE"/>
              </w:rPr>
            </w:pPr>
            <w:r>
              <w:rPr>
                <w:sz w:val="20"/>
                <w:szCs w:val="20"/>
              </w:rPr>
              <w:t>DIKE_10-2014</w:t>
            </w:r>
            <w:r w:rsidR="00E7523F">
              <w:rPr>
                <w:sz w:val="20"/>
                <w:szCs w:val="20"/>
              </w:rPr>
              <w:t>-07</w:t>
            </w:r>
          </w:p>
        </w:tc>
      </w:tr>
      <w:tr w:rsidR="00281BD0" w:rsidTr="0012264A">
        <w:tc>
          <w:tcPr>
            <w:tcW w:w="891" w:type="pct"/>
            <w:shd w:val="clear" w:color="auto" w:fill="C0C0C0"/>
          </w:tcPr>
          <w:p w:rsidR="00281BD0" w:rsidRDefault="00281BD0" w:rsidP="0012264A">
            <w:pPr>
              <w:spacing w:after="120"/>
              <w:ind w:left="2"/>
              <w:rPr>
                <w:rFonts w:cs="Palatino Linotype"/>
                <w:sz w:val="20"/>
                <w:szCs w:val="20"/>
                <w:lang w:val="en-US" w:eastAsia="de-DE"/>
              </w:rPr>
            </w:pPr>
            <w:r>
              <w:rPr>
                <w:rFonts w:cs="Palatino Linotype"/>
                <w:sz w:val="20"/>
                <w:szCs w:val="20"/>
                <w:lang w:val="en-US" w:eastAsia="de-DE"/>
              </w:rPr>
              <w:t>Title:</w:t>
            </w:r>
          </w:p>
        </w:tc>
        <w:tc>
          <w:tcPr>
            <w:tcW w:w="4109" w:type="pct"/>
            <w:shd w:val="clear" w:color="auto" w:fill="C0C0C0"/>
          </w:tcPr>
          <w:p w:rsidR="00281BD0" w:rsidRDefault="00281BD0" w:rsidP="0012264A">
            <w:pPr>
              <w:spacing w:after="120"/>
              <w:rPr>
                <w:rFonts w:cs="Palatino Linotype"/>
                <w:sz w:val="20"/>
                <w:szCs w:val="20"/>
                <w:lang w:val="en-US" w:eastAsia="de-DE"/>
              </w:rPr>
            </w:pPr>
            <w:r>
              <w:rPr>
                <w:rFonts w:cs="Palatino Linotype"/>
                <w:sz w:val="20"/>
                <w:szCs w:val="20"/>
                <w:lang w:val="en-US" w:eastAsia="de-DE"/>
              </w:rPr>
              <w:t>Meeting summary of TG DATA workshop on existing reporting in support of eutrophication (D5) and hazardous substances (D8)</w:t>
            </w:r>
          </w:p>
        </w:tc>
      </w:tr>
      <w:tr w:rsidR="00281BD0" w:rsidRPr="0096660B" w:rsidTr="0012264A">
        <w:tc>
          <w:tcPr>
            <w:tcW w:w="891" w:type="pct"/>
            <w:shd w:val="clear" w:color="auto" w:fill="C0C0C0"/>
          </w:tcPr>
          <w:p w:rsidR="00281BD0" w:rsidRPr="0096660B" w:rsidRDefault="00281BD0" w:rsidP="0012264A">
            <w:pPr>
              <w:spacing w:after="120"/>
              <w:rPr>
                <w:rFonts w:cs="Palatino Linotype"/>
                <w:sz w:val="20"/>
                <w:szCs w:val="20"/>
                <w:lang w:val="en-US" w:eastAsia="de-DE"/>
              </w:rPr>
            </w:pPr>
            <w:r w:rsidRPr="0096660B">
              <w:rPr>
                <w:rFonts w:cs="Palatino Linotype"/>
                <w:sz w:val="20"/>
                <w:szCs w:val="20"/>
                <w:lang w:val="en-US" w:eastAsia="de-DE"/>
              </w:rPr>
              <w:t>Prepared by:</w:t>
            </w:r>
          </w:p>
        </w:tc>
        <w:tc>
          <w:tcPr>
            <w:tcW w:w="4109" w:type="pct"/>
            <w:shd w:val="clear" w:color="auto" w:fill="C0C0C0"/>
          </w:tcPr>
          <w:p w:rsidR="00281BD0" w:rsidRPr="0096660B" w:rsidRDefault="00281BD0" w:rsidP="0012264A">
            <w:pPr>
              <w:rPr>
                <w:sz w:val="20"/>
                <w:szCs w:val="20"/>
              </w:rPr>
            </w:pPr>
            <w:r>
              <w:rPr>
                <w:sz w:val="20"/>
                <w:szCs w:val="20"/>
              </w:rPr>
              <w:t>ETC/ICM and EEA</w:t>
            </w:r>
            <w:bookmarkStart w:id="0" w:name="_GoBack"/>
            <w:bookmarkEnd w:id="0"/>
          </w:p>
        </w:tc>
      </w:tr>
      <w:tr w:rsidR="00281BD0" w:rsidTr="0012264A">
        <w:tc>
          <w:tcPr>
            <w:tcW w:w="891" w:type="pct"/>
            <w:shd w:val="clear" w:color="auto" w:fill="C0C0C0"/>
          </w:tcPr>
          <w:p w:rsidR="00281BD0" w:rsidRDefault="00281BD0" w:rsidP="0012264A">
            <w:pPr>
              <w:spacing w:after="120"/>
              <w:rPr>
                <w:rFonts w:cs="Palatino Linotype"/>
                <w:sz w:val="20"/>
                <w:szCs w:val="20"/>
                <w:lang w:val="en-US" w:eastAsia="de-DE"/>
              </w:rPr>
            </w:pPr>
            <w:r>
              <w:rPr>
                <w:rFonts w:cs="Palatino Linotype"/>
                <w:sz w:val="20"/>
                <w:szCs w:val="20"/>
                <w:lang w:val="en-US" w:eastAsia="de-DE"/>
              </w:rPr>
              <w:t>Date prepared:</w:t>
            </w:r>
          </w:p>
        </w:tc>
        <w:tc>
          <w:tcPr>
            <w:tcW w:w="4109" w:type="pct"/>
            <w:shd w:val="clear" w:color="auto" w:fill="C0C0C0"/>
          </w:tcPr>
          <w:p w:rsidR="00281BD0" w:rsidRDefault="00281BD0" w:rsidP="0012264A">
            <w:pPr>
              <w:spacing w:after="120"/>
              <w:rPr>
                <w:rFonts w:cs="Palatino Linotype"/>
                <w:sz w:val="20"/>
                <w:szCs w:val="20"/>
                <w:lang w:val="en-US" w:eastAsia="de-DE"/>
              </w:rPr>
            </w:pPr>
            <w:r>
              <w:rPr>
                <w:rFonts w:cs="Palatino Linotype"/>
                <w:sz w:val="20"/>
                <w:szCs w:val="20"/>
                <w:lang w:val="en-US" w:eastAsia="de-DE"/>
              </w:rPr>
              <w:t>23/09/2014</w:t>
            </w:r>
          </w:p>
        </w:tc>
      </w:tr>
      <w:tr w:rsidR="00281BD0" w:rsidRPr="00312B86" w:rsidTr="0012264A">
        <w:tc>
          <w:tcPr>
            <w:tcW w:w="891" w:type="pct"/>
            <w:shd w:val="clear" w:color="auto" w:fill="C0C0C0"/>
          </w:tcPr>
          <w:p w:rsidR="00281BD0" w:rsidRDefault="00281BD0" w:rsidP="0012264A">
            <w:pPr>
              <w:spacing w:after="120"/>
              <w:rPr>
                <w:rFonts w:cs="Palatino Linotype"/>
                <w:sz w:val="20"/>
                <w:szCs w:val="20"/>
                <w:lang w:val="en-US" w:eastAsia="de-DE"/>
              </w:rPr>
            </w:pPr>
            <w:r>
              <w:rPr>
                <w:rFonts w:cs="Palatino Linotype"/>
                <w:sz w:val="20"/>
                <w:szCs w:val="20"/>
                <w:lang w:val="en-US" w:eastAsia="de-DE"/>
              </w:rPr>
              <w:t>Background:</w:t>
            </w:r>
          </w:p>
        </w:tc>
        <w:tc>
          <w:tcPr>
            <w:tcW w:w="4109" w:type="pct"/>
            <w:shd w:val="clear" w:color="auto" w:fill="C0C0C0"/>
          </w:tcPr>
          <w:p w:rsidR="00281BD0" w:rsidRDefault="00281BD0">
            <w:pPr>
              <w:spacing w:after="120"/>
              <w:rPr>
                <w:rFonts w:cs="Palatino Linotype"/>
                <w:sz w:val="20"/>
                <w:szCs w:val="20"/>
                <w:lang w:val="en-US" w:eastAsia="de-DE"/>
              </w:rPr>
            </w:pPr>
            <w:r w:rsidRPr="00281BD0">
              <w:rPr>
                <w:rFonts w:cs="Palatino Linotype"/>
                <w:sz w:val="20"/>
                <w:szCs w:val="20"/>
                <w:lang w:val="en-US" w:eastAsia="de-DE"/>
              </w:rPr>
              <w:t xml:space="preserve">Historically, data flows have been in place to support indicators of eutrophication (D5) and hazardous substances (D8), both in the four Regional Sea Conventions and in the EIONET (see Annex 1 to this paper). The objective of the workshop was to gain a clear understanding of which MSFD indicators under D5 and D8 could be supported by data streams already in place, how they work and what their operational conditions are. </w:t>
            </w:r>
          </w:p>
        </w:tc>
      </w:tr>
    </w:tbl>
    <w:p w:rsidR="00281BD0" w:rsidRDefault="00281BD0" w:rsidP="00281BD0">
      <w:pPr>
        <w:rPr>
          <w:lang w:val="en-US"/>
        </w:rPr>
      </w:pPr>
    </w:p>
    <w:p w:rsidR="00281BD0" w:rsidRPr="00312B86" w:rsidRDefault="00281BD0" w:rsidP="00281BD0">
      <w:pPr>
        <w:rPr>
          <w:b/>
          <w:lang w:val="en-US"/>
        </w:rPr>
      </w:pPr>
      <w:r w:rsidRPr="00312B86">
        <w:rPr>
          <w:b/>
          <w:lang w:val="en-US"/>
        </w:rPr>
        <w:t>WG DIKE is invited to:</w:t>
      </w:r>
    </w:p>
    <w:p w:rsidR="00281BD0" w:rsidRDefault="00281BD0" w:rsidP="00281BD0">
      <w:pPr>
        <w:numPr>
          <w:ilvl w:val="0"/>
          <w:numId w:val="18"/>
        </w:numPr>
        <w:spacing w:line="264" w:lineRule="auto"/>
        <w:jc w:val="both"/>
        <w:rPr>
          <w:lang w:val="en-US"/>
        </w:rPr>
      </w:pPr>
      <w:r>
        <w:rPr>
          <w:lang w:val="en-US"/>
        </w:rPr>
        <w:t>Take note of the meeting summary;</w:t>
      </w:r>
    </w:p>
    <w:p w:rsidR="00281BD0" w:rsidRDefault="00281BD0" w:rsidP="00281BD0">
      <w:pPr>
        <w:numPr>
          <w:ilvl w:val="0"/>
          <w:numId w:val="18"/>
        </w:numPr>
        <w:spacing w:line="264" w:lineRule="auto"/>
        <w:jc w:val="both"/>
        <w:rPr>
          <w:lang w:val="en-US"/>
        </w:rPr>
      </w:pPr>
      <w:r>
        <w:rPr>
          <w:lang w:val="en-US"/>
        </w:rPr>
        <w:t xml:space="preserve">Comment on the </w:t>
      </w:r>
      <w:r w:rsidR="00E7523F">
        <w:rPr>
          <w:lang w:val="en-US"/>
        </w:rPr>
        <w:t>main workshop conclusions summarized on the first page and substantiated by the analysis in the document.</w:t>
      </w:r>
    </w:p>
    <w:p w:rsidR="0033665B" w:rsidRDefault="00281BD0" w:rsidP="00281BD0">
      <w:pPr>
        <w:rPr>
          <w:b/>
          <w:lang w:val="en-US"/>
        </w:rPr>
      </w:pPr>
      <w:r>
        <w:rPr>
          <w:lang w:val="en-US"/>
        </w:rPr>
        <w:br w:type="page"/>
      </w:r>
    </w:p>
    <w:p w:rsidR="0033665B" w:rsidRDefault="00CE06F8" w:rsidP="0033665B">
      <w:pPr>
        <w:jc w:val="center"/>
        <w:rPr>
          <w:b/>
          <w:lang w:val="en-US"/>
        </w:rPr>
      </w:pPr>
      <w:r>
        <w:rPr>
          <w:b/>
          <w:lang w:val="en-US"/>
        </w:rPr>
        <w:lastRenderedPageBreak/>
        <w:t>Summary</w:t>
      </w:r>
    </w:p>
    <w:p w:rsidR="00117BAC" w:rsidRDefault="00592019" w:rsidP="00BC5C72">
      <w:pPr>
        <w:jc w:val="both"/>
        <w:rPr>
          <w:lang w:val="en-US"/>
        </w:rPr>
      </w:pPr>
      <w:r>
        <w:rPr>
          <w:lang w:val="en-US"/>
        </w:rPr>
        <w:t>Historically, data flows have been in place to support indicators of eutrophication</w:t>
      </w:r>
      <w:r w:rsidR="004137FD">
        <w:rPr>
          <w:lang w:val="en-US"/>
        </w:rPr>
        <w:t xml:space="preserve"> (D5)</w:t>
      </w:r>
      <w:r>
        <w:rPr>
          <w:lang w:val="en-US"/>
        </w:rPr>
        <w:t xml:space="preserve"> and hazardous substances</w:t>
      </w:r>
      <w:r w:rsidR="004137FD">
        <w:rPr>
          <w:lang w:val="en-US"/>
        </w:rPr>
        <w:t xml:space="preserve"> (D8)</w:t>
      </w:r>
      <w:r>
        <w:rPr>
          <w:lang w:val="en-US"/>
        </w:rPr>
        <w:t xml:space="preserve">, both in the four Regional Sea Conventions and in the </w:t>
      </w:r>
      <w:r w:rsidR="00046EE0">
        <w:rPr>
          <w:lang w:val="en-US"/>
        </w:rPr>
        <w:t>EIONET</w:t>
      </w:r>
      <w:r w:rsidR="00B635F8">
        <w:rPr>
          <w:lang w:val="en-US"/>
        </w:rPr>
        <w:t xml:space="preserve"> (see Annex 1 to this paper)</w:t>
      </w:r>
      <w:r>
        <w:rPr>
          <w:lang w:val="en-US"/>
        </w:rPr>
        <w:t xml:space="preserve">. </w:t>
      </w:r>
      <w:r w:rsidR="00117BAC">
        <w:rPr>
          <w:lang w:val="en-US"/>
        </w:rPr>
        <w:t xml:space="preserve">The </w:t>
      </w:r>
      <w:r>
        <w:rPr>
          <w:lang w:val="en-US"/>
        </w:rPr>
        <w:t xml:space="preserve">objective </w:t>
      </w:r>
      <w:r w:rsidR="00117BAC">
        <w:rPr>
          <w:lang w:val="en-US"/>
        </w:rPr>
        <w:t>of the workshop was to gain a c</w:t>
      </w:r>
      <w:r w:rsidR="00117BAC" w:rsidRPr="00117BAC">
        <w:rPr>
          <w:lang w:val="en-US"/>
        </w:rPr>
        <w:t xml:space="preserve">lear understanding of </w:t>
      </w:r>
      <w:r w:rsidR="004137FD">
        <w:rPr>
          <w:lang w:val="en-US"/>
        </w:rPr>
        <w:t xml:space="preserve">which MSFD indicators under D5 and D8 could be supported by </w:t>
      </w:r>
      <w:r w:rsidR="00117BAC" w:rsidRPr="00117BAC">
        <w:rPr>
          <w:lang w:val="en-US"/>
        </w:rPr>
        <w:t xml:space="preserve">data streams </w:t>
      </w:r>
      <w:r>
        <w:rPr>
          <w:lang w:val="en-US"/>
        </w:rPr>
        <w:t xml:space="preserve">already </w:t>
      </w:r>
      <w:r w:rsidR="00117BAC" w:rsidRPr="00117BAC">
        <w:rPr>
          <w:lang w:val="en-US"/>
        </w:rPr>
        <w:t>in place</w:t>
      </w:r>
      <w:r w:rsidR="00117BAC">
        <w:rPr>
          <w:lang w:val="en-US"/>
        </w:rPr>
        <w:t>,</w:t>
      </w:r>
      <w:r w:rsidR="00117BAC" w:rsidRPr="00117BAC">
        <w:rPr>
          <w:lang w:val="en-US"/>
        </w:rPr>
        <w:t xml:space="preserve"> how they work</w:t>
      </w:r>
      <w:r w:rsidR="00117BAC">
        <w:rPr>
          <w:lang w:val="en-US"/>
        </w:rPr>
        <w:t xml:space="preserve"> and what the</w:t>
      </w:r>
      <w:r>
        <w:rPr>
          <w:lang w:val="en-US"/>
        </w:rPr>
        <w:t>ir</w:t>
      </w:r>
      <w:r w:rsidR="00117BAC">
        <w:rPr>
          <w:lang w:val="en-US"/>
        </w:rPr>
        <w:t xml:space="preserve"> operational conditions are. </w:t>
      </w:r>
      <w:r w:rsidRPr="00A05041">
        <w:rPr>
          <w:lang w:val="en-US"/>
        </w:rPr>
        <w:t xml:space="preserve">The </w:t>
      </w:r>
      <w:r>
        <w:rPr>
          <w:lang w:val="en-US"/>
        </w:rPr>
        <w:t xml:space="preserve">2 day </w:t>
      </w:r>
      <w:r w:rsidRPr="00A05041">
        <w:rPr>
          <w:lang w:val="en-US"/>
        </w:rPr>
        <w:t xml:space="preserve">workshop </w:t>
      </w:r>
      <w:r>
        <w:rPr>
          <w:lang w:val="en-US"/>
        </w:rPr>
        <w:t>was</w:t>
      </w:r>
      <w:r w:rsidRPr="00A05041">
        <w:rPr>
          <w:lang w:val="en-US"/>
        </w:rPr>
        <w:t xml:space="preserve"> split into a </w:t>
      </w:r>
      <w:proofErr w:type="gramStart"/>
      <w:r w:rsidRPr="00A05041">
        <w:rPr>
          <w:lang w:val="en-US"/>
        </w:rPr>
        <w:t>eutrophication</w:t>
      </w:r>
      <w:r>
        <w:rPr>
          <w:lang w:val="en-US"/>
        </w:rPr>
        <w:t xml:space="preserve"> </w:t>
      </w:r>
      <w:r w:rsidRPr="00A05041">
        <w:rPr>
          <w:lang w:val="en-US"/>
        </w:rPr>
        <w:t xml:space="preserve"> session</w:t>
      </w:r>
      <w:proofErr w:type="gramEnd"/>
      <w:r w:rsidRPr="00A05041">
        <w:rPr>
          <w:lang w:val="en-US"/>
        </w:rPr>
        <w:t xml:space="preserve"> on day one and a hazardous substance</w:t>
      </w:r>
      <w:r>
        <w:rPr>
          <w:lang w:val="en-US"/>
        </w:rPr>
        <w:t xml:space="preserve"> session on day 2</w:t>
      </w:r>
      <w:r w:rsidRPr="00A05041">
        <w:rPr>
          <w:lang w:val="en-US"/>
        </w:rPr>
        <w:t>.</w:t>
      </w:r>
      <w:r>
        <w:rPr>
          <w:lang w:val="en-US"/>
        </w:rPr>
        <w:t xml:space="preserve"> </w:t>
      </w:r>
    </w:p>
    <w:p w:rsidR="009F7E8C" w:rsidRDefault="009F7E8C" w:rsidP="009F7E8C">
      <w:pPr>
        <w:jc w:val="both"/>
        <w:rPr>
          <w:lang w:val="en-US"/>
        </w:rPr>
      </w:pPr>
      <w:r>
        <w:rPr>
          <w:lang w:val="en-US"/>
        </w:rPr>
        <w:t xml:space="preserve">In general the </w:t>
      </w:r>
      <w:r w:rsidRPr="0012264A">
        <w:rPr>
          <w:lang w:val="en-US"/>
        </w:rPr>
        <w:t>outlook for the next 5 years</w:t>
      </w:r>
      <w:r>
        <w:rPr>
          <w:lang w:val="en-US"/>
        </w:rPr>
        <w:t xml:space="preserve"> indicates that</w:t>
      </w:r>
      <w:r w:rsidRPr="00E1024A">
        <w:rPr>
          <w:lang w:val="en-US"/>
        </w:rPr>
        <w:t xml:space="preserve"> the </w:t>
      </w:r>
      <w:r>
        <w:rPr>
          <w:lang w:val="en-US"/>
        </w:rPr>
        <w:t>current arrangements with the data</w:t>
      </w:r>
      <w:r w:rsidR="000A6E55">
        <w:rPr>
          <w:lang w:val="en-US"/>
        </w:rPr>
        <w:t xml:space="preserve"> </w:t>
      </w:r>
      <w:r>
        <w:rPr>
          <w:lang w:val="en-US"/>
        </w:rPr>
        <w:t xml:space="preserve">flows established for MS reporting to ICES under HELCOM/OSPAR obligations for the most commonly used indicators under D5 and D8. Furthermore, mechanisms are in place in these RSCs to agree and establish new data flows in support of MSFD, if desired. </w:t>
      </w:r>
    </w:p>
    <w:p w:rsidR="009F7E8C" w:rsidRDefault="009F7E8C" w:rsidP="009F7E8C">
      <w:pPr>
        <w:jc w:val="both"/>
        <w:rPr>
          <w:lang w:val="en-US"/>
        </w:rPr>
      </w:pPr>
      <w:r>
        <w:rPr>
          <w:lang w:val="en-US"/>
        </w:rPr>
        <w:t xml:space="preserve">The reporting mechanisms available to countries in UNEP/MAP and in the Black Sea seem to not be as able to support the MSFD obligations, and countries may need to find alternative solutions. Relevant parameters seem to be reported in the context of the BSC, and to a lesser extent MEDPOL, but the restricted access rights means that they cannot be shared easily from the regional level. In fact the Mediterranean countries as well as RO and BG could fulfill their EU reporting obligations to D5 and D8 through the EEA driven EIONET/WISE SoE mechanisms.  </w:t>
      </w:r>
    </w:p>
    <w:p w:rsidR="009F7E8C" w:rsidRDefault="009F7E8C" w:rsidP="009F7E8C">
      <w:pPr>
        <w:rPr>
          <w:lang w:val="en-US"/>
        </w:rPr>
      </w:pPr>
      <w:r>
        <w:rPr>
          <w:lang w:val="en-US"/>
        </w:rPr>
        <w:t xml:space="preserve">In addition, the workshop also discussed alternatives to existing reporting methods. However, except for Germany, countries have not progressed in moving their own systems from a traditional ‘push’ system to a ’pull system based on INSPIRE principles. </w:t>
      </w:r>
    </w:p>
    <w:p w:rsidR="009F7E8C" w:rsidRPr="00E1024A" w:rsidRDefault="009F7E8C" w:rsidP="009F7E8C">
      <w:pPr>
        <w:jc w:val="both"/>
        <w:rPr>
          <w:lang w:val="en-US"/>
        </w:rPr>
      </w:pPr>
      <w:r w:rsidRPr="004D3906">
        <w:rPr>
          <w:lang w:val="en-US"/>
        </w:rPr>
        <w:t xml:space="preserve">Most </w:t>
      </w:r>
      <w:r>
        <w:rPr>
          <w:lang w:val="en-US"/>
        </w:rPr>
        <w:t>primary</w:t>
      </w:r>
      <w:r w:rsidRPr="004D3906">
        <w:rPr>
          <w:lang w:val="en-US"/>
        </w:rPr>
        <w:t xml:space="preserve"> data are at national databases, higher indicator data </w:t>
      </w:r>
      <w:r>
        <w:rPr>
          <w:lang w:val="en-US"/>
        </w:rPr>
        <w:t>in</w:t>
      </w:r>
      <w:r w:rsidRPr="004D3906">
        <w:rPr>
          <w:lang w:val="en-US"/>
        </w:rPr>
        <w:t xml:space="preserve"> RSCs</w:t>
      </w:r>
      <w:r>
        <w:rPr>
          <w:lang w:val="en-US"/>
        </w:rPr>
        <w:t xml:space="preserve"> databases</w:t>
      </w:r>
      <w:r w:rsidRPr="004D3906">
        <w:rPr>
          <w:lang w:val="en-US"/>
        </w:rPr>
        <w:t xml:space="preserve"> and with directions in a catalogue referring to original data. </w:t>
      </w:r>
      <w:r w:rsidRPr="00E1024A">
        <w:rPr>
          <w:lang w:val="en-US"/>
        </w:rPr>
        <w:t xml:space="preserve">In </w:t>
      </w:r>
      <w:r>
        <w:rPr>
          <w:lang w:val="en-US"/>
        </w:rPr>
        <w:t xml:space="preserve">the </w:t>
      </w:r>
      <w:r w:rsidRPr="00E1024A">
        <w:rPr>
          <w:lang w:val="en-US"/>
        </w:rPr>
        <w:t>future it might be better to have national databases</w:t>
      </w:r>
      <w:r>
        <w:rPr>
          <w:lang w:val="en-US"/>
        </w:rPr>
        <w:t xml:space="preserve"> as the main data nodes, in this way progressing towards a ‘pull’ system. In general, a gradual move towards a ‘pull’ system is how some MS would like to operate</w:t>
      </w:r>
      <w:r w:rsidRPr="00E1024A">
        <w:rPr>
          <w:lang w:val="en-US"/>
        </w:rPr>
        <w:t xml:space="preserve"> incorporating the following principles: </w:t>
      </w:r>
    </w:p>
    <w:p w:rsidR="009F7E8C" w:rsidRDefault="009F7E8C" w:rsidP="009F7E8C">
      <w:pPr>
        <w:pStyle w:val="ListParagraph"/>
        <w:numPr>
          <w:ilvl w:val="0"/>
          <w:numId w:val="13"/>
        </w:numPr>
        <w:jc w:val="both"/>
        <w:rPr>
          <w:lang w:val="en-US"/>
        </w:rPr>
      </w:pPr>
      <w:r w:rsidRPr="00E1024A">
        <w:rPr>
          <w:lang w:val="en-US"/>
        </w:rPr>
        <w:t>communication should go from MS to RSC and then to EU level</w:t>
      </w:r>
    </w:p>
    <w:p w:rsidR="009F7E8C" w:rsidRDefault="009F7E8C" w:rsidP="009F7E8C">
      <w:pPr>
        <w:pStyle w:val="ListParagraph"/>
        <w:numPr>
          <w:ilvl w:val="0"/>
          <w:numId w:val="13"/>
        </w:numPr>
        <w:jc w:val="both"/>
        <w:rPr>
          <w:lang w:val="en-US"/>
        </w:rPr>
      </w:pPr>
      <w:r w:rsidRPr="00E1024A">
        <w:rPr>
          <w:lang w:val="en-US"/>
        </w:rPr>
        <w:t>report once, use many times principle</w:t>
      </w:r>
    </w:p>
    <w:p w:rsidR="009F7E8C" w:rsidRDefault="009F7E8C" w:rsidP="009F7E8C">
      <w:pPr>
        <w:jc w:val="both"/>
        <w:rPr>
          <w:lang w:val="en-US"/>
        </w:rPr>
      </w:pPr>
      <w:r>
        <w:rPr>
          <w:lang w:val="en-US"/>
        </w:rPr>
        <w:t>It was agreed that TG</w:t>
      </w:r>
      <w:r w:rsidR="000A6E55">
        <w:rPr>
          <w:lang w:val="en-US"/>
        </w:rPr>
        <w:t>-</w:t>
      </w:r>
      <w:r>
        <w:rPr>
          <w:lang w:val="en-US"/>
        </w:rPr>
        <w:t>DATA has an important role to play in the shaping of the future architecture of the European marine data systems.</w:t>
      </w:r>
    </w:p>
    <w:p w:rsidR="00B67E63" w:rsidRDefault="00B67E63" w:rsidP="009F7E8C">
      <w:pPr>
        <w:jc w:val="both"/>
        <w:rPr>
          <w:lang w:val="en-US"/>
        </w:rPr>
      </w:pPr>
    </w:p>
    <w:p w:rsidR="00B67E63" w:rsidRDefault="00B67E63" w:rsidP="009F7E8C">
      <w:pPr>
        <w:jc w:val="both"/>
        <w:rPr>
          <w:lang w:val="en-US"/>
        </w:rPr>
      </w:pPr>
    </w:p>
    <w:p w:rsidR="00B11863" w:rsidRPr="004529A3" w:rsidRDefault="00B11863" w:rsidP="00B11863">
      <w:pPr>
        <w:pStyle w:val="Heading2"/>
        <w:rPr>
          <w:lang w:val="en-US"/>
        </w:rPr>
      </w:pPr>
      <w:r w:rsidRPr="004529A3">
        <w:rPr>
          <w:lang w:val="en-US"/>
        </w:rPr>
        <w:t>Analysis of data flows</w:t>
      </w:r>
      <w:r>
        <w:rPr>
          <w:lang w:val="en-US"/>
        </w:rPr>
        <w:t xml:space="preserve"> in support of D5</w:t>
      </w:r>
    </w:p>
    <w:p w:rsidR="003913DB" w:rsidRDefault="003913DB" w:rsidP="00B11863">
      <w:pPr>
        <w:jc w:val="both"/>
        <w:rPr>
          <w:lang w:val="en-US"/>
        </w:rPr>
      </w:pPr>
      <w:r>
        <w:rPr>
          <w:lang w:val="en-US"/>
        </w:rPr>
        <w:t xml:space="preserve">The reporting stream in place in context of the RSC and the EEA were </w:t>
      </w:r>
      <w:proofErr w:type="spellStart"/>
      <w:r>
        <w:rPr>
          <w:lang w:val="en-US"/>
        </w:rPr>
        <w:t>analysed</w:t>
      </w:r>
      <w:proofErr w:type="spellEnd"/>
      <w:r>
        <w:rPr>
          <w:lang w:val="en-US"/>
        </w:rPr>
        <w:t xml:space="preserve"> from the perspective of providing data relevant for MSFD Descriptor 5 indicators. The analysis was based on d</w:t>
      </w:r>
      <w:r w:rsidR="00B11863" w:rsidRPr="004529A3">
        <w:rPr>
          <w:lang w:val="en-US"/>
        </w:rPr>
        <w:t xml:space="preserve">ata reported to the RSCs in 2012 by the contracting parties that are </w:t>
      </w:r>
      <w:r>
        <w:rPr>
          <w:lang w:val="en-US"/>
        </w:rPr>
        <w:t xml:space="preserve">also </w:t>
      </w:r>
      <w:r w:rsidR="00B11863" w:rsidRPr="004529A3">
        <w:rPr>
          <w:lang w:val="en-US"/>
        </w:rPr>
        <w:t>EU M</w:t>
      </w:r>
      <w:r>
        <w:rPr>
          <w:lang w:val="en-US"/>
        </w:rPr>
        <w:t xml:space="preserve">ember </w:t>
      </w:r>
      <w:r w:rsidR="00B11863" w:rsidRPr="004529A3">
        <w:rPr>
          <w:lang w:val="en-US"/>
        </w:rPr>
        <w:t>S</w:t>
      </w:r>
      <w:r>
        <w:rPr>
          <w:lang w:val="en-US"/>
        </w:rPr>
        <w:t>tates.</w:t>
      </w:r>
      <w:r w:rsidR="00B11863" w:rsidRPr="004529A3">
        <w:rPr>
          <w:lang w:val="en-US"/>
        </w:rPr>
        <w:t xml:space="preserve"> The </w:t>
      </w:r>
      <w:r w:rsidRPr="004529A3">
        <w:rPr>
          <w:lang w:val="en-US"/>
        </w:rPr>
        <w:t xml:space="preserve">contracting parties </w:t>
      </w:r>
      <w:r w:rsidR="00B11863" w:rsidRPr="004529A3">
        <w:rPr>
          <w:lang w:val="en-US"/>
        </w:rPr>
        <w:t xml:space="preserve">of the RSCs included in the </w:t>
      </w:r>
      <w:r>
        <w:rPr>
          <w:lang w:val="en-US"/>
        </w:rPr>
        <w:t xml:space="preserve">analysis are listed in Table </w:t>
      </w:r>
      <w:r w:rsidR="008B6905">
        <w:rPr>
          <w:lang w:val="en-US"/>
        </w:rPr>
        <w:t>1</w:t>
      </w:r>
      <w:r>
        <w:rPr>
          <w:lang w:val="en-US"/>
        </w:rPr>
        <w:t>.</w:t>
      </w:r>
    </w:p>
    <w:p w:rsidR="00424BB7" w:rsidRDefault="00424BB7" w:rsidP="00B67E63">
      <w:pPr>
        <w:keepNext/>
        <w:jc w:val="both"/>
        <w:rPr>
          <w:lang w:val="en-US"/>
        </w:rPr>
      </w:pPr>
      <w:proofErr w:type="gramStart"/>
      <w:r>
        <w:rPr>
          <w:lang w:val="en-US"/>
        </w:rPr>
        <w:t>Table 1</w:t>
      </w:r>
      <w:r w:rsidRPr="004529A3">
        <w:rPr>
          <w:lang w:val="en-US"/>
        </w:rPr>
        <w:t>.</w:t>
      </w:r>
      <w:proofErr w:type="gramEnd"/>
      <w:r w:rsidRPr="004529A3">
        <w:rPr>
          <w:lang w:val="en-US"/>
        </w:rPr>
        <w:t xml:space="preserve"> Contracting Parties of the RSCs included in the analysis</w:t>
      </w:r>
    </w:p>
    <w:tbl>
      <w:tblPr>
        <w:tblStyle w:val="MediumShading1-Accent1"/>
        <w:tblW w:w="0" w:type="auto"/>
        <w:tblLook w:val="04A0" w:firstRow="1" w:lastRow="0" w:firstColumn="1" w:lastColumn="0" w:noHBand="0" w:noVBand="1"/>
      </w:tblPr>
      <w:tblGrid>
        <w:gridCol w:w="4621"/>
        <w:gridCol w:w="4621"/>
      </w:tblGrid>
      <w:tr w:rsidR="008B6905" w:rsidTr="005A26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rsidR="008B6905" w:rsidRDefault="008B6905" w:rsidP="00B11863">
            <w:pPr>
              <w:jc w:val="both"/>
              <w:rPr>
                <w:lang w:val="en-US"/>
              </w:rPr>
            </w:pPr>
            <w:r>
              <w:rPr>
                <w:lang w:val="en-US"/>
              </w:rPr>
              <w:t>Regional Sea Convention</w:t>
            </w:r>
          </w:p>
        </w:tc>
        <w:tc>
          <w:tcPr>
            <w:tcW w:w="4621" w:type="dxa"/>
          </w:tcPr>
          <w:p w:rsidR="008B6905" w:rsidRDefault="008B6905" w:rsidP="00B11863">
            <w:pPr>
              <w:jc w:val="both"/>
              <w:cnfStyle w:val="100000000000" w:firstRow="1" w:lastRow="0" w:firstColumn="0" w:lastColumn="0" w:oddVBand="0" w:evenVBand="0" w:oddHBand="0" w:evenHBand="0" w:firstRowFirstColumn="0" w:firstRowLastColumn="0" w:lastRowFirstColumn="0" w:lastRowLastColumn="0"/>
              <w:rPr>
                <w:lang w:val="en-US"/>
              </w:rPr>
            </w:pPr>
            <w:r>
              <w:rPr>
                <w:lang w:val="en-US"/>
              </w:rPr>
              <w:t>Contracting parties that are also members of the EU</w:t>
            </w:r>
          </w:p>
        </w:tc>
      </w:tr>
      <w:tr w:rsidR="008B6905" w:rsidRPr="00B67E63" w:rsidTr="005A26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rsidR="008B6905" w:rsidRPr="005A2617" w:rsidRDefault="008B6905" w:rsidP="00424BB7">
            <w:pPr>
              <w:spacing w:after="200" w:line="276" w:lineRule="auto"/>
              <w:jc w:val="both"/>
              <w:rPr>
                <w:lang w:val="da-DK"/>
              </w:rPr>
            </w:pPr>
            <w:r w:rsidRPr="00983007">
              <w:rPr>
                <w:lang w:val="da-DK"/>
              </w:rPr>
              <w:lastRenderedPageBreak/>
              <w:t>HELCOM</w:t>
            </w:r>
          </w:p>
        </w:tc>
        <w:tc>
          <w:tcPr>
            <w:tcW w:w="4621" w:type="dxa"/>
          </w:tcPr>
          <w:p w:rsidR="008B6905" w:rsidRPr="00B67E63" w:rsidRDefault="008B6905" w:rsidP="00E0726A">
            <w:pPr>
              <w:spacing w:after="200" w:line="276" w:lineRule="auto"/>
              <w:jc w:val="both"/>
              <w:cnfStyle w:val="000000100000" w:firstRow="0" w:lastRow="0" w:firstColumn="0" w:lastColumn="0" w:oddVBand="0" w:evenVBand="0" w:oddHBand="1" w:evenHBand="0" w:firstRowFirstColumn="0" w:firstRowLastColumn="0" w:lastRowFirstColumn="0" w:lastRowLastColumn="0"/>
              <w:rPr>
                <w:lang w:val="es-ES"/>
              </w:rPr>
            </w:pPr>
            <w:r w:rsidRPr="00B67E63">
              <w:rPr>
                <w:lang w:val="es-ES"/>
              </w:rPr>
              <w:t xml:space="preserve">DE, DK, </w:t>
            </w:r>
            <w:r w:rsidR="00E0726A" w:rsidRPr="00B67E63">
              <w:rPr>
                <w:lang w:val="es-ES"/>
              </w:rPr>
              <w:t xml:space="preserve">EE, </w:t>
            </w:r>
            <w:r w:rsidRPr="00B67E63">
              <w:rPr>
                <w:lang w:val="es-ES"/>
              </w:rPr>
              <w:t>FI, LT, LV, PL, SE</w:t>
            </w:r>
          </w:p>
        </w:tc>
      </w:tr>
      <w:tr w:rsidR="008B6905" w:rsidRPr="005A2617" w:rsidTr="005A261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rsidR="008B6905" w:rsidRPr="005A2617" w:rsidRDefault="008B6905" w:rsidP="00B11863">
            <w:pPr>
              <w:spacing w:after="200" w:line="276" w:lineRule="auto"/>
              <w:jc w:val="both"/>
            </w:pPr>
            <w:r w:rsidRPr="00983007">
              <w:rPr>
                <w:lang w:val="da-DK"/>
              </w:rPr>
              <w:t>OSPAR</w:t>
            </w:r>
          </w:p>
        </w:tc>
        <w:tc>
          <w:tcPr>
            <w:tcW w:w="4621" w:type="dxa"/>
          </w:tcPr>
          <w:p w:rsidR="008B6905" w:rsidRPr="005A2617" w:rsidRDefault="008B6905">
            <w:pPr>
              <w:spacing w:after="200" w:line="276" w:lineRule="auto"/>
              <w:jc w:val="both"/>
              <w:cnfStyle w:val="000000010000" w:firstRow="0" w:lastRow="0" w:firstColumn="0" w:lastColumn="0" w:oddVBand="0" w:evenVBand="0" w:oddHBand="0" w:evenHBand="1" w:firstRowFirstColumn="0" w:firstRowLastColumn="0" w:lastRowFirstColumn="0" w:lastRowLastColumn="0"/>
              <w:rPr>
                <w:lang w:val="da-DK"/>
              </w:rPr>
            </w:pPr>
            <w:r w:rsidRPr="00983007">
              <w:rPr>
                <w:lang w:val="da-DK"/>
              </w:rPr>
              <w:t>BE, DE, DK, ES, FR, IE, NL, SE, PT</w:t>
            </w:r>
            <w:r w:rsidR="00E0726A" w:rsidRPr="00983007">
              <w:rPr>
                <w:lang w:val="da-DK"/>
              </w:rPr>
              <w:t>, UK</w:t>
            </w:r>
          </w:p>
        </w:tc>
      </w:tr>
      <w:tr w:rsidR="008B6905" w:rsidRPr="00B67E63" w:rsidTr="005A26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rsidR="008B6905" w:rsidRPr="005A2617" w:rsidRDefault="008B6905" w:rsidP="00B11863">
            <w:pPr>
              <w:spacing w:after="200" w:line="276" w:lineRule="auto"/>
              <w:jc w:val="both"/>
            </w:pPr>
            <w:r w:rsidRPr="004529A3">
              <w:rPr>
                <w:lang w:val="en-US"/>
              </w:rPr>
              <w:t>UNEP/MAP</w:t>
            </w:r>
          </w:p>
        </w:tc>
        <w:tc>
          <w:tcPr>
            <w:tcW w:w="4621" w:type="dxa"/>
          </w:tcPr>
          <w:p w:rsidR="008B6905" w:rsidRPr="00B67E63" w:rsidRDefault="008B6905" w:rsidP="00B67E63">
            <w:pPr>
              <w:spacing w:after="200" w:line="276" w:lineRule="auto"/>
              <w:jc w:val="both"/>
              <w:cnfStyle w:val="000000100000" w:firstRow="0" w:lastRow="0" w:firstColumn="0" w:lastColumn="0" w:oddVBand="0" w:evenVBand="0" w:oddHBand="1" w:evenHBand="0" w:firstRowFirstColumn="0" w:firstRowLastColumn="0" w:lastRowFirstColumn="0" w:lastRowLastColumn="0"/>
              <w:rPr>
                <w:lang w:val="es-ES"/>
              </w:rPr>
            </w:pPr>
            <w:r w:rsidRPr="00B67E63">
              <w:rPr>
                <w:lang w:val="es-ES"/>
              </w:rPr>
              <w:t>CY</w:t>
            </w:r>
            <w:r w:rsidR="00E0726A" w:rsidRPr="00B67E63">
              <w:rPr>
                <w:lang w:val="es-ES"/>
              </w:rPr>
              <w:t>, EL, ES</w:t>
            </w:r>
            <w:r w:rsidRPr="00B67E63">
              <w:rPr>
                <w:lang w:val="es-ES"/>
              </w:rPr>
              <w:t>, FR,</w:t>
            </w:r>
            <w:r w:rsidR="00E0726A" w:rsidRPr="00B67E63">
              <w:rPr>
                <w:lang w:val="es-ES"/>
              </w:rPr>
              <w:t xml:space="preserve"> HR, </w:t>
            </w:r>
            <w:r w:rsidRPr="00B67E63">
              <w:rPr>
                <w:lang w:val="es-ES"/>
              </w:rPr>
              <w:t>IT,</w:t>
            </w:r>
            <w:r w:rsidR="00E0726A" w:rsidRPr="00B67E63">
              <w:rPr>
                <w:lang w:val="es-ES"/>
              </w:rPr>
              <w:t xml:space="preserve"> MT,</w:t>
            </w:r>
            <w:r w:rsidRPr="00B67E63">
              <w:rPr>
                <w:lang w:val="es-ES"/>
              </w:rPr>
              <w:t xml:space="preserve"> S</w:t>
            </w:r>
            <w:r w:rsidR="00B67E63" w:rsidRPr="00B67E63">
              <w:rPr>
                <w:lang w:val="es-ES"/>
              </w:rPr>
              <w:t>I</w:t>
            </w:r>
          </w:p>
        </w:tc>
      </w:tr>
      <w:tr w:rsidR="008B6905" w:rsidRPr="008B6905" w:rsidTr="005A261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rsidR="008B6905" w:rsidRPr="005A2617" w:rsidRDefault="008B6905" w:rsidP="00B11863">
            <w:pPr>
              <w:spacing w:after="200" w:line="276" w:lineRule="auto"/>
              <w:jc w:val="both"/>
            </w:pPr>
            <w:r w:rsidRPr="004529A3">
              <w:rPr>
                <w:lang w:val="en-US"/>
              </w:rPr>
              <w:t>BSC</w:t>
            </w:r>
          </w:p>
        </w:tc>
        <w:tc>
          <w:tcPr>
            <w:tcW w:w="4621" w:type="dxa"/>
          </w:tcPr>
          <w:p w:rsidR="008B6905" w:rsidRPr="005A2617" w:rsidRDefault="00E0726A" w:rsidP="00424BB7">
            <w:pPr>
              <w:spacing w:after="200" w:line="276" w:lineRule="auto"/>
              <w:jc w:val="both"/>
              <w:cnfStyle w:val="000000010000" w:firstRow="0" w:lastRow="0" w:firstColumn="0" w:lastColumn="0" w:oddVBand="0" w:evenVBand="0" w:oddHBand="0" w:evenHBand="1" w:firstRowFirstColumn="0" w:firstRowLastColumn="0" w:lastRowFirstColumn="0" w:lastRowLastColumn="0"/>
            </w:pPr>
            <w:r>
              <w:rPr>
                <w:lang w:val="en-US"/>
              </w:rPr>
              <w:t xml:space="preserve">BG, </w:t>
            </w:r>
            <w:r w:rsidR="008B6905" w:rsidRPr="004529A3">
              <w:rPr>
                <w:lang w:val="en-US"/>
              </w:rPr>
              <w:t>RO</w:t>
            </w:r>
          </w:p>
        </w:tc>
      </w:tr>
      <w:tr w:rsidR="008B6905" w:rsidRPr="008B6905" w:rsidTr="005A26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rsidR="008B6905" w:rsidRPr="005A2617" w:rsidRDefault="00E0726A">
            <w:pPr>
              <w:spacing w:after="200" w:line="276" w:lineRule="auto"/>
              <w:jc w:val="both"/>
            </w:pPr>
            <w:r>
              <w:t>EIONET</w:t>
            </w:r>
          </w:p>
        </w:tc>
        <w:tc>
          <w:tcPr>
            <w:tcW w:w="4621" w:type="dxa"/>
          </w:tcPr>
          <w:p w:rsidR="008B6905" w:rsidRPr="005A2617" w:rsidRDefault="008B6905" w:rsidP="00B67E63">
            <w:pPr>
              <w:spacing w:after="200" w:line="276" w:lineRule="auto"/>
              <w:jc w:val="both"/>
              <w:cnfStyle w:val="000000100000" w:firstRow="0" w:lastRow="0" w:firstColumn="0" w:lastColumn="0" w:oddVBand="0" w:evenVBand="0" w:oddHBand="1" w:evenHBand="0" w:firstRowFirstColumn="0" w:firstRowLastColumn="0" w:lastRowFirstColumn="0" w:lastRowLastColumn="0"/>
            </w:pPr>
            <w:r w:rsidRPr="005A2617">
              <w:t xml:space="preserve">BE, BG, ,CY DE, DK, EE, EL, ES, FI, FR, HR, IE, IT, LT, LV, MT, </w:t>
            </w:r>
            <w:r w:rsidRPr="00983007">
              <w:t xml:space="preserve">NL, </w:t>
            </w:r>
            <w:r w:rsidRPr="005A2617">
              <w:t xml:space="preserve">PL, </w:t>
            </w:r>
            <w:r w:rsidR="00424BB7" w:rsidRPr="00983007">
              <w:t>PT</w:t>
            </w:r>
            <w:r w:rsidR="00424BB7">
              <w:t>,</w:t>
            </w:r>
            <w:r w:rsidR="00424BB7" w:rsidRPr="00983007">
              <w:t xml:space="preserve"> </w:t>
            </w:r>
            <w:r w:rsidRPr="005A2617">
              <w:t>SE, S</w:t>
            </w:r>
            <w:r w:rsidR="00B67E63">
              <w:t>I</w:t>
            </w:r>
            <w:r w:rsidRPr="005A2617">
              <w:t xml:space="preserve">, RO, </w:t>
            </w:r>
            <w:r w:rsidR="00424BB7" w:rsidRPr="00983007">
              <w:t>UK</w:t>
            </w:r>
          </w:p>
        </w:tc>
      </w:tr>
    </w:tbl>
    <w:p w:rsidR="00263B69" w:rsidRDefault="00B11863" w:rsidP="00B11863">
      <w:pPr>
        <w:jc w:val="both"/>
        <w:rPr>
          <w:lang w:val="en-US"/>
        </w:rPr>
      </w:pPr>
      <w:r w:rsidRPr="004529A3">
        <w:rPr>
          <w:lang w:val="en-US"/>
        </w:rPr>
        <w:t xml:space="preserve">Overviews of data reported to HELCOM and </w:t>
      </w:r>
      <w:r w:rsidR="003913DB">
        <w:rPr>
          <w:lang w:val="en-US"/>
        </w:rPr>
        <w:t>OSPAR was obtained from ICES, UNEP/MAP data were</w:t>
      </w:r>
      <w:r w:rsidRPr="004529A3">
        <w:rPr>
          <w:lang w:val="en-US"/>
        </w:rPr>
        <w:t xml:space="preserve"> obtained from the MED P</w:t>
      </w:r>
      <w:r w:rsidR="003913DB">
        <w:rPr>
          <w:lang w:val="en-US"/>
        </w:rPr>
        <w:t>OL data base and of BSC data were</w:t>
      </w:r>
      <w:r w:rsidRPr="004529A3">
        <w:rPr>
          <w:lang w:val="en-US"/>
        </w:rPr>
        <w:t xml:space="preserve"> p</w:t>
      </w:r>
      <w:r w:rsidR="003913DB">
        <w:rPr>
          <w:lang w:val="en-US"/>
        </w:rPr>
        <w:t>rovided by the IRIS SES project</w:t>
      </w:r>
      <w:r w:rsidR="00263B69">
        <w:rPr>
          <w:lang w:val="en-US"/>
        </w:rPr>
        <w:t>, not the RSC</w:t>
      </w:r>
      <w:r w:rsidRPr="004529A3">
        <w:rPr>
          <w:lang w:val="en-US"/>
        </w:rPr>
        <w:t>. Overview</w:t>
      </w:r>
      <w:r w:rsidR="003913DB">
        <w:rPr>
          <w:lang w:val="en-US"/>
        </w:rPr>
        <w:t>s</w:t>
      </w:r>
      <w:r w:rsidRPr="004529A3">
        <w:rPr>
          <w:lang w:val="en-US"/>
        </w:rPr>
        <w:t xml:space="preserve"> of the data that are submitted via EIONET Central Data Repository (CDR) were provided by ICES. The countries reporting via EIONET CDR that are EU MS w</w:t>
      </w:r>
      <w:r w:rsidR="008B6905">
        <w:rPr>
          <w:lang w:val="en-US"/>
        </w:rPr>
        <w:t>ere included in the analysis (2</w:t>
      </w:r>
      <w:r w:rsidR="00424BB7">
        <w:rPr>
          <w:lang w:val="en-US"/>
        </w:rPr>
        <w:t>3</w:t>
      </w:r>
      <w:r w:rsidRPr="004529A3">
        <w:rPr>
          <w:lang w:val="en-US"/>
        </w:rPr>
        <w:t xml:space="preserve"> EU MS).</w:t>
      </w:r>
      <w:r w:rsidR="00263B69">
        <w:rPr>
          <w:lang w:val="en-US"/>
        </w:rPr>
        <w:t xml:space="preserve"> If a country has already reported its data through an RSC mechanism, it is not necessary to report again through the </w:t>
      </w:r>
      <w:proofErr w:type="gramStart"/>
      <w:r w:rsidR="00046EE0">
        <w:rPr>
          <w:lang w:val="en-US"/>
        </w:rPr>
        <w:t>EIONET</w:t>
      </w:r>
      <w:r w:rsidR="00E55E03">
        <w:rPr>
          <w:lang w:val="en-US"/>
        </w:rPr>
        <w:t>,</w:t>
      </w:r>
      <w:proofErr w:type="gramEnd"/>
      <w:r w:rsidR="00E55E03">
        <w:rPr>
          <w:lang w:val="en-US"/>
        </w:rPr>
        <w:t xml:space="preserve"> hence 100% coverage is not expected</w:t>
      </w:r>
      <w:r w:rsidR="00263B69">
        <w:rPr>
          <w:lang w:val="en-US"/>
        </w:rPr>
        <w:t>.</w:t>
      </w:r>
      <w:r w:rsidRPr="004529A3">
        <w:rPr>
          <w:lang w:val="en-US"/>
        </w:rPr>
        <w:t xml:space="preserve"> </w:t>
      </w:r>
    </w:p>
    <w:p w:rsidR="00B11863" w:rsidRDefault="00B11863" w:rsidP="00B11863">
      <w:pPr>
        <w:jc w:val="both"/>
        <w:rPr>
          <w:lang w:val="en-US"/>
        </w:rPr>
      </w:pPr>
      <w:r w:rsidRPr="004529A3">
        <w:rPr>
          <w:lang w:val="en-US"/>
        </w:rPr>
        <w:t>The inventory of data flows used for the analysis including information on</w:t>
      </w:r>
      <w:r w:rsidR="00A92A85">
        <w:rPr>
          <w:lang w:val="en-US"/>
        </w:rPr>
        <w:t xml:space="preserve"> sampling frequencies, monitoring programmes, period</w:t>
      </w:r>
      <w:r w:rsidRPr="004529A3">
        <w:rPr>
          <w:lang w:val="en-US"/>
        </w:rPr>
        <w:t xml:space="preserve"> of data flows, data provider, database name, database holder etc. can be found in </w:t>
      </w:r>
      <w:r>
        <w:rPr>
          <w:lang w:val="en-US"/>
        </w:rPr>
        <w:t>RSC data and information flows report,</w:t>
      </w:r>
      <w:r w:rsidRPr="004529A3">
        <w:rPr>
          <w:lang w:val="en-US"/>
        </w:rPr>
        <w:t xml:space="preserve"> Annex 2.</w:t>
      </w:r>
    </w:p>
    <w:p w:rsidR="00424BB7" w:rsidRPr="004529A3" w:rsidRDefault="00424BB7" w:rsidP="00B11863">
      <w:pPr>
        <w:jc w:val="both"/>
        <w:rPr>
          <w:lang w:val="en-US"/>
        </w:rPr>
      </w:pPr>
      <w:r>
        <w:rPr>
          <w:lang w:val="en-US"/>
        </w:rPr>
        <w:t>Table 2: Overview of results of D5 analysis</w:t>
      </w:r>
      <w:r w:rsidR="008C1E08">
        <w:rPr>
          <w:lang w:val="en-US"/>
        </w:rPr>
        <w:t xml:space="preserve"> (figures indicate proportion of countries reporting, i.e. 6/8 means six of the eight countries reported in 2012).</w:t>
      </w:r>
    </w:p>
    <w:tbl>
      <w:tblPr>
        <w:tblStyle w:val="MediumShading2-Accent1"/>
        <w:tblW w:w="0" w:type="auto"/>
        <w:tblLook w:val="04A0" w:firstRow="1" w:lastRow="0" w:firstColumn="1" w:lastColumn="0" w:noHBand="0" w:noVBand="1"/>
      </w:tblPr>
      <w:tblGrid>
        <w:gridCol w:w="1538"/>
        <w:gridCol w:w="1536"/>
        <w:gridCol w:w="1531"/>
        <w:gridCol w:w="1530"/>
        <w:gridCol w:w="1524"/>
        <w:gridCol w:w="1583"/>
      </w:tblGrid>
      <w:tr w:rsidR="001A6D26" w:rsidTr="00B67E63">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540" w:type="dxa"/>
          </w:tcPr>
          <w:p w:rsidR="001A6D26" w:rsidRDefault="001A6D26" w:rsidP="00B11863">
            <w:pPr>
              <w:jc w:val="both"/>
              <w:rPr>
                <w:lang w:val="en-US"/>
              </w:rPr>
            </w:pPr>
            <w:r>
              <w:rPr>
                <w:lang w:val="en-US"/>
              </w:rPr>
              <w:t>Indicator</w:t>
            </w:r>
          </w:p>
        </w:tc>
        <w:tc>
          <w:tcPr>
            <w:tcW w:w="1540" w:type="dxa"/>
          </w:tcPr>
          <w:p w:rsidR="001A6D26" w:rsidRDefault="00046EE0" w:rsidP="005A2617">
            <w:pPr>
              <w:jc w:val="center"/>
              <w:cnfStyle w:val="100000000000" w:firstRow="1" w:lastRow="0" w:firstColumn="0" w:lastColumn="0" w:oddVBand="0" w:evenVBand="0" w:oddHBand="0" w:evenHBand="0" w:firstRowFirstColumn="0" w:firstRowLastColumn="0" w:lastRowFirstColumn="0" w:lastRowLastColumn="0"/>
              <w:rPr>
                <w:b w:val="0"/>
                <w:bCs w:val="0"/>
                <w:color w:val="auto"/>
                <w:lang w:val="en-US"/>
              </w:rPr>
            </w:pPr>
            <w:r>
              <w:rPr>
                <w:lang w:val="en-US"/>
              </w:rPr>
              <w:t>HELCOM</w:t>
            </w:r>
          </w:p>
        </w:tc>
        <w:tc>
          <w:tcPr>
            <w:tcW w:w="1540" w:type="dxa"/>
          </w:tcPr>
          <w:p w:rsidR="001A6D26" w:rsidRDefault="00046EE0" w:rsidP="005A2617">
            <w:pPr>
              <w:jc w:val="center"/>
              <w:cnfStyle w:val="100000000000" w:firstRow="1" w:lastRow="0" w:firstColumn="0" w:lastColumn="0" w:oddVBand="0" w:evenVBand="0" w:oddHBand="0" w:evenHBand="0" w:firstRowFirstColumn="0" w:firstRowLastColumn="0" w:lastRowFirstColumn="0" w:lastRowLastColumn="0"/>
              <w:rPr>
                <w:b w:val="0"/>
                <w:bCs w:val="0"/>
                <w:color w:val="auto"/>
                <w:lang w:val="en-US"/>
              </w:rPr>
            </w:pPr>
            <w:r>
              <w:rPr>
                <w:lang w:val="en-US"/>
              </w:rPr>
              <w:t>OSPAR</w:t>
            </w:r>
          </w:p>
        </w:tc>
        <w:tc>
          <w:tcPr>
            <w:tcW w:w="1540" w:type="dxa"/>
          </w:tcPr>
          <w:p w:rsidR="009F7E8C" w:rsidRDefault="001A6D26" w:rsidP="005A2617">
            <w:pPr>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UNEP/</w:t>
            </w:r>
            <w:r w:rsidR="009F7E8C">
              <w:rPr>
                <w:lang w:val="en-US"/>
              </w:rPr>
              <w:t>MAP</w:t>
            </w:r>
          </w:p>
          <w:p w:rsidR="001A6D26" w:rsidRDefault="009F7E8C" w:rsidP="005A2617">
            <w:pPr>
              <w:jc w:val="center"/>
              <w:cnfStyle w:val="100000000000" w:firstRow="1" w:lastRow="0" w:firstColumn="0" w:lastColumn="0" w:oddVBand="0" w:evenVBand="0" w:oddHBand="0" w:evenHBand="0" w:firstRowFirstColumn="0" w:firstRowLastColumn="0" w:lastRowFirstColumn="0" w:lastRowLastColumn="0"/>
              <w:rPr>
                <w:b w:val="0"/>
                <w:bCs w:val="0"/>
                <w:color w:val="auto"/>
                <w:lang w:val="en-US"/>
              </w:rPr>
            </w:pPr>
            <w:r>
              <w:rPr>
                <w:lang w:val="en-US"/>
              </w:rPr>
              <w:t>MEDPOL</w:t>
            </w:r>
          </w:p>
        </w:tc>
        <w:tc>
          <w:tcPr>
            <w:tcW w:w="1541" w:type="dxa"/>
          </w:tcPr>
          <w:p w:rsidR="001A6D26" w:rsidRDefault="001A6D26" w:rsidP="005A2617">
            <w:pPr>
              <w:jc w:val="center"/>
              <w:cnfStyle w:val="100000000000" w:firstRow="1" w:lastRow="0" w:firstColumn="0" w:lastColumn="0" w:oddVBand="0" w:evenVBand="0" w:oddHBand="0" w:evenHBand="0" w:firstRowFirstColumn="0" w:firstRowLastColumn="0" w:lastRowFirstColumn="0" w:lastRowLastColumn="0"/>
              <w:rPr>
                <w:b w:val="0"/>
                <w:bCs w:val="0"/>
                <w:color w:val="auto"/>
                <w:lang w:val="en-US"/>
              </w:rPr>
            </w:pPr>
            <w:r>
              <w:rPr>
                <w:lang w:val="en-US"/>
              </w:rPr>
              <w:t>Black Sea</w:t>
            </w:r>
          </w:p>
        </w:tc>
        <w:tc>
          <w:tcPr>
            <w:tcW w:w="1541" w:type="dxa"/>
          </w:tcPr>
          <w:p w:rsidR="001A6D26" w:rsidRDefault="00046EE0" w:rsidP="005A2617">
            <w:pPr>
              <w:jc w:val="center"/>
              <w:cnfStyle w:val="100000000000" w:firstRow="1" w:lastRow="0" w:firstColumn="0" w:lastColumn="0" w:oddVBand="0" w:evenVBand="0" w:oddHBand="0" w:evenHBand="0" w:firstRowFirstColumn="0" w:firstRowLastColumn="0" w:lastRowFirstColumn="0" w:lastRowLastColumn="0"/>
              <w:rPr>
                <w:b w:val="0"/>
                <w:bCs w:val="0"/>
                <w:color w:val="auto"/>
                <w:lang w:val="en-US"/>
              </w:rPr>
            </w:pPr>
            <w:r>
              <w:rPr>
                <w:lang w:val="en-US"/>
              </w:rPr>
              <w:t>EIONET</w:t>
            </w:r>
          </w:p>
        </w:tc>
      </w:tr>
      <w:tr w:rsidR="001A6D26" w:rsidTr="005A26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0" w:type="dxa"/>
          </w:tcPr>
          <w:p w:rsidR="001A6D26" w:rsidRDefault="001A6D26" w:rsidP="00B11863">
            <w:pPr>
              <w:jc w:val="both"/>
              <w:rPr>
                <w:lang w:val="en-US"/>
              </w:rPr>
            </w:pPr>
            <w:r>
              <w:rPr>
                <w:lang w:val="en-US"/>
              </w:rPr>
              <w:t xml:space="preserve">5.1.1: </w:t>
            </w:r>
            <w:r w:rsidRPr="001A6D26">
              <w:rPr>
                <w:lang w:val="en-US"/>
              </w:rPr>
              <w:t>Nutrients concentration in the water column</w:t>
            </w:r>
          </w:p>
          <w:p w:rsidR="001A6D26" w:rsidRDefault="001A6D26" w:rsidP="00B11863">
            <w:pPr>
              <w:jc w:val="both"/>
              <w:rPr>
                <w:lang w:val="en-US"/>
              </w:rPr>
            </w:pPr>
          </w:p>
        </w:tc>
        <w:tc>
          <w:tcPr>
            <w:tcW w:w="1540" w:type="dxa"/>
          </w:tcPr>
          <w:p w:rsidR="001A6D26" w:rsidRDefault="001A6D26" w:rsidP="005A2617">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6/8</w:t>
            </w:r>
          </w:p>
        </w:tc>
        <w:tc>
          <w:tcPr>
            <w:tcW w:w="1540" w:type="dxa"/>
          </w:tcPr>
          <w:p w:rsidR="001A6D26" w:rsidRDefault="001A6D26" w:rsidP="005A2617">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7/10</w:t>
            </w:r>
          </w:p>
        </w:tc>
        <w:tc>
          <w:tcPr>
            <w:tcW w:w="1540" w:type="dxa"/>
          </w:tcPr>
          <w:p w:rsidR="001A6D26" w:rsidRDefault="001A6D26" w:rsidP="005A2617">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2/8</w:t>
            </w:r>
          </w:p>
        </w:tc>
        <w:tc>
          <w:tcPr>
            <w:tcW w:w="1541" w:type="dxa"/>
          </w:tcPr>
          <w:p w:rsidR="001A6D26" w:rsidRDefault="001A6D26" w:rsidP="005A2617">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2/2</w:t>
            </w:r>
          </w:p>
        </w:tc>
        <w:tc>
          <w:tcPr>
            <w:tcW w:w="1541" w:type="dxa"/>
          </w:tcPr>
          <w:p w:rsidR="001A6D26" w:rsidRDefault="00A92A85" w:rsidP="005A2617">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19</w:t>
            </w:r>
            <w:r w:rsidR="008B6905">
              <w:rPr>
                <w:lang w:val="en-US"/>
              </w:rPr>
              <w:t>/2</w:t>
            </w:r>
            <w:r w:rsidR="00424BB7">
              <w:rPr>
                <w:lang w:val="en-US"/>
              </w:rPr>
              <w:t>3</w:t>
            </w:r>
          </w:p>
        </w:tc>
      </w:tr>
      <w:tr w:rsidR="001A6D26" w:rsidTr="005A2617">
        <w:tc>
          <w:tcPr>
            <w:cnfStyle w:val="001000000000" w:firstRow="0" w:lastRow="0" w:firstColumn="1" w:lastColumn="0" w:oddVBand="0" w:evenVBand="0" w:oddHBand="0" w:evenHBand="0" w:firstRowFirstColumn="0" w:firstRowLastColumn="0" w:lastRowFirstColumn="0" w:lastRowLastColumn="0"/>
            <w:tcW w:w="1540" w:type="dxa"/>
          </w:tcPr>
          <w:p w:rsidR="001A6D26" w:rsidRDefault="00E55E03" w:rsidP="00B11863">
            <w:pPr>
              <w:jc w:val="both"/>
              <w:rPr>
                <w:lang w:val="en-US"/>
              </w:rPr>
            </w:pPr>
            <w:r>
              <w:rPr>
                <w:lang w:val="en-US"/>
              </w:rPr>
              <w:t xml:space="preserve">5.1.2: </w:t>
            </w:r>
            <w:r w:rsidRPr="00E55E03">
              <w:rPr>
                <w:lang w:val="en-US"/>
              </w:rPr>
              <w:t>Chlorophyll concentration in the water column</w:t>
            </w:r>
          </w:p>
          <w:p w:rsidR="00A92A85" w:rsidRDefault="00A92A85" w:rsidP="00B11863">
            <w:pPr>
              <w:jc w:val="both"/>
              <w:rPr>
                <w:lang w:val="en-US"/>
              </w:rPr>
            </w:pPr>
          </w:p>
        </w:tc>
        <w:tc>
          <w:tcPr>
            <w:tcW w:w="1540" w:type="dxa"/>
          </w:tcPr>
          <w:p w:rsidR="001A6D26" w:rsidRDefault="00E55E03" w:rsidP="005A2617">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7/8</w:t>
            </w:r>
          </w:p>
        </w:tc>
        <w:tc>
          <w:tcPr>
            <w:tcW w:w="1540" w:type="dxa"/>
          </w:tcPr>
          <w:p w:rsidR="001A6D26" w:rsidRDefault="00E55E03" w:rsidP="005A2617">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7/10</w:t>
            </w:r>
          </w:p>
        </w:tc>
        <w:tc>
          <w:tcPr>
            <w:tcW w:w="1540" w:type="dxa"/>
          </w:tcPr>
          <w:p w:rsidR="001A6D26" w:rsidRDefault="00E55E03" w:rsidP="005A2617">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1/8</w:t>
            </w:r>
          </w:p>
        </w:tc>
        <w:tc>
          <w:tcPr>
            <w:tcW w:w="1541" w:type="dxa"/>
          </w:tcPr>
          <w:p w:rsidR="001A6D26" w:rsidRDefault="00E55E03" w:rsidP="005A2617">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2/2</w:t>
            </w:r>
          </w:p>
        </w:tc>
        <w:tc>
          <w:tcPr>
            <w:tcW w:w="1541" w:type="dxa"/>
          </w:tcPr>
          <w:p w:rsidR="00E55E03" w:rsidRDefault="00A92A85" w:rsidP="005A2617">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18</w:t>
            </w:r>
            <w:r w:rsidR="008B6905">
              <w:rPr>
                <w:lang w:val="en-US"/>
              </w:rPr>
              <w:t>/2</w:t>
            </w:r>
            <w:r w:rsidR="00424BB7">
              <w:rPr>
                <w:lang w:val="en-US"/>
              </w:rPr>
              <w:t>3</w:t>
            </w:r>
          </w:p>
        </w:tc>
      </w:tr>
      <w:tr w:rsidR="001A6D26" w:rsidTr="005A26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0" w:type="dxa"/>
          </w:tcPr>
          <w:p w:rsidR="001A6D26" w:rsidRDefault="00E55E03" w:rsidP="00B11863">
            <w:pPr>
              <w:jc w:val="both"/>
              <w:rPr>
                <w:lang w:val="en-US"/>
              </w:rPr>
            </w:pPr>
            <w:r w:rsidRPr="00E55E03">
              <w:rPr>
                <w:lang w:val="en-US"/>
              </w:rPr>
              <w:t>5.2.2</w:t>
            </w:r>
            <w:r>
              <w:rPr>
                <w:lang w:val="en-US"/>
              </w:rPr>
              <w:t>:</w:t>
            </w:r>
            <w:r w:rsidRPr="00E55E03">
              <w:rPr>
                <w:lang w:val="en-US"/>
              </w:rPr>
              <w:t xml:space="preserve"> Water transparency</w:t>
            </w:r>
          </w:p>
          <w:p w:rsidR="00A92A85" w:rsidRDefault="00A92A85" w:rsidP="00B11863">
            <w:pPr>
              <w:jc w:val="both"/>
              <w:rPr>
                <w:lang w:val="en-US"/>
              </w:rPr>
            </w:pPr>
          </w:p>
        </w:tc>
        <w:tc>
          <w:tcPr>
            <w:tcW w:w="1540" w:type="dxa"/>
          </w:tcPr>
          <w:p w:rsidR="001A6D26" w:rsidRDefault="00E55E03" w:rsidP="005A2617">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5/8</w:t>
            </w:r>
          </w:p>
        </w:tc>
        <w:tc>
          <w:tcPr>
            <w:tcW w:w="1540" w:type="dxa"/>
          </w:tcPr>
          <w:p w:rsidR="001A6D26" w:rsidRDefault="00E55E03" w:rsidP="005A2617">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1/10</w:t>
            </w:r>
          </w:p>
        </w:tc>
        <w:tc>
          <w:tcPr>
            <w:tcW w:w="1540" w:type="dxa"/>
          </w:tcPr>
          <w:p w:rsidR="001A6D26" w:rsidRDefault="00E55E03" w:rsidP="005A2617">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0</w:t>
            </w:r>
          </w:p>
        </w:tc>
        <w:tc>
          <w:tcPr>
            <w:tcW w:w="1541" w:type="dxa"/>
          </w:tcPr>
          <w:p w:rsidR="001A6D26" w:rsidRDefault="00E55E03" w:rsidP="005A2617">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2/2</w:t>
            </w:r>
          </w:p>
        </w:tc>
        <w:tc>
          <w:tcPr>
            <w:tcW w:w="1541" w:type="dxa"/>
          </w:tcPr>
          <w:p w:rsidR="001A6D26" w:rsidRDefault="008B6905" w:rsidP="005A2617">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7/2</w:t>
            </w:r>
            <w:r w:rsidR="00424BB7">
              <w:rPr>
                <w:lang w:val="en-US"/>
              </w:rPr>
              <w:t>3</w:t>
            </w:r>
          </w:p>
        </w:tc>
      </w:tr>
      <w:tr w:rsidR="001A6D26" w:rsidTr="005A2617">
        <w:tc>
          <w:tcPr>
            <w:cnfStyle w:val="001000000000" w:firstRow="0" w:lastRow="0" w:firstColumn="1" w:lastColumn="0" w:oddVBand="0" w:evenVBand="0" w:oddHBand="0" w:evenHBand="0" w:firstRowFirstColumn="0" w:firstRowLastColumn="0" w:lastRowFirstColumn="0" w:lastRowLastColumn="0"/>
            <w:tcW w:w="1540" w:type="dxa"/>
          </w:tcPr>
          <w:p w:rsidR="001A6D26" w:rsidRDefault="00E55E03" w:rsidP="00E55E03">
            <w:pPr>
              <w:jc w:val="both"/>
              <w:rPr>
                <w:lang w:val="en-US"/>
              </w:rPr>
            </w:pPr>
            <w:r w:rsidRPr="00E55E03">
              <w:rPr>
                <w:lang w:val="en-US"/>
              </w:rPr>
              <w:t>5.2.3</w:t>
            </w:r>
            <w:r>
              <w:rPr>
                <w:lang w:val="en-US"/>
              </w:rPr>
              <w:t xml:space="preserve">: </w:t>
            </w:r>
            <w:r w:rsidRPr="00E55E03">
              <w:rPr>
                <w:lang w:val="en-US"/>
              </w:rPr>
              <w:t>Abundance of opportunistic macroalgae</w:t>
            </w:r>
          </w:p>
          <w:p w:rsidR="00A92A85" w:rsidRDefault="00A92A85" w:rsidP="00E55E03">
            <w:pPr>
              <w:jc w:val="both"/>
              <w:rPr>
                <w:lang w:val="en-US"/>
              </w:rPr>
            </w:pPr>
          </w:p>
        </w:tc>
        <w:tc>
          <w:tcPr>
            <w:tcW w:w="1540" w:type="dxa"/>
          </w:tcPr>
          <w:p w:rsidR="001A6D26" w:rsidRDefault="00E55E03" w:rsidP="005A2617">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0</w:t>
            </w:r>
          </w:p>
        </w:tc>
        <w:tc>
          <w:tcPr>
            <w:tcW w:w="1540" w:type="dxa"/>
          </w:tcPr>
          <w:p w:rsidR="001A6D26" w:rsidRDefault="00E55E03" w:rsidP="005A2617">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0</w:t>
            </w:r>
          </w:p>
        </w:tc>
        <w:tc>
          <w:tcPr>
            <w:tcW w:w="1540" w:type="dxa"/>
          </w:tcPr>
          <w:p w:rsidR="001A6D26" w:rsidRDefault="00E55E03" w:rsidP="005A2617">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0</w:t>
            </w:r>
          </w:p>
        </w:tc>
        <w:tc>
          <w:tcPr>
            <w:tcW w:w="1541" w:type="dxa"/>
          </w:tcPr>
          <w:p w:rsidR="001A6D26" w:rsidRDefault="00E55E03" w:rsidP="005A2617">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0</w:t>
            </w:r>
          </w:p>
        </w:tc>
        <w:tc>
          <w:tcPr>
            <w:tcW w:w="1541" w:type="dxa"/>
          </w:tcPr>
          <w:p w:rsidR="001A6D26" w:rsidRDefault="00E55E03" w:rsidP="005A2617">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0</w:t>
            </w:r>
          </w:p>
        </w:tc>
      </w:tr>
      <w:tr w:rsidR="001A6D26" w:rsidTr="005A26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0" w:type="dxa"/>
          </w:tcPr>
          <w:p w:rsidR="001A6D26" w:rsidRDefault="00E55E03" w:rsidP="00B11863">
            <w:pPr>
              <w:jc w:val="both"/>
              <w:rPr>
                <w:lang w:val="en-US"/>
              </w:rPr>
            </w:pPr>
            <w:r w:rsidRPr="00E55E03">
              <w:rPr>
                <w:lang w:val="en-US"/>
              </w:rPr>
              <w:t>5.2.4</w:t>
            </w:r>
            <w:r>
              <w:rPr>
                <w:lang w:val="en-US"/>
              </w:rPr>
              <w:t>:</w:t>
            </w:r>
            <w:r w:rsidRPr="00E55E03">
              <w:rPr>
                <w:lang w:val="en-US"/>
              </w:rPr>
              <w:t xml:space="preserve"> Species shift in floristic composition</w:t>
            </w:r>
          </w:p>
          <w:p w:rsidR="00A92A85" w:rsidRDefault="00A92A85" w:rsidP="00B11863">
            <w:pPr>
              <w:jc w:val="both"/>
              <w:rPr>
                <w:lang w:val="en-US"/>
              </w:rPr>
            </w:pPr>
          </w:p>
        </w:tc>
        <w:tc>
          <w:tcPr>
            <w:tcW w:w="1540" w:type="dxa"/>
          </w:tcPr>
          <w:p w:rsidR="001A6D26" w:rsidRDefault="00E55E03" w:rsidP="005A2617">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4/8</w:t>
            </w:r>
          </w:p>
        </w:tc>
        <w:tc>
          <w:tcPr>
            <w:tcW w:w="1540" w:type="dxa"/>
          </w:tcPr>
          <w:p w:rsidR="001A6D26" w:rsidRDefault="00E55E03" w:rsidP="005A2617">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0</w:t>
            </w:r>
          </w:p>
        </w:tc>
        <w:tc>
          <w:tcPr>
            <w:tcW w:w="1540" w:type="dxa"/>
          </w:tcPr>
          <w:p w:rsidR="001A6D26" w:rsidRDefault="00E55E03" w:rsidP="005A2617">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0</w:t>
            </w:r>
          </w:p>
        </w:tc>
        <w:tc>
          <w:tcPr>
            <w:tcW w:w="1541" w:type="dxa"/>
          </w:tcPr>
          <w:p w:rsidR="001A6D26" w:rsidRDefault="00E55E03" w:rsidP="005A2617">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2/2</w:t>
            </w:r>
          </w:p>
        </w:tc>
        <w:tc>
          <w:tcPr>
            <w:tcW w:w="1541" w:type="dxa"/>
          </w:tcPr>
          <w:p w:rsidR="001A6D26" w:rsidRDefault="00E55E03" w:rsidP="005A2617">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0</w:t>
            </w:r>
          </w:p>
        </w:tc>
      </w:tr>
      <w:tr w:rsidR="001A6D26" w:rsidTr="005A2617">
        <w:tc>
          <w:tcPr>
            <w:cnfStyle w:val="001000000000" w:firstRow="0" w:lastRow="0" w:firstColumn="1" w:lastColumn="0" w:oddVBand="0" w:evenVBand="0" w:oddHBand="0" w:evenHBand="0" w:firstRowFirstColumn="0" w:firstRowLastColumn="0" w:lastRowFirstColumn="0" w:lastRowLastColumn="0"/>
            <w:tcW w:w="1540" w:type="dxa"/>
          </w:tcPr>
          <w:p w:rsidR="001A6D26" w:rsidRDefault="00E55E03" w:rsidP="00B11863">
            <w:pPr>
              <w:jc w:val="both"/>
              <w:rPr>
                <w:lang w:val="en-US"/>
              </w:rPr>
            </w:pPr>
            <w:r w:rsidRPr="00E55E03">
              <w:rPr>
                <w:lang w:val="en-US"/>
              </w:rPr>
              <w:t>5.3.1</w:t>
            </w:r>
            <w:r>
              <w:rPr>
                <w:lang w:val="en-US"/>
              </w:rPr>
              <w:t>:</w:t>
            </w:r>
            <w:r w:rsidRPr="00E55E03">
              <w:rPr>
                <w:lang w:val="en-US"/>
              </w:rPr>
              <w:t xml:space="preserve"> Abundance of perennial seaweeds and </w:t>
            </w:r>
            <w:proofErr w:type="spellStart"/>
            <w:r w:rsidRPr="00E55E03">
              <w:rPr>
                <w:lang w:val="en-US"/>
              </w:rPr>
              <w:t>seagrasses</w:t>
            </w:r>
            <w:proofErr w:type="spellEnd"/>
          </w:p>
          <w:p w:rsidR="00A92A85" w:rsidRDefault="00A92A85" w:rsidP="00B11863">
            <w:pPr>
              <w:jc w:val="both"/>
              <w:rPr>
                <w:lang w:val="en-US"/>
              </w:rPr>
            </w:pPr>
          </w:p>
        </w:tc>
        <w:tc>
          <w:tcPr>
            <w:tcW w:w="1540" w:type="dxa"/>
          </w:tcPr>
          <w:p w:rsidR="001A6D26" w:rsidRDefault="00E55E03" w:rsidP="005A2617">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0</w:t>
            </w:r>
          </w:p>
        </w:tc>
        <w:tc>
          <w:tcPr>
            <w:tcW w:w="1540" w:type="dxa"/>
          </w:tcPr>
          <w:p w:rsidR="001A6D26" w:rsidRDefault="00E55E03" w:rsidP="005A2617">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0</w:t>
            </w:r>
          </w:p>
        </w:tc>
        <w:tc>
          <w:tcPr>
            <w:tcW w:w="1540" w:type="dxa"/>
          </w:tcPr>
          <w:p w:rsidR="001A6D26" w:rsidRDefault="00E55E03" w:rsidP="005A2617">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0</w:t>
            </w:r>
          </w:p>
        </w:tc>
        <w:tc>
          <w:tcPr>
            <w:tcW w:w="1541" w:type="dxa"/>
          </w:tcPr>
          <w:p w:rsidR="001A6D26" w:rsidRDefault="00E55E03" w:rsidP="005A2617">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2/2</w:t>
            </w:r>
          </w:p>
        </w:tc>
        <w:tc>
          <w:tcPr>
            <w:tcW w:w="1541" w:type="dxa"/>
          </w:tcPr>
          <w:p w:rsidR="001A6D26" w:rsidRDefault="00E55E03" w:rsidP="005A2617">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0</w:t>
            </w:r>
          </w:p>
        </w:tc>
      </w:tr>
      <w:tr w:rsidR="001A6D26" w:rsidTr="005A26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0" w:type="dxa"/>
          </w:tcPr>
          <w:p w:rsidR="001A6D26" w:rsidRDefault="000C4056" w:rsidP="00B11863">
            <w:pPr>
              <w:jc w:val="both"/>
              <w:rPr>
                <w:lang w:val="en-US"/>
              </w:rPr>
            </w:pPr>
            <w:r w:rsidRPr="000C4056">
              <w:rPr>
                <w:lang w:val="en-US"/>
              </w:rPr>
              <w:t>5.3.2 Dissolved oxygen</w:t>
            </w:r>
          </w:p>
          <w:p w:rsidR="00A92A85" w:rsidRDefault="00A92A85" w:rsidP="00B11863">
            <w:pPr>
              <w:jc w:val="both"/>
              <w:rPr>
                <w:lang w:val="en-US"/>
              </w:rPr>
            </w:pPr>
          </w:p>
        </w:tc>
        <w:tc>
          <w:tcPr>
            <w:tcW w:w="1540" w:type="dxa"/>
          </w:tcPr>
          <w:p w:rsidR="001A6D26" w:rsidRDefault="000C4056" w:rsidP="005A2617">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6/8</w:t>
            </w:r>
          </w:p>
        </w:tc>
        <w:tc>
          <w:tcPr>
            <w:tcW w:w="1540" w:type="dxa"/>
          </w:tcPr>
          <w:p w:rsidR="001A6D26" w:rsidRDefault="000C4056" w:rsidP="005A2617">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7/10</w:t>
            </w:r>
          </w:p>
        </w:tc>
        <w:tc>
          <w:tcPr>
            <w:tcW w:w="1540" w:type="dxa"/>
          </w:tcPr>
          <w:p w:rsidR="001A6D26" w:rsidRDefault="000C4056" w:rsidP="005A2617">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0</w:t>
            </w:r>
          </w:p>
        </w:tc>
        <w:tc>
          <w:tcPr>
            <w:tcW w:w="1541" w:type="dxa"/>
          </w:tcPr>
          <w:p w:rsidR="001A6D26" w:rsidRDefault="000C4056" w:rsidP="005A2617">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2/2</w:t>
            </w:r>
          </w:p>
        </w:tc>
        <w:tc>
          <w:tcPr>
            <w:tcW w:w="1541" w:type="dxa"/>
          </w:tcPr>
          <w:p w:rsidR="001A6D26" w:rsidRDefault="00A92A85" w:rsidP="005A2617">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16</w:t>
            </w:r>
            <w:r w:rsidR="008B6905">
              <w:rPr>
                <w:lang w:val="en-US"/>
              </w:rPr>
              <w:t>/2</w:t>
            </w:r>
            <w:r w:rsidR="00424BB7">
              <w:rPr>
                <w:lang w:val="en-US"/>
              </w:rPr>
              <w:t>3</w:t>
            </w:r>
          </w:p>
        </w:tc>
      </w:tr>
      <w:tr w:rsidR="000C4056" w:rsidTr="001A6D26">
        <w:tc>
          <w:tcPr>
            <w:cnfStyle w:val="001000000000" w:firstRow="0" w:lastRow="0" w:firstColumn="1" w:lastColumn="0" w:oddVBand="0" w:evenVBand="0" w:oddHBand="0" w:evenHBand="0" w:firstRowFirstColumn="0" w:firstRowLastColumn="0" w:lastRowFirstColumn="0" w:lastRowLastColumn="0"/>
            <w:tcW w:w="1540" w:type="dxa"/>
          </w:tcPr>
          <w:p w:rsidR="000C4056" w:rsidRDefault="00E178E3" w:rsidP="00B11863">
            <w:pPr>
              <w:jc w:val="both"/>
              <w:rPr>
                <w:lang w:val="en-US"/>
              </w:rPr>
            </w:pPr>
            <w:r>
              <w:rPr>
                <w:lang w:val="en-US"/>
              </w:rPr>
              <w:t>Nutrient loads</w:t>
            </w:r>
          </w:p>
          <w:p w:rsidR="00A92A85" w:rsidRDefault="00A92A85" w:rsidP="00B11863">
            <w:pPr>
              <w:jc w:val="both"/>
              <w:rPr>
                <w:lang w:val="en-US"/>
              </w:rPr>
            </w:pPr>
          </w:p>
        </w:tc>
        <w:tc>
          <w:tcPr>
            <w:tcW w:w="1540" w:type="dxa"/>
          </w:tcPr>
          <w:p w:rsidR="000C4056" w:rsidRDefault="00E178E3" w:rsidP="005A2617">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8/8</w:t>
            </w:r>
          </w:p>
        </w:tc>
        <w:tc>
          <w:tcPr>
            <w:tcW w:w="1540" w:type="dxa"/>
          </w:tcPr>
          <w:p w:rsidR="000C4056" w:rsidRDefault="00E178E3" w:rsidP="005A2617">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7/10</w:t>
            </w:r>
          </w:p>
        </w:tc>
        <w:tc>
          <w:tcPr>
            <w:tcW w:w="1540" w:type="dxa"/>
          </w:tcPr>
          <w:p w:rsidR="00E178E3" w:rsidRDefault="00E178E3" w:rsidP="005A2617">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0</w:t>
            </w:r>
          </w:p>
        </w:tc>
        <w:tc>
          <w:tcPr>
            <w:tcW w:w="1541" w:type="dxa"/>
          </w:tcPr>
          <w:p w:rsidR="000C4056" w:rsidRDefault="00E178E3" w:rsidP="005A2617">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0</w:t>
            </w:r>
          </w:p>
        </w:tc>
        <w:tc>
          <w:tcPr>
            <w:tcW w:w="1541" w:type="dxa"/>
          </w:tcPr>
          <w:p w:rsidR="000C4056" w:rsidRDefault="00E178E3" w:rsidP="005A2617">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0</w:t>
            </w:r>
          </w:p>
        </w:tc>
      </w:tr>
      <w:tr w:rsidR="00A92A85" w:rsidTr="001A6D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0" w:type="dxa"/>
          </w:tcPr>
          <w:p w:rsidR="00A92A85" w:rsidRDefault="00A92A85" w:rsidP="00B11863">
            <w:pPr>
              <w:jc w:val="both"/>
              <w:rPr>
                <w:lang w:val="en-US"/>
              </w:rPr>
            </w:pPr>
            <w:r>
              <w:rPr>
                <w:lang w:val="en-US"/>
              </w:rPr>
              <w:t>Atmospheric deposition</w:t>
            </w:r>
          </w:p>
          <w:p w:rsidR="00A92A85" w:rsidRDefault="00A92A85" w:rsidP="00B11863">
            <w:pPr>
              <w:jc w:val="both"/>
              <w:rPr>
                <w:lang w:val="en-US"/>
              </w:rPr>
            </w:pPr>
          </w:p>
        </w:tc>
        <w:tc>
          <w:tcPr>
            <w:tcW w:w="1540" w:type="dxa"/>
          </w:tcPr>
          <w:p w:rsidR="00A92A85" w:rsidRDefault="00A92A85" w:rsidP="005A2617">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Based on NILU models</w:t>
            </w:r>
          </w:p>
        </w:tc>
        <w:tc>
          <w:tcPr>
            <w:tcW w:w="1540" w:type="dxa"/>
          </w:tcPr>
          <w:p w:rsidR="00A92A85" w:rsidRDefault="00A92A85" w:rsidP="005A2617">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Based on NILU models</w:t>
            </w:r>
          </w:p>
        </w:tc>
        <w:tc>
          <w:tcPr>
            <w:tcW w:w="1540" w:type="dxa"/>
          </w:tcPr>
          <w:p w:rsidR="00A92A85" w:rsidRDefault="00A92A85" w:rsidP="005A2617">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0</w:t>
            </w:r>
          </w:p>
        </w:tc>
        <w:tc>
          <w:tcPr>
            <w:tcW w:w="1541" w:type="dxa"/>
          </w:tcPr>
          <w:p w:rsidR="00A92A85" w:rsidRDefault="00A92A85" w:rsidP="005A2617">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0</w:t>
            </w:r>
          </w:p>
        </w:tc>
        <w:tc>
          <w:tcPr>
            <w:tcW w:w="1541" w:type="dxa"/>
          </w:tcPr>
          <w:p w:rsidR="00A92A85" w:rsidRDefault="00A92A85" w:rsidP="005A2617">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0</w:t>
            </w:r>
          </w:p>
        </w:tc>
      </w:tr>
      <w:tr w:rsidR="00A92A85" w:rsidTr="001A6D26">
        <w:tc>
          <w:tcPr>
            <w:cnfStyle w:val="001000000000" w:firstRow="0" w:lastRow="0" w:firstColumn="1" w:lastColumn="0" w:oddVBand="0" w:evenVBand="0" w:oddHBand="0" w:evenHBand="0" w:firstRowFirstColumn="0" w:firstRowLastColumn="0" w:lastRowFirstColumn="0" w:lastRowLastColumn="0"/>
            <w:tcW w:w="1540" w:type="dxa"/>
          </w:tcPr>
          <w:p w:rsidR="00A92A85" w:rsidRDefault="00A92A85" w:rsidP="00B11863">
            <w:pPr>
              <w:jc w:val="both"/>
              <w:rPr>
                <w:lang w:val="en-US"/>
              </w:rPr>
            </w:pPr>
            <w:r>
              <w:rPr>
                <w:lang w:val="en-US"/>
              </w:rPr>
              <w:t>Access rights</w:t>
            </w:r>
          </w:p>
        </w:tc>
        <w:tc>
          <w:tcPr>
            <w:tcW w:w="1540" w:type="dxa"/>
          </w:tcPr>
          <w:p w:rsidR="00A92A85" w:rsidRDefault="00A92A85" w:rsidP="005A2617">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No restrictions</w:t>
            </w:r>
          </w:p>
        </w:tc>
        <w:tc>
          <w:tcPr>
            <w:tcW w:w="1540" w:type="dxa"/>
          </w:tcPr>
          <w:p w:rsidR="00A92A85" w:rsidRDefault="00A92A85" w:rsidP="005A2617">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No restrictions</w:t>
            </w:r>
          </w:p>
        </w:tc>
        <w:tc>
          <w:tcPr>
            <w:tcW w:w="1540" w:type="dxa"/>
          </w:tcPr>
          <w:p w:rsidR="00A92A85" w:rsidRDefault="00A92A85" w:rsidP="005A2617">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restricted</w:t>
            </w:r>
          </w:p>
        </w:tc>
        <w:tc>
          <w:tcPr>
            <w:tcW w:w="1541" w:type="dxa"/>
          </w:tcPr>
          <w:p w:rsidR="00A92A85" w:rsidRDefault="00A92A85" w:rsidP="005A2617">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restricted</w:t>
            </w:r>
          </w:p>
        </w:tc>
        <w:tc>
          <w:tcPr>
            <w:tcW w:w="1541" w:type="dxa"/>
          </w:tcPr>
          <w:p w:rsidR="00A92A85" w:rsidRDefault="00A92A85" w:rsidP="005A2617">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No restrictions</w:t>
            </w:r>
          </w:p>
        </w:tc>
      </w:tr>
      <w:tr w:rsidR="00A92A85" w:rsidTr="001A6D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0" w:type="dxa"/>
          </w:tcPr>
          <w:p w:rsidR="00A92A85" w:rsidRDefault="00A92A85" w:rsidP="00B11863">
            <w:pPr>
              <w:jc w:val="both"/>
              <w:rPr>
                <w:lang w:val="en-US"/>
              </w:rPr>
            </w:pPr>
            <w:r>
              <w:rPr>
                <w:lang w:val="en-US"/>
              </w:rPr>
              <w:t>Programme</w:t>
            </w:r>
          </w:p>
        </w:tc>
        <w:tc>
          <w:tcPr>
            <w:tcW w:w="1540" w:type="dxa"/>
          </w:tcPr>
          <w:p w:rsidR="00A92A85" w:rsidRDefault="00A92A85" w:rsidP="005A2617">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Combine/PLC</w:t>
            </w:r>
          </w:p>
        </w:tc>
        <w:tc>
          <w:tcPr>
            <w:tcW w:w="1540" w:type="dxa"/>
          </w:tcPr>
          <w:p w:rsidR="00A92A85" w:rsidRDefault="00A92A85" w:rsidP="005A2617">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CEMP/RID</w:t>
            </w:r>
          </w:p>
        </w:tc>
        <w:tc>
          <w:tcPr>
            <w:tcW w:w="1540" w:type="dxa"/>
          </w:tcPr>
          <w:p w:rsidR="00A92A85" w:rsidRDefault="00A92A85" w:rsidP="005A2617">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MEDPOL</w:t>
            </w:r>
          </w:p>
        </w:tc>
        <w:tc>
          <w:tcPr>
            <w:tcW w:w="1541" w:type="dxa"/>
          </w:tcPr>
          <w:p w:rsidR="00A92A85" w:rsidRDefault="00A92A85" w:rsidP="005A2617">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BSIMAP</w:t>
            </w:r>
          </w:p>
        </w:tc>
        <w:tc>
          <w:tcPr>
            <w:tcW w:w="1541" w:type="dxa"/>
          </w:tcPr>
          <w:p w:rsidR="00A92A85" w:rsidRDefault="00424BB7" w:rsidP="005A2617">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WISE-SoE</w:t>
            </w:r>
          </w:p>
        </w:tc>
      </w:tr>
      <w:tr w:rsidR="00A92A85" w:rsidTr="001A6D26">
        <w:tc>
          <w:tcPr>
            <w:cnfStyle w:val="001000000000" w:firstRow="0" w:lastRow="0" w:firstColumn="1" w:lastColumn="0" w:oddVBand="0" w:evenVBand="0" w:oddHBand="0" w:evenHBand="0" w:firstRowFirstColumn="0" w:firstRowLastColumn="0" w:lastRowFirstColumn="0" w:lastRowLastColumn="0"/>
            <w:tcW w:w="1540" w:type="dxa"/>
          </w:tcPr>
          <w:p w:rsidR="00A92A85" w:rsidRDefault="00A92A85" w:rsidP="00B11863">
            <w:pPr>
              <w:jc w:val="both"/>
              <w:rPr>
                <w:lang w:val="en-US"/>
              </w:rPr>
            </w:pPr>
            <w:r>
              <w:rPr>
                <w:lang w:val="en-US"/>
              </w:rPr>
              <w:t>Data holder</w:t>
            </w:r>
          </w:p>
        </w:tc>
        <w:tc>
          <w:tcPr>
            <w:tcW w:w="1540" w:type="dxa"/>
          </w:tcPr>
          <w:p w:rsidR="00A92A85" w:rsidRDefault="00A92A85" w:rsidP="00A92A85">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ICES/SYKE</w:t>
            </w:r>
          </w:p>
        </w:tc>
        <w:tc>
          <w:tcPr>
            <w:tcW w:w="1540" w:type="dxa"/>
          </w:tcPr>
          <w:p w:rsidR="00A92A85" w:rsidRDefault="00A92A85" w:rsidP="00A92A85">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ICES/O</w:t>
            </w:r>
            <w:r w:rsidR="00CA0483">
              <w:rPr>
                <w:lang w:val="en-US"/>
              </w:rPr>
              <w:t>DIMS</w:t>
            </w:r>
          </w:p>
        </w:tc>
        <w:tc>
          <w:tcPr>
            <w:tcW w:w="1540" w:type="dxa"/>
          </w:tcPr>
          <w:p w:rsidR="00A92A85" w:rsidRDefault="00A92A85" w:rsidP="00A92A85">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MEDPOL</w:t>
            </w:r>
          </w:p>
        </w:tc>
        <w:tc>
          <w:tcPr>
            <w:tcW w:w="1541" w:type="dxa"/>
          </w:tcPr>
          <w:p w:rsidR="00A92A85" w:rsidRDefault="00A92A85" w:rsidP="00A92A85">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BSIMAP</w:t>
            </w:r>
          </w:p>
        </w:tc>
        <w:tc>
          <w:tcPr>
            <w:tcW w:w="1541" w:type="dxa"/>
          </w:tcPr>
          <w:p w:rsidR="00A92A85" w:rsidRDefault="00A92A85" w:rsidP="00A92A85">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EEA/</w:t>
            </w:r>
            <w:proofErr w:type="spellStart"/>
            <w:r>
              <w:rPr>
                <w:lang w:val="en-US"/>
              </w:rPr>
              <w:t>waterbase</w:t>
            </w:r>
            <w:proofErr w:type="spellEnd"/>
          </w:p>
        </w:tc>
      </w:tr>
    </w:tbl>
    <w:p w:rsidR="00B11863" w:rsidRPr="004529A3" w:rsidRDefault="00B11863" w:rsidP="005A2617">
      <w:pPr>
        <w:pStyle w:val="Heading2"/>
        <w:rPr>
          <w:lang w:val="en-US"/>
        </w:rPr>
      </w:pPr>
      <w:r w:rsidRPr="004529A3">
        <w:rPr>
          <w:lang w:val="en-US"/>
        </w:rPr>
        <w:t xml:space="preserve">Summary </w:t>
      </w:r>
      <w:r w:rsidR="006E010F">
        <w:rPr>
          <w:lang w:val="en-US"/>
        </w:rPr>
        <w:t>Eutrophication</w:t>
      </w:r>
    </w:p>
    <w:p w:rsidR="003B4986" w:rsidRDefault="00B11863" w:rsidP="00222DF0">
      <w:pPr>
        <w:rPr>
          <w:lang w:val="en-US"/>
        </w:rPr>
      </w:pPr>
      <w:r w:rsidRPr="004529A3">
        <w:rPr>
          <w:lang w:val="en-US"/>
        </w:rPr>
        <w:t>An overview of data relevant to MSFD eutrophicat</w:t>
      </w:r>
      <w:r w:rsidR="00424BB7">
        <w:rPr>
          <w:lang w:val="en-US"/>
        </w:rPr>
        <w:t>ion indicators</w:t>
      </w:r>
      <w:r w:rsidRPr="004529A3">
        <w:rPr>
          <w:lang w:val="en-US"/>
        </w:rPr>
        <w:t xml:space="preserve"> reported to the RSCs by the contracting parties and at what frequencies across RSCs is shown in </w:t>
      </w:r>
      <w:r w:rsidR="00424BB7">
        <w:rPr>
          <w:lang w:val="en-US"/>
        </w:rPr>
        <w:t>Table 2</w:t>
      </w:r>
      <w:r w:rsidRPr="004529A3">
        <w:rPr>
          <w:lang w:val="en-US"/>
        </w:rPr>
        <w:t>.</w:t>
      </w:r>
      <w:r w:rsidR="00424BB7">
        <w:rPr>
          <w:lang w:val="en-US"/>
        </w:rPr>
        <w:t xml:space="preserve"> </w:t>
      </w:r>
      <w:r w:rsidR="00EF4251">
        <w:rPr>
          <w:lang w:val="en-US"/>
        </w:rPr>
        <w:t>Nutrients, chlorophyll-</w:t>
      </w:r>
      <w:proofErr w:type="gramStart"/>
      <w:r w:rsidRPr="004529A3">
        <w:rPr>
          <w:lang w:val="en-US"/>
        </w:rPr>
        <w:t>a and</w:t>
      </w:r>
      <w:proofErr w:type="gramEnd"/>
      <w:r w:rsidRPr="004529A3">
        <w:rPr>
          <w:lang w:val="en-US"/>
        </w:rPr>
        <w:t xml:space="preserve"> oxygen are </w:t>
      </w:r>
      <w:r w:rsidR="00424BB7">
        <w:rPr>
          <w:lang w:val="en-US"/>
        </w:rPr>
        <w:t xml:space="preserve">adopted by </w:t>
      </w:r>
      <w:proofErr w:type="spellStart"/>
      <w:r w:rsidR="00424BB7">
        <w:rPr>
          <w:lang w:val="en-US"/>
        </w:rPr>
        <w:t>Helcom</w:t>
      </w:r>
      <w:proofErr w:type="spellEnd"/>
      <w:r w:rsidR="00424BB7">
        <w:rPr>
          <w:lang w:val="en-US"/>
        </w:rPr>
        <w:t xml:space="preserve">, OSPAR, BSC and the </w:t>
      </w:r>
      <w:r w:rsidR="00046EE0">
        <w:rPr>
          <w:lang w:val="en-US"/>
        </w:rPr>
        <w:t>EIONET</w:t>
      </w:r>
      <w:r w:rsidR="00424BB7">
        <w:rPr>
          <w:lang w:val="en-US"/>
        </w:rPr>
        <w:t xml:space="preserve"> and are hence </w:t>
      </w:r>
      <w:r w:rsidRPr="004529A3">
        <w:rPr>
          <w:lang w:val="en-US"/>
        </w:rPr>
        <w:t>reported</w:t>
      </w:r>
      <w:r w:rsidR="00424BB7">
        <w:rPr>
          <w:lang w:val="en-US"/>
        </w:rPr>
        <w:t xml:space="preserve"> by most contracting parties and members of the </w:t>
      </w:r>
      <w:r w:rsidR="00046EE0">
        <w:rPr>
          <w:lang w:val="en-US"/>
        </w:rPr>
        <w:t>EIONET</w:t>
      </w:r>
      <w:r w:rsidR="00424BB7">
        <w:rPr>
          <w:lang w:val="en-US"/>
        </w:rPr>
        <w:t xml:space="preserve">. </w:t>
      </w:r>
      <w:r w:rsidR="00152619">
        <w:rPr>
          <w:lang w:val="en-US"/>
        </w:rPr>
        <w:t xml:space="preserve">In these contexts the data are used to support indicators, but the indicators are not the same. </w:t>
      </w:r>
      <w:r w:rsidR="00424BB7">
        <w:rPr>
          <w:lang w:val="en-US"/>
        </w:rPr>
        <w:t>In UN</w:t>
      </w:r>
      <w:r w:rsidR="00EF4251">
        <w:rPr>
          <w:lang w:val="en-US"/>
        </w:rPr>
        <w:t>EP/MAP only chlorophyll-</w:t>
      </w:r>
      <w:proofErr w:type="gramStart"/>
      <w:r w:rsidR="00EF4251">
        <w:rPr>
          <w:lang w:val="en-US"/>
        </w:rPr>
        <w:t>a has</w:t>
      </w:r>
      <w:proofErr w:type="gramEnd"/>
      <w:r w:rsidR="00EF4251">
        <w:rPr>
          <w:lang w:val="en-US"/>
        </w:rPr>
        <w:t xml:space="preserve"> recently</w:t>
      </w:r>
      <w:r w:rsidR="00424BB7">
        <w:rPr>
          <w:lang w:val="en-US"/>
        </w:rPr>
        <w:t xml:space="preserve"> been adopted</w:t>
      </w:r>
      <w:r w:rsidR="008C1E08">
        <w:rPr>
          <w:lang w:val="en-US"/>
        </w:rPr>
        <w:t xml:space="preserve"> as a reported</w:t>
      </w:r>
      <w:r w:rsidR="00EF4251">
        <w:rPr>
          <w:lang w:val="en-US"/>
        </w:rPr>
        <w:t xml:space="preserve"> parameter</w:t>
      </w:r>
      <w:r w:rsidR="00424BB7">
        <w:rPr>
          <w:lang w:val="en-US"/>
        </w:rPr>
        <w:t xml:space="preserve">, and hence reporting </w:t>
      </w:r>
      <w:r w:rsidR="00EF4251">
        <w:rPr>
          <w:lang w:val="en-US"/>
        </w:rPr>
        <w:t xml:space="preserve">of it and other parameters </w:t>
      </w:r>
      <w:r w:rsidR="00424BB7">
        <w:rPr>
          <w:lang w:val="en-US"/>
        </w:rPr>
        <w:t>is</w:t>
      </w:r>
      <w:r w:rsidR="008C1E08">
        <w:rPr>
          <w:lang w:val="en-US"/>
        </w:rPr>
        <w:t xml:space="preserve"> currently more</w:t>
      </w:r>
      <w:r w:rsidR="00424BB7">
        <w:rPr>
          <w:lang w:val="en-US"/>
        </w:rPr>
        <w:t xml:space="preserve"> limited. It was a clear message from the workshop that the contracting parties of HELCOM and OSPAR were happy with the existing arrangements and did not feel that there was a need to change them. As access to the reported data is unrestricted, there is already corporation with EE</w:t>
      </w:r>
      <w:r w:rsidR="00EF4251">
        <w:rPr>
          <w:lang w:val="en-US"/>
        </w:rPr>
        <w:t>A on avoiding double reporting.</w:t>
      </w:r>
      <w:r w:rsidR="00222DF0">
        <w:rPr>
          <w:lang w:val="en-US"/>
        </w:rPr>
        <w:t xml:space="preserve"> </w:t>
      </w:r>
    </w:p>
    <w:p w:rsidR="00222DF0" w:rsidRPr="00B252B4" w:rsidRDefault="003B4986" w:rsidP="00222DF0">
      <w:pPr>
        <w:rPr>
          <w:lang w:val="en-US"/>
        </w:rPr>
      </w:pPr>
      <w:r>
        <w:rPr>
          <w:lang w:val="en-US"/>
        </w:rPr>
        <w:t xml:space="preserve">In the workshop, </w:t>
      </w:r>
      <w:r w:rsidR="00046EE0">
        <w:rPr>
          <w:lang w:val="en-US"/>
        </w:rPr>
        <w:t>HELCOM</w:t>
      </w:r>
      <w:r w:rsidR="00222DF0" w:rsidRPr="005A2617">
        <w:rPr>
          <w:lang w:val="en-US"/>
        </w:rPr>
        <w:t xml:space="preserve"> explained that </w:t>
      </w:r>
      <w:r w:rsidR="00222DF0" w:rsidRPr="00B252B4">
        <w:rPr>
          <w:lang w:val="en-US"/>
        </w:rPr>
        <w:t xml:space="preserve">the latest assessment </w:t>
      </w:r>
      <w:r w:rsidR="008C1E08">
        <w:rPr>
          <w:lang w:val="en-US"/>
        </w:rPr>
        <w:t xml:space="preserve">of eutrophication </w:t>
      </w:r>
      <w:r w:rsidR="00222DF0" w:rsidRPr="00B252B4">
        <w:rPr>
          <w:lang w:val="en-US"/>
        </w:rPr>
        <w:t xml:space="preserve">was based on COMBINE data and had had to incorporate more data from the Baltic Nest </w:t>
      </w:r>
      <w:proofErr w:type="spellStart"/>
      <w:r w:rsidR="00222DF0" w:rsidRPr="00B252B4">
        <w:rPr>
          <w:lang w:val="en-US"/>
        </w:rPr>
        <w:t>Insitute</w:t>
      </w:r>
      <w:proofErr w:type="spellEnd"/>
      <w:r w:rsidR="00222DF0" w:rsidRPr="00B252B4">
        <w:rPr>
          <w:lang w:val="en-US"/>
        </w:rPr>
        <w:t xml:space="preserve">. This initiated </w:t>
      </w:r>
      <w:r w:rsidR="00222DF0" w:rsidRPr="005A2617">
        <w:rPr>
          <w:lang w:val="en-US"/>
        </w:rPr>
        <w:t>the EUTRO-OPER project to make sure that all the needed parameters and measurements actually go to the ICES database. In that process there is also planned to be a reporting mechanism for earth observation data and transects measured by ships of opportunity.</w:t>
      </w:r>
    </w:p>
    <w:p w:rsidR="00424BB7" w:rsidRDefault="00EF4251" w:rsidP="00B11863">
      <w:pPr>
        <w:jc w:val="both"/>
        <w:rPr>
          <w:lang w:val="en-US"/>
        </w:rPr>
      </w:pPr>
      <w:r>
        <w:rPr>
          <w:lang w:val="en-US"/>
        </w:rPr>
        <w:t>Although water transparency (</w:t>
      </w:r>
      <w:r w:rsidR="008C1E08">
        <w:rPr>
          <w:lang w:val="en-US"/>
        </w:rPr>
        <w:t xml:space="preserve">indicator </w:t>
      </w:r>
      <w:r>
        <w:rPr>
          <w:lang w:val="en-US"/>
        </w:rPr>
        <w:t xml:space="preserve">5.2.2) is used by several contracting parties in </w:t>
      </w:r>
      <w:r w:rsidR="00046EE0">
        <w:rPr>
          <w:lang w:val="en-US"/>
        </w:rPr>
        <w:t>HELCOM</w:t>
      </w:r>
      <w:r>
        <w:rPr>
          <w:lang w:val="en-US"/>
        </w:rPr>
        <w:t xml:space="preserve"> who also has an indicator based on it, it was not viewed </w:t>
      </w:r>
      <w:r w:rsidR="008C1E08">
        <w:rPr>
          <w:lang w:val="en-US"/>
        </w:rPr>
        <w:t xml:space="preserve">by the workshop </w:t>
      </w:r>
      <w:r>
        <w:rPr>
          <w:lang w:val="en-US"/>
        </w:rPr>
        <w:t xml:space="preserve">as a relevant parameter across Europe. In particular the OSPAR countries; BE, UK, EI, and NL expressed that it could not be used as an indicator of </w:t>
      </w:r>
      <w:r w:rsidR="008C1E08">
        <w:rPr>
          <w:lang w:val="en-US"/>
        </w:rPr>
        <w:t>eutrophication</w:t>
      </w:r>
      <w:r>
        <w:rPr>
          <w:lang w:val="en-US"/>
        </w:rPr>
        <w:t xml:space="preserve"> in their waters</w:t>
      </w:r>
      <w:r w:rsidR="008C1E08">
        <w:rPr>
          <w:lang w:val="en-US"/>
        </w:rPr>
        <w:t xml:space="preserve"> because turbidity from mineral substances was too high</w:t>
      </w:r>
      <w:r>
        <w:rPr>
          <w:lang w:val="en-US"/>
        </w:rPr>
        <w:t xml:space="preserve">. </w:t>
      </w:r>
      <w:r w:rsidR="00152619">
        <w:rPr>
          <w:lang w:val="en-US"/>
        </w:rPr>
        <w:t>The indicator</w:t>
      </w:r>
      <w:r>
        <w:rPr>
          <w:lang w:val="en-US"/>
        </w:rPr>
        <w:t xml:space="preserve"> </w:t>
      </w:r>
      <w:r w:rsidR="00152619">
        <w:rPr>
          <w:lang w:val="en-US"/>
        </w:rPr>
        <w:t>a</w:t>
      </w:r>
      <w:r w:rsidRPr="00EF4251">
        <w:rPr>
          <w:lang w:val="en-US"/>
        </w:rPr>
        <w:t xml:space="preserve">bundance of opportunistic macroalgae </w:t>
      </w:r>
      <w:r>
        <w:rPr>
          <w:lang w:val="en-US"/>
        </w:rPr>
        <w:t>(</w:t>
      </w:r>
      <w:r w:rsidR="008C1E08">
        <w:rPr>
          <w:lang w:val="en-US"/>
        </w:rPr>
        <w:t xml:space="preserve">indicator </w:t>
      </w:r>
      <w:r>
        <w:rPr>
          <w:lang w:val="en-US"/>
        </w:rPr>
        <w:t>5.2.3)</w:t>
      </w:r>
      <w:r w:rsidR="00152619">
        <w:rPr>
          <w:lang w:val="en-US"/>
        </w:rPr>
        <w:t xml:space="preserve"> and a</w:t>
      </w:r>
      <w:r w:rsidR="00152619" w:rsidRPr="00152619">
        <w:rPr>
          <w:lang w:val="en-US"/>
        </w:rPr>
        <w:t xml:space="preserve">bundance of perennial seaweeds and </w:t>
      </w:r>
      <w:proofErr w:type="spellStart"/>
      <w:r w:rsidR="00152619" w:rsidRPr="00152619">
        <w:rPr>
          <w:lang w:val="en-US"/>
        </w:rPr>
        <w:t>seagrasses</w:t>
      </w:r>
      <w:proofErr w:type="spellEnd"/>
      <w:r w:rsidR="00152619">
        <w:rPr>
          <w:lang w:val="en-US"/>
        </w:rPr>
        <w:t xml:space="preserve"> (</w:t>
      </w:r>
      <w:r w:rsidR="008C1E08">
        <w:rPr>
          <w:lang w:val="en-US"/>
        </w:rPr>
        <w:t>indicator</w:t>
      </w:r>
      <w:r w:rsidR="008C1E08" w:rsidRPr="00E55E03">
        <w:rPr>
          <w:lang w:val="en-US"/>
        </w:rPr>
        <w:t xml:space="preserve"> </w:t>
      </w:r>
      <w:r w:rsidR="00152619" w:rsidRPr="00E55E03">
        <w:rPr>
          <w:lang w:val="en-US"/>
        </w:rPr>
        <w:t>5.3.1</w:t>
      </w:r>
      <w:r w:rsidR="00152619">
        <w:rPr>
          <w:lang w:val="en-US"/>
        </w:rPr>
        <w:t>)</w:t>
      </w:r>
      <w:r>
        <w:rPr>
          <w:lang w:val="en-US"/>
        </w:rPr>
        <w:t xml:space="preserve"> </w:t>
      </w:r>
      <w:r w:rsidR="00152619">
        <w:rPr>
          <w:lang w:val="en-US"/>
        </w:rPr>
        <w:t>was not used at all in the RSC context</w:t>
      </w:r>
      <w:r w:rsidR="008C1E08">
        <w:rPr>
          <w:lang w:val="en-US"/>
        </w:rPr>
        <w:t>, principally because they focus on offshore waters which are too deep for macrophytes,</w:t>
      </w:r>
      <w:r w:rsidR="00152619">
        <w:rPr>
          <w:lang w:val="en-US"/>
        </w:rPr>
        <w:t xml:space="preserve"> </w:t>
      </w:r>
      <w:r>
        <w:rPr>
          <w:lang w:val="en-US"/>
        </w:rPr>
        <w:t xml:space="preserve">and </w:t>
      </w:r>
      <w:r w:rsidR="00152619">
        <w:rPr>
          <w:lang w:val="en-US"/>
        </w:rPr>
        <w:t>s</w:t>
      </w:r>
      <w:r w:rsidRPr="00E55E03">
        <w:rPr>
          <w:lang w:val="en-US"/>
        </w:rPr>
        <w:t>pecies shift in floristic composition</w:t>
      </w:r>
      <w:r>
        <w:rPr>
          <w:lang w:val="en-US"/>
        </w:rPr>
        <w:t xml:space="preserve"> (</w:t>
      </w:r>
      <w:r w:rsidR="008C1E08">
        <w:rPr>
          <w:lang w:val="en-US"/>
        </w:rPr>
        <w:t xml:space="preserve">indicator </w:t>
      </w:r>
      <w:r>
        <w:rPr>
          <w:lang w:val="en-US"/>
        </w:rPr>
        <w:t xml:space="preserve">5.2.4) </w:t>
      </w:r>
      <w:r w:rsidR="00152619">
        <w:rPr>
          <w:lang w:val="en-US"/>
        </w:rPr>
        <w:t xml:space="preserve">was only used on an experimental basis in </w:t>
      </w:r>
      <w:r w:rsidR="00046EE0">
        <w:rPr>
          <w:lang w:val="en-US"/>
        </w:rPr>
        <w:t>HELCOM</w:t>
      </w:r>
      <w:r w:rsidR="00152619">
        <w:rPr>
          <w:lang w:val="en-US"/>
        </w:rPr>
        <w:t xml:space="preserve">. </w:t>
      </w:r>
    </w:p>
    <w:p w:rsidR="00152619" w:rsidRDefault="00152619" w:rsidP="003B4986">
      <w:pPr>
        <w:jc w:val="both"/>
        <w:rPr>
          <w:lang w:val="en-US"/>
        </w:rPr>
      </w:pPr>
      <w:r>
        <w:rPr>
          <w:lang w:val="en-US"/>
        </w:rPr>
        <w:t xml:space="preserve">All </w:t>
      </w:r>
      <w:r w:rsidR="008C1E08">
        <w:rPr>
          <w:lang w:val="en-US"/>
        </w:rPr>
        <w:t>Regional Sea Conventions</w:t>
      </w:r>
      <w:r>
        <w:rPr>
          <w:lang w:val="en-US"/>
        </w:rPr>
        <w:t xml:space="preserve"> have worked with reporting of nutrient loads, but </w:t>
      </w:r>
      <w:r w:rsidR="008C1E08">
        <w:rPr>
          <w:lang w:val="en-US"/>
        </w:rPr>
        <w:t xml:space="preserve">in </w:t>
      </w:r>
      <w:r>
        <w:rPr>
          <w:lang w:val="en-US"/>
        </w:rPr>
        <w:t xml:space="preserve">UNEP/MAP and the Black Sea Commission only point sources have been reported, and only historical data are available. Atmospheric deposition of nitrogen </w:t>
      </w:r>
      <w:r w:rsidR="006E010F">
        <w:rPr>
          <w:lang w:val="en-US"/>
        </w:rPr>
        <w:t>is determined</w:t>
      </w:r>
      <w:r>
        <w:rPr>
          <w:lang w:val="en-US"/>
        </w:rPr>
        <w:t xml:space="preserve"> </w:t>
      </w:r>
      <w:r w:rsidR="003B4986">
        <w:rPr>
          <w:lang w:val="en-US"/>
        </w:rPr>
        <w:t xml:space="preserve">by </w:t>
      </w:r>
      <w:r w:rsidR="003B4986" w:rsidRPr="003B4986">
        <w:rPr>
          <w:lang w:val="en-US"/>
        </w:rPr>
        <w:t>European Moni</w:t>
      </w:r>
      <w:r w:rsidR="003B4986">
        <w:rPr>
          <w:lang w:val="en-US"/>
        </w:rPr>
        <w:t>toring and Evaluation Programme</w:t>
      </w:r>
      <w:r w:rsidR="003B4986" w:rsidRPr="003B4986">
        <w:rPr>
          <w:lang w:val="en-US"/>
        </w:rPr>
        <w:t xml:space="preserve"> </w:t>
      </w:r>
      <w:r w:rsidR="003B4986">
        <w:rPr>
          <w:lang w:val="en-US"/>
        </w:rPr>
        <w:t>(EMEP)</w:t>
      </w:r>
      <w:r w:rsidR="003B4986" w:rsidRPr="004529A3">
        <w:rPr>
          <w:lang w:val="en-US"/>
        </w:rPr>
        <w:t xml:space="preserve"> </w:t>
      </w:r>
      <w:r w:rsidR="006E010F" w:rsidRPr="004529A3">
        <w:rPr>
          <w:lang w:val="en-US"/>
        </w:rPr>
        <w:t xml:space="preserve">on the basis of emission data officially submitted by </w:t>
      </w:r>
      <w:r w:rsidR="00222DF0">
        <w:rPr>
          <w:lang w:val="en-US"/>
        </w:rPr>
        <w:t>contracting parties</w:t>
      </w:r>
      <w:r w:rsidR="006E010F" w:rsidRPr="004529A3">
        <w:rPr>
          <w:lang w:val="en-US"/>
        </w:rPr>
        <w:t xml:space="preserve"> to CLRTAP Convention</w:t>
      </w:r>
      <w:r w:rsidR="003B4986">
        <w:rPr>
          <w:lang w:val="en-US"/>
        </w:rPr>
        <w:t>.</w:t>
      </w:r>
      <w:r w:rsidR="00222DF0">
        <w:rPr>
          <w:lang w:val="en-US"/>
        </w:rPr>
        <w:t xml:space="preserve"> </w:t>
      </w:r>
    </w:p>
    <w:p w:rsidR="00B11863" w:rsidRPr="004529A3" w:rsidRDefault="00B11863" w:rsidP="00B11863">
      <w:pPr>
        <w:jc w:val="both"/>
        <w:rPr>
          <w:lang w:val="en-US"/>
        </w:rPr>
      </w:pPr>
      <w:r w:rsidRPr="004529A3">
        <w:rPr>
          <w:lang w:val="en-US"/>
        </w:rPr>
        <w:t>OSP</w:t>
      </w:r>
      <w:r w:rsidR="00824F97">
        <w:rPr>
          <w:lang w:val="en-US"/>
        </w:rPr>
        <w:t xml:space="preserve">AR </w:t>
      </w:r>
      <w:r w:rsidR="006E010F">
        <w:rPr>
          <w:lang w:val="en-US"/>
        </w:rPr>
        <w:t xml:space="preserve">and </w:t>
      </w:r>
      <w:r w:rsidR="00046EE0">
        <w:rPr>
          <w:lang w:val="en-US"/>
        </w:rPr>
        <w:t>HELCOM</w:t>
      </w:r>
      <w:r w:rsidR="006E010F">
        <w:rPr>
          <w:lang w:val="en-US"/>
        </w:rPr>
        <w:t xml:space="preserve"> calculate</w:t>
      </w:r>
      <w:r w:rsidR="00824F97">
        <w:rPr>
          <w:lang w:val="en-US"/>
        </w:rPr>
        <w:t xml:space="preserve"> indicator nutrient ratios (5.1.2) </w:t>
      </w:r>
      <w:r w:rsidRPr="004529A3">
        <w:rPr>
          <w:lang w:val="en-US"/>
        </w:rPr>
        <w:t>from reported parameters and</w:t>
      </w:r>
      <w:r w:rsidR="009F7E8C" w:rsidRPr="009F7E8C">
        <w:rPr>
          <w:lang w:val="en-US"/>
        </w:rPr>
        <w:t xml:space="preserve"> </w:t>
      </w:r>
      <w:r w:rsidR="009F7E8C">
        <w:rPr>
          <w:lang w:val="en-US"/>
        </w:rPr>
        <w:t>so it is</w:t>
      </w:r>
      <w:r w:rsidRPr="004529A3">
        <w:rPr>
          <w:lang w:val="en-US"/>
        </w:rPr>
        <w:t xml:space="preserve"> not directly reported</w:t>
      </w:r>
      <w:r w:rsidR="009F7E8C">
        <w:rPr>
          <w:lang w:val="en-US"/>
        </w:rPr>
        <w:t xml:space="preserve"> by their contracting parties</w:t>
      </w:r>
      <w:r w:rsidRPr="004529A3">
        <w:rPr>
          <w:lang w:val="en-US"/>
        </w:rPr>
        <w:t>. Although OSPAR Monitoring guidelines for biological variables relevant to MSFD indicators 5.2.3, 5.2.4 and 5.3.1 are developed under the JAMP programme for OSPAR CPs, at this stage, no such data are gathered at OSPAR level, but may be available at national level.</w:t>
      </w:r>
    </w:p>
    <w:p w:rsidR="006E010F" w:rsidRDefault="006E010F" w:rsidP="005A2617">
      <w:pPr>
        <w:pStyle w:val="Heading1"/>
        <w:rPr>
          <w:lang w:val="en-US"/>
        </w:rPr>
      </w:pPr>
      <w:r>
        <w:rPr>
          <w:lang w:val="en-US"/>
        </w:rPr>
        <w:t>Summary Hazardous substances</w:t>
      </w:r>
    </w:p>
    <w:p w:rsidR="003B4986" w:rsidRDefault="003B4986" w:rsidP="003B4986">
      <w:pPr>
        <w:jc w:val="both"/>
        <w:rPr>
          <w:lang w:val="en-US"/>
        </w:rPr>
      </w:pPr>
      <w:r>
        <w:rPr>
          <w:lang w:val="en-US"/>
        </w:rPr>
        <w:t>The reporting stream in place in context of the RSC and the E</w:t>
      </w:r>
      <w:r w:rsidR="009F7E8C">
        <w:rPr>
          <w:lang w:val="en-US"/>
        </w:rPr>
        <w:t>IONET</w:t>
      </w:r>
      <w:r>
        <w:rPr>
          <w:lang w:val="en-US"/>
        </w:rPr>
        <w:t xml:space="preserve"> were </w:t>
      </w:r>
      <w:proofErr w:type="spellStart"/>
      <w:r>
        <w:rPr>
          <w:lang w:val="en-US"/>
        </w:rPr>
        <w:t>analysed</w:t>
      </w:r>
      <w:proofErr w:type="spellEnd"/>
      <w:r>
        <w:rPr>
          <w:lang w:val="en-US"/>
        </w:rPr>
        <w:t xml:space="preserve"> from the perspective of providing data relevant for MSFD Descriptor 8 indicators which are primarily linked to environmental quality standards of the WFD. The analysis was based on d</w:t>
      </w:r>
      <w:r w:rsidRPr="004529A3">
        <w:rPr>
          <w:lang w:val="en-US"/>
        </w:rPr>
        <w:t xml:space="preserve">ata reported to the RSCs in 2012 by the contracting parties that are </w:t>
      </w:r>
      <w:r>
        <w:rPr>
          <w:lang w:val="en-US"/>
        </w:rPr>
        <w:t xml:space="preserve">also </w:t>
      </w:r>
      <w:r w:rsidRPr="004529A3">
        <w:rPr>
          <w:lang w:val="en-US"/>
        </w:rPr>
        <w:t>EU M</w:t>
      </w:r>
      <w:r>
        <w:rPr>
          <w:lang w:val="en-US"/>
        </w:rPr>
        <w:t xml:space="preserve">ember </w:t>
      </w:r>
      <w:r w:rsidRPr="004529A3">
        <w:rPr>
          <w:lang w:val="en-US"/>
        </w:rPr>
        <w:t>S</w:t>
      </w:r>
      <w:r>
        <w:rPr>
          <w:lang w:val="en-US"/>
        </w:rPr>
        <w:t>tates.</w:t>
      </w:r>
      <w:r w:rsidRPr="004529A3">
        <w:rPr>
          <w:lang w:val="en-US"/>
        </w:rPr>
        <w:t xml:space="preserve"> The contracting parties of the RSCs included in the </w:t>
      </w:r>
      <w:r>
        <w:rPr>
          <w:lang w:val="en-US"/>
        </w:rPr>
        <w:t>analysis are listed in Table 1.</w:t>
      </w:r>
    </w:p>
    <w:p w:rsidR="009F7E8C" w:rsidRDefault="008B1EC1" w:rsidP="003B4986">
      <w:pPr>
        <w:jc w:val="both"/>
        <w:rPr>
          <w:lang w:val="en-US"/>
        </w:rPr>
      </w:pPr>
      <w:r>
        <w:rPr>
          <w:lang w:val="en-US"/>
        </w:rPr>
        <w:t xml:space="preserve">Although a large number of priority </w:t>
      </w:r>
      <w:r w:rsidR="005E02E4">
        <w:rPr>
          <w:lang w:val="en-US"/>
        </w:rPr>
        <w:t xml:space="preserve">substances </w:t>
      </w:r>
      <w:r>
        <w:rPr>
          <w:lang w:val="en-US"/>
        </w:rPr>
        <w:t xml:space="preserve">are reported in the context of </w:t>
      </w:r>
      <w:r w:rsidR="00046EE0">
        <w:rPr>
          <w:lang w:val="en-US"/>
        </w:rPr>
        <w:t>HELCOM</w:t>
      </w:r>
      <w:r>
        <w:rPr>
          <w:lang w:val="en-US"/>
        </w:rPr>
        <w:t xml:space="preserve">, OSPAR, </w:t>
      </w:r>
      <w:r w:rsidR="005E02E4">
        <w:rPr>
          <w:lang w:val="en-US"/>
        </w:rPr>
        <w:t xml:space="preserve">UNEP/MAP, </w:t>
      </w:r>
      <w:r>
        <w:rPr>
          <w:lang w:val="en-US"/>
        </w:rPr>
        <w:t xml:space="preserve">the BSC, and the </w:t>
      </w:r>
      <w:r w:rsidR="00046EE0">
        <w:rPr>
          <w:lang w:val="en-US"/>
        </w:rPr>
        <w:t>EIONET</w:t>
      </w:r>
      <w:r>
        <w:rPr>
          <w:lang w:val="en-US"/>
        </w:rPr>
        <w:t>, observations are also made in three different matrixes</w:t>
      </w:r>
      <w:r w:rsidR="009F7E8C">
        <w:rPr>
          <w:lang w:val="en-US"/>
        </w:rPr>
        <w:t xml:space="preserve"> (water, sediment or biota)</w:t>
      </w:r>
      <w:r>
        <w:rPr>
          <w:lang w:val="en-US"/>
        </w:rPr>
        <w:t xml:space="preserve">, that are not comparable. This means that the data streams are very inhomogeneous and no substances are reported using the same matrix </w:t>
      </w:r>
      <w:r w:rsidR="005E02E4">
        <w:rPr>
          <w:lang w:val="en-US"/>
        </w:rPr>
        <w:t xml:space="preserve">by all countries </w:t>
      </w:r>
      <w:r>
        <w:rPr>
          <w:lang w:val="en-US"/>
        </w:rPr>
        <w:t>in any of the four conventions</w:t>
      </w:r>
      <w:r w:rsidR="00906087">
        <w:rPr>
          <w:lang w:val="en-US"/>
        </w:rPr>
        <w:t xml:space="preserve"> (Table 3)</w:t>
      </w:r>
      <w:r>
        <w:rPr>
          <w:lang w:val="en-US"/>
        </w:rPr>
        <w:t xml:space="preserve">. Very few substances are reported to </w:t>
      </w:r>
      <w:r w:rsidR="009F7E8C">
        <w:rPr>
          <w:lang w:val="en-US"/>
        </w:rPr>
        <w:t>MEDPOL</w:t>
      </w:r>
      <w:r>
        <w:rPr>
          <w:lang w:val="en-US"/>
        </w:rPr>
        <w:t>.</w:t>
      </w:r>
      <w:r w:rsidR="00CA0483">
        <w:rPr>
          <w:lang w:val="en-US"/>
        </w:rPr>
        <w:t xml:space="preserve"> </w:t>
      </w:r>
      <w:r w:rsidR="009F7E8C">
        <w:rPr>
          <w:lang w:val="en-US"/>
        </w:rPr>
        <w:t>The hazardous substances reported were grouped into 21 ICES chemical groups before further analysis. Substances were reported in all chemical groups, but for any one matrix and region a maximum of 7 chemical groups were used by more than 50% of countries. This was the case for chemicals in sediments reported to the EIONET, and chemicals in biota reported to OSPAR and the EIONET.</w:t>
      </w:r>
    </w:p>
    <w:p w:rsidR="008B1EC1" w:rsidRDefault="00CA0483" w:rsidP="003B4986">
      <w:pPr>
        <w:jc w:val="both"/>
        <w:rPr>
          <w:lang w:val="en-US"/>
        </w:rPr>
      </w:pPr>
      <w:r>
        <w:rPr>
          <w:lang w:val="en-US"/>
        </w:rPr>
        <w:t xml:space="preserve">Pollution loads of some substances (in particular metals) are also reported. </w:t>
      </w:r>
      <w:r w:rsidR="008B1EC1">
        <w:rPr>
          <w:lang w:val="en-US"/>
        </w:rPr>
        <w:t xml:space="preserve"> </w:t>
      </w:r>
      <w:r w:rsidR="005E02E4">
        <w:rPr>
          <w:lang w:val="en-US"/>
        </w:rPr>
        <w:t>Oil</w:t>
      </w:r>
      <w:r w:rsidR="00906087">
        <w:rPr>
          <w:lang w:val="en-US"/>
        </w:rPr>
        <w:t xml:space="preserve"> </w:t>
      </w:r>
      <w:r w:rsidR="005E02E4">
        <w:rPr>
          <w:lang w:val="en-US"/>
        </w:rPr>
        <w:t xml:space="preserve">spills are not handled in OSPAR, the three other conventions all report on number of spills. </w:t>
      </w:r>
      <w:r w:rsidR="00046EE0">
        <w:rPr>
          <w:lang w:val="en-US"/>
        </w:rPr>
        <w:t>HELCOM</w:t>
      </w:r>
      <w:r w:rsidR="00906087">
        <w:rPr>
          <w:lang w:val="en-US"/>
        </w:rPr>
        <w:t xml:space="preserve"> also operates a programme for monitoring illegal operational discharges. </w:t>
      </w:r>
    </w:p>
    <w:p w:rsidR="00B635F8" w:rsidRDefault="00B635F8" w:rsidP="00B635F8">
      <w:pPr>
        <w:rPr>
          <w:lang w:val="en-US"/>
        </w:rPr>
      </w:pPr>
      <w:r>
        <w:rPr>
          <w:lang w:val="en-US"/>
        </w:rPr>
        <w:t xml:space="preserve">Also for the hazardous substances, it was a clear message from the workshop that the contracting parties of HELCOM and OSPAR were happy with the existing arrangements and did not feel that there was a need to change them. As access to the reported data is unrestricted, there is already corporation with EEA on avoiding double reporting. In the case of the Black Sea actually both Romania and Bulgaria monitor similar groups of chemicals, and use the </w:t>
      </w:r>
      <w:r w:rsidR="00046EE0">
        <w:rPr>
          <w:lang w:val="en-US"/>
        </w:rPr>
        <w:t>EIONET</w:t>
      </w:r>
      <w:r>
        <w:rPr>
          <w:lang w:val="en-US"/>
        </w:rPr>
        <w:t xml:space="preserve"> for reporting some of them. Bulgarian data were not available from the IRIS/SES project, but were available from the EEA.</w:t>
      </w:r>
    </w:p>
    <w:p w:rsidR="009D7B29" w:rsidRDefault="00E7523F" w:rsidP="00B67E63">
      <w:pPr>
        <w:rPr>
          <w:lang w:val="en-US"/>
        </w:rPr>
      </w:pPr>
      <w:r>
        <w:rPr>
          <w:lang w:val="en-US"/>
        </w:rPr>
        <w:t>T</w:t>
      </w:r>
      <w:r w:rsidR="009D7B29">
        <w:rPr>
          <w:lang w:val="en-US"/>
        </w:rPr>
        <w:t xml:space="preserve">able 3: ICES chemical groups of hazardous substances reported by more than 50% of </w:t>
      </w:r>
      <w:r w:rsidR="008876A4">
        <w:rPr>
          <w:lang w:val="en-US"/>
        </w:rPr>
        <w:t xml:space="preserve">EU member </w:t>
      </w:r>
      <w:r w:rsidR="009D7B29">
        <w:rPr>
          <w:lang w:val="en-US"/>
        </w:rPr>
        <w:t>countries in an RSC</w:t>
      </w:r>
      <w:r w:rsidR="008876A4">
        <w:rPr>
          <w:lang w:val="en-US"/>
        </w:rPr>
        <w:t xml:space="preserve"> (or the </w:t>
      </w:r>
      <w:r w:rsidR="00046EE0">
        <w:rPr>
          <w:lang w:val="en-US"/>
        </w:rPr>
        <w:t>EIONET</w:t>
      </w:r>
      <w:r w:rsidR="008876A4">
        <w:rPr>
          <w:lang w:val="en-US"/>
        </w:rPr>
        <w:t>)</w:t>
      </w:r>
      <w:r w:rsidR="009D7B29">
        <w:rPr>
          <w:lang w:val="en-US"/>
        </w:rPr>
        <w:t>, depending on matri</w:t>
      </w:r>
      <w:r w:rsidR="00E84F08">
        <w:rPr>
          <w:lang w:val="en-US"/>
        </w:rPr>
        <w:t>x</w:t>
      </w:r>
    </w:p>
    <w:tbl>
      <w:tblPr>
        <w:tblStyle w:val="MediumShading2-Accent1"/>
        <w:tblW w:w="0" w:type="auto"/>
        <w:tblLayout w:type="fixed"/>
        <w:tblLook w:val="04A0" w:firstRow="1" w:lastRow="0" w:firstColumn="1" w:lastColumn="0" w:noHBand="0" w:noVBand="1"/>
      </w:tblPr>
      <w:tblGrid>
        <w:gridCol w:w="1540"/>
        <w:gridCol w:w="1540"/>
        <w:gridCol w:w="1541"/>
        <w:gridCol w:w="1540"/>
        <w:gridCol w:w="1540"/>
        <w:gridCol w:w="1541"/>
      </w:tblGrid>
      <w:tr w:rsidR="00E84F08" w:rsidTr="005A2617">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540" w:type="dxa"/>
          </w:tcPr>
          <w:p w:rsidR="009D7B29" w:rsidRDefault="009D7B29" w:rsidP="003B4986">
            <w:pPr>
              <w:jc w:val="both"/>
              <w:rPr>
                <w:lang w:val="en-US"/>
              </w:rPr>
            </w:pPr>
          </w:p>
        </w:tc>
        <w:tc>
          <w:tcPr>
            <w:tcW w:w="1540" w:type="dxa"/>
          </w:tcPr>
          <w:p w:rsidR="009D7B29" w:rsidRDefault="00046EE0" w:rsidP="005A2617">
            <w:pPr>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HELCOM</w:t>
            </w:r>
          </w:p>
        </w:tc>
        <w:tc>
          <w:tcPr>
            <w:tcW w:w="1541" w:type="dxa"/>
          </w:tcPr>
          <w:p w:rsidR="009D7B29" w:rsidRDefault="00046EE0" w:rsidP="005A2617">
            <w:pPr>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OSPAR</w:t>
            </w:r>
          </w:p>
        </w:tc>
        <w:tc>
          <w:tcPr>
            <w:tcW w:w="1540" w:type="dxa"/>
          </w:tcPr>
          <w:p w:rsidR="009D7B29" w:rsidRDefault="002508E9" w:rsidP="005A2617">
            <w:pPr>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UNEP/Map</w:t>
            </w:r>
          </w:p>
          <w:p w:rsidR="002508E9" w:rsidRDefault="002508E9" w:rsidP="005A2617">
            <w:pPr>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w:t>
            </w:r>
            <w:proofErr w:type="spellStart"/>
            <w:r>
              <w:rPr>
                <w:lang w:val="en-US"/>
              </w:rPr>
              <w:t>Medpol</w:t>
            </w:r>
            <w:proofErr w:type="spellEnd"/>
            <w:r>
              <w:rPr>
                <w:lang w:val="en-US"/>
              </w:rPr>
              <w:t>)</w:t>
            </w:r>
          </w:p>
        </w:tc>
        <w:tc>
          <w:tcPr>
            <w:tcW w:w="1540" w:type="dxa"/>
          </w:tcPr>
          <w:p w:rsidR="009D7B29" w:rsidRDefault="009D7B29" w:rsidP="005A2617">
            <w:pPr>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Black Sea</w:t>
            </w:r>
          </w:p>
        </w:tc>
        <w:tc>
          <w:tcPr>
            <w:tcW w:w="1541" w:type="dxa"/>
          </w:tcPr>
          <w:p w:rsidR="009D7B29" w:rsidRDefault="00046EE0" w:rsidP="005A2617">
            <w:pPr>
              <w:jc w:val="center"/>
              <w:cnfStyle w:val="100000000000" w:firstRow="1" w:lastRow="0" w:firstColumn="0" w:lastColumn="0" w:oddVBand="0" w:evenVBand="0" w:oddHBand="0" w:evenHBand="0" w:firstRowFirstColumn="0" w:firstRowLastColumn="0" w:lastRowFirstColumn="0" w:lastRowLastColumn="0"/>
              <w:rPr>
                <w:lang w:val="en-US"/>
              </w:rPr>
            </w:pPr>
            <w:r>
              <w:rPr>
                <w:lang w:val="en-US"/>
              </w:rPr>
              <w:t>EIONET</w:t>
            </w:r>
          </w:p>
        </w:tc>
      </w:tr>
      <w:tr w:rsidR="00E84F08" w:rsidTr="005A26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0" w:type="dxa"/>
          </w:tcPr>
          <w:p w:rsidR="009D7B29" w:rsidRDefault="002508E9" w:rsidP="005A2617">
            <w:pPr>
              <w:jc w:val="both"/>
              <w:rPr>
                <w:lang w:val="en-US"/>
              </w:rPr>
            </w:pPr>
            <w:r>
              <w:rPr>
                <w:lang w:val="en-US"/>
              </w:rPr>
              <w:t>W</w:t>
            </w:r>
            <w:r w:rsidR="009D7B29">
              <w:rPr>
                <w:lang w:val="en-US"/>
              </w:rPr>
              <w:t>ater</w:t>
            </w:r>
          </w:p>
        </w:tc>
        <w:tc>
          <w:tcPr>
            <w:tcW w:w="1540" w:type="dxa"/>
          </w:tcPr>
          <w:p w:rsidR="009D7B29" w:rsidRDefault="009D7B29" w:rsidP="005A2617">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none</w:t>
            </w:r>
          </w:p>
        </w:tc>
        <w:tc>
          <w:tcPr>
            <w:tcW w:w="1541" w:type="dxa"/>
          </w:tcPr>
          <w:p w:rsidR="009D7B29" w:rsidRDefault="009D7B29" w:rsidP="005A2617">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none</w:t>
            </w:r>
          </w:p>
        </w:tc>
        <w:tc>
          <w:tcPr>
            <w:tcW w:w="1540" w:type="dxa"/>
          </w:tcPr>
          <w:p w:rsidR="009D7B29" w:rsidRDefault="009D7B29" w:rsidP="005A2617">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none</w:t>
            </w:r>
          </w:p>
        </w:tc>
        <w:tc>
          <w:tcPr>
            <w:tcW w:w="1540" w:type="dxa"/>
          </w:tcPr>
          <w:p w:rsidR="00E84F08" w:rsidRDefault="00E84F08" w:rsidP="005A2617">
            <w:pPr>
              <w:jc w:val="center"/>
              <w:cnfStyle w:val="000000100000" w:firstRow="0" w:lastRow="0" w:firstColumn="0" w:lastColumn="0" w:oddVBand="0" w:evenVBand="0" w:oddHBand="1" w:evenHBand="0" w:firstRowFirstColumn="0" w:firstRowLastColumn="0" w:lastRowFirstColumn="0" w:lastRowLastColumn="0"/>
              <w:rPr>
                <w:lang w:val="en-US"/>
              </w:rPr>
            </w:pPr>
            <w:r w:rsidRPr="009D7B29">
              <w:rPr>
                <w:lang w:val="en-US"/>
              </w:rPr>
              <w:t>Metals and metalloids</w:t>
            </w:r>
          </w:p>
          <w:p w:rsidR="008876A4" w:rsidRDefault="008876A4" w:rsidP="005A2617">
            <w:pPr>
              <w:jc w:val="center"/>
              <w:cnfStyle w:val="000000100000" w:firstRow="0" w:lastRow="0" w:firstColumn="0" w:lastColumn="0" w:oddVBand="0" w:evenVBand="0" w:oddHBand="1" w:evenHBand="0" w:firstRowFirstColumn="0" w:firstRowLastColumn="0" w:lastRowFirstColumn="0" w:lastRowLastColumn="0"/>
              <w:rPr>
                <w:lang w:val="en-US"/>
              </w:rPr>
            </w:pPr>
          </w:p>
          <w:p w:rsidR="00E84F08" w:rsidRDefault="00E84F08" w:rsidP="005A2617">
            <w:pPr>
              <w:jc w:val="center"/>
              <w:cnfStyle w:val="000000100000" w:firstRow="0" w:lastRow="0" w:firstColumn="0" w:lastColumn="0" w:oddVBand="0" w:evenVBand="0" w:oddHBand="1" w:evenHBand="0" w:firstRowFirstColumn="0" w:firstRowLastColumn="0" w:lastRowFirstColumn="0" w:lastRowLastColumn="0"/>
              <w:rPr>
                <w:lang w:val="en-US"/>
              </w:rPr>
            </w:pPr>
            <w:proofErr w:type="spellStart"/>
            <w:r w:rsidRPr="00E84F08">
              <w:rPr>
                <w:lang w:val="en-US"/>
              </w:rPr>
              <w:t>Organo</w:t>
            </w:r>
            <w:proofErr w:type="spellEnd"/>
            <w:r w:rsidR="008876A4">
              <w:rPr>
                <w:lang w:val="en-US"/>
              </w:rPr>
              <w:t>-</w:t>
            </w:r>
            <w:r w:rsidRPr="00E84F08">
              <w:rPr>
                <w:lang w:val="en-US"/>
              </w:rPr>
              <w:t>chlorines</w:t>
            </w:r>
          </w:p>
          <w:p w:rsidR="008876A4" w:rsidRDefault="008876A4" w:rsidP="005A2617">
            <w:pPr>
              <w:jc w:val="center"/>
              <w:cnfStyle w:val="000000100000" w:firstRow="0" w:lastRow="0" w:firstColumn="0" w:lastColumn="0" w:oddVBand="0" w:evenVBand="0" w:oddHBand="1" w:evenHBand="0" w:firstRowFirstColumn="0" w:firstRowLastColumn="0" w:lastRowFirstColumn="0" w:lastRowLastColumn="0"/>
              <w:rPr>
                <w:lang w:val="en-US"/>
              </w:rPr>
            </w:pPr>
          </w:p>
          <w:p w:rsidR="009D7B29" w:rsidRDefault="00E84F08" w:rsidP="005A2617">
            <w:pPr>
              <w:jc w:val="center"/>
              <w:cnfStyle w:val="000000100000" w:firstRow="0" w:lastRow="0" w:firstColumn="0" w:lastColumn="0" w:oddVBand="0" w:evenVBand="0" w:oddHBand="1" w:evenHBand="0" w:firstRowFirstColumn="0" w:firstRowLastColumn="0" w:lastRowFirstColumn="0" w:lastRowLastColumn="0"/>
              <w:rPr>
                <w:lang w:val="en-US"/>
              </w:rPr>
            </w:pPr>
            <w:r w:rsidRPr="00E84F08">
              <w:rPr>
                <w:lang w:val="en-US"/>
              </w:rPr>
              <w:t>PAHs</w:t>
            </w:r>
          </w:p>
        </w:tc>
        <w:tc>
          <w:tcPr>
            <w:tcW w:w="1541" w:type="dxa"/>
          </w:tcPr>
          <w:p w:rsidR="007F35D1" w:rsidRDefault="007F35D1" w:rsidP="005A2617">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proofErr w:type="spellStart"/>
            <w:r>
              <w:rPr>
                <w:rFonts w:ascii="Calibri" w:hAnsi="Calibri"/>
                <w:color w:val="000000"/>
              </w:rPr>
              <w:t>Chlorobi</w:t>
            </w:r>
            <w:proofErr w:type="spellEnd"/>
            <w:r w:rsidR="008876A4">
              <w:rPr>
                <w:rFonts w:ascii="Calibri" w:hAnsi="Calibri"/>
                <w:color w:val="000000"/>
              </w:rPr>
              <w:t>-</w:t>
            </w:r>
            <w:r>
              <w:rPr>
                <w:rFonts w:ascii="Calibri" w:hAnsi="Calibri"/>
                <w:color w:val="000000"/>
              </w:rPr>
              <w:t>phenyls</w:t>
            </w:r>
          </w:p>
          <w:p w:rsidR="008876A4" w:rsidRDefault="008876A4" w:rsidP="005A2617">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p w:rsidR="007F35D1" w:rsidRDefault="007F35D1" w:rsidP="005A2617">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proofErr w:type="spellStart"/>
            <w:r>
              <w:rPr>
                <w:rFonts w:ascii="Calibri" w:hAnsi="Calibri"/>
                <w:color w:val="000000"/>
              </w:rPr>
              <w:t>Cyclodienes</w:t>
            </w:r>
            <w:proofErr w:type="spellEnd"/>
          </w:p>
          <w:p w:rsidR="008876A4" w:rsidRDefault="008876A4" w:rsidP="005A2617">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p w:rsidR="009D7B29" w:rsidRDefault="007F35D1" w:rsidP="005A2617">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DDTs</w:t>
            </w:r>
          </w:p>
          <w:p w:rsidR="008876A4" w:rsidRDefault="008876A4" w:rsidP="005A2617">
            <w:pPr>
              <w:jc w:val="center"/>
              <w:cnfStyle w:val="000000100000" w:firstRow="0" w:lastRow="0" w:firstColumn="0" w:lastColumn="0" w:oddVBand="0" w:evenVBand="0" w:oddHBand="1" w:evenHBand="0" w:firstRowFirstColumn="0" w:firstRowLastColumn="0" w:lastRowFirstColumn="0" w:lastRowLastColumn="0"/>
              <w:rPr>
                <w:lang w:val="en-US"/>
              </w:rPr>
            </w:pPr>
          </w:p>
          <w:p w:rsidR="007F35D1" w:rsidRDefault="007F35D1" w:rsidP="005A2617">
            <w:pPr>
              <w:jc w:val="center"/>
              <w:cnfStyle w:val="000000100000" w:firstRow="0" w:lastRow="0" w:firstColumn="0" w:lastColumn="0" w:oddVBand="0" w:evenVBand="0" w:oddHBand="1" w:evenHBand="0" w:firstRowFirstColumn="0" w:firstRowLastColumn="0" w:lastRowFirstColumn="0" w:lastRowLastColumn="0"/>
              <w:rPr>
                <w:lang w:val="en-US"/>
              </w:rPr>
            </w:pPr>
            <w:r w:rsidRPr="009D7B29">
              <w:rPr>
                <w:lang w:val="en-US"/>
              </w:rPr>
              <w:t>Metals and metalloids</w:t>
            </w:r>
          </w:p>
          <w:p w:rsidR="008876A4" w:rsidRDefault="008876A4" w:rsidP="005A2617">
            <w:pPr>
              <w:jc w:val="center"/>
              <w:cnfStyle w:val="000000100000" w:firstRow="0" w:lastRow="0" w:firstColumn="0" w:lastColumn="0" w:oddVBand="0" w:evenVBand="0" w:oddHBand="1" w:evenHBand="0" w:firstRowFirstColumn="0" w:firstRowLastColumn="0" w:lastRowFirstColumn="0" w:lastRowLastColumn="0"/>
              <w:rPr>
                <w:lang w:val="en-US"/>
              </w:rPr>
            </w:pPr>
          </w:p>
          <w:p w:rsidR="007F35D1" w:rsidRDefault="007F35D1" w:rsidP="005A2617">
            <w:pPr>
              <w:jc w:val="center"/>
              <w:cnfStyle w:val="000000100000" w:firstRow="0" w:lastRow="0" w:firstColumn="0" w:lastColumn="0" w:oddVBand="0" w:evenVBand="0" w:oddHBand="1" w:evenHBand="0" w:firstRowFirstColumn="0" w:firstRowLastColumn="0" w:lastRowFirstColumn="0" w:lastRowLastColumn="0"/>
              <w:rPr>
                <w:lang w:val="en-US"/>
              </w:rPr>
            </w:pPr>
            <w:proofErr w:type="spellStart"/>
            <w:r w:rsidRPr="007F35D1">
              <w:rPr>
                <w:lang w:val="en-US"/>
              </w:rPr>
              <w:t>Organo</w:t>
            </w:r>
            <w:proofErr w:type="spellEnd"/>
            <w:r w:rsidR="008876A4">
              <w:rPr>
                <w:lang w:val="en-US"/>
              </w:rPr>
              <w:t>-</w:t>
            </w:r>
            <w:r w:rsidRPr="007F35D1">
              <w:rPr>
                <w:lang w:val="en-US"/>
              </w:rPr>
              <w:t>chlorines</w:t>
            </w:r>
          </w:p>
          <w:p w:rsidR="008876A4" w:rsidRDefault="008876A4" w:rsidP="005A2617">
            <w:pPr>
              <w:jc w:val="center"/>
              <w:cnfStyle w:val="000000100000" w:firstRow="0" w:lastRow="0" w:firstColumn="0" w:lastColumn="0" w:oddVBand="0" w:evenVBand="0" w:oddHBand="1" w:evenHBand="0" w:firstRowFirstColumn="0" w:firstRowLastColumn="0" w:lastRowFirstColumn="0" w:lastRowLastColumn="0"/>
              <w:rPr>
                <w:lang w:val="en-US"/>
              </w:rPr>
            </w:pPr>
          </w:p>
          <w:p w:rsidR="007F35D1" w:rsidRDefault="007F35D1" w:rsidP="005A2617">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PAHs</w:t>
            </w:r>
          </w:p>
        </w:tc>
      </w:tr>
      <w:tr w:rsidR="007F35D1" w:rsidTr="005A2617">
        <w:tc>
          <w:tcPr>
            <w:cnfStyle w:val="001000000000" w:firstRow="0" w:lastRow="0" w:firstColumn="1" w:lastColumn="0" w:oddVBand="0" w:evenVBand="0" w:oddHBand="0" w:evenHBand="0" w:firstRowFirstColumn="0" w:firstRowLastColumn="0" w:lastRowFirstColumn="0" w:lastRowLastColumn="0"/>
            <w:tcW w:w="1540" w:type="dxa"/>
          </w:tcPr>
          <w:p w:rsidR="009D7B29" w:rsidRDefault="002508E9" w:rsidP="003B4986">
            <w:pPr>
              <w:jc w:val="both"/>
              <w:rPr>
                <w:lang w:val="en-US"/>
              </w:rPr>
            </w:pPr>
            <w:r>
              <w:rPr>
                <w:lang w:val="en-US"/>
              </w:rPr>
              <w:t>S</w:t>
            </w:r>
            <w:r w:rsidR="009D7B29">
              <w:rPr>
                <w:lang w:val="en-US"/>
              </w:rPr>
              <w:t>ediment</w:t>
            </w:r>
          </w:p>
        </w:tc>
        <w:tc>
          <w:tcPr>
            <w:tcW w:w="1540" w:type="dxa"/>
          </w:tcPr>
          <w:p w:rsidR="009D7B29" w:rsidRDefault="009D7B29" w:rsidP="005A2617">
            <w:pPr>
              <w:jc w:val="center"/>
              <w:cnfStyle w:val="000000000000" w:firstRow="0" w:lastRow="0" w:firstColumn="0" w:lastColumn="0" w:oddVBand="0" w:evenVBand="0" w:oddHBand="0" w:evenHBand="0" w:firstRowFirstColumn="0" w:firstRowLastColumn="0" w:lastRowFirstColumn="0" w:lastRowLastColumn="0"/>
              <w:rPr>
                <w:lang w:val="en-US"/>
              </w:rPr>
            </w:pPr>
            <w:r w:rsidRPr="009D7B29">
              <w:rPr>
                <w:lang w:val="en-US"/>
              </w:rPr>
              <w:t>Metals and metalloids</w:t>
            </w:r>
          </w:p>
        </w:tc>
        <w:tc>
          <w:tcPr>
            <w:tcW w:w="1541" w:type="dxa"/>
          </w:tcPr>
          <w:p w:rsidR="009D7B29" w:rsidRDefault="009D7B29" w:rsidP="005A2617">
            <w:pPr>
              <w:jc w:val="center"/>
              <w:cnfStyle w:val="000000000000" w:firstRow="0" w:lastRow="0" w:firstColumn="0" w:lastColumn="0" w:oddVBand="0" w:evenVBand="0" w:oddHBand="0" w:evenHBand="0" w:firstRowFirstColumn="0" w:firstRowLastColumn="0" w:lastRowFirstColumn="0" w:lastRowLastColumn="0"/>
              <w:rPr>
                <w:lang w:val="en-US"/>
              </w:rPr>
            </w:pPr>
            <w:proofErr w:type="spellStart"/>
            <w:r w:rsidRPr="009D7B29">
              <w:rPr>
                <w:lang w:val="en-US"/>
              </w:rPr>
              <w:t>Chlorobi</w:t>
            </w:r>
            <w:proofErr w:type="spellEnd"/>
            <w:r w:rsidR="008876A4">
              <w:rPr>
                <w:lang w:val="en-US"/>
              </w:rPr>
              <w:t>-</w:t>
            </w:r>
            <w:r w:rsidRPr="009D7B29">
              <w:rPr>
                <w:lang w:val="en-US"/>
              </w:rPr>
              <w:t>phenyls</w:t>
            </w:r>
          </w:p>
          <w:p w:rsidR="008876A4" w:rsidRDefault="008876A4" w:rsidP="005A2617">
            <w:pPr>
              <w:jc w:val="center"/>
              <w:cnfStyle w:val="000000000000" w:firstRow="0" w:lastRow="0" w:firstColumn="0" w:lastColumn="0" w:oddVBand="0" w:evenVBand="0" w:oddHBand="0" w:evenHBand="0" w:firstRowFirstColumn="0" w:firstRowLastColumn="0" w:lastRowFirstColumn="0" w:lastRowLastColumn="0"/>
              <w:rPr>
                <w:lang w:val="en-US"/>
              </w:rPr>
            </w:pPr>
          </w:p>
          <w:p w:rsidR="009D7B29" w:rsidRDefault="009D7B29" w:rsidP="005A2617">
            <w:pPr>
              <w:jc w:val="center"/>
              <w:cnfStyle w:val="000000000000" w:firstRow="0" w:lastRow="0" w:firstColumn="0" w:lastColumn="0" w:oddVBand="0" w:evenVBand="0" w:oddHBand="0" w:evenHBand="0" w:firstRowFirstColumn="0" w:firstRowLastColumn="0" w:lastRowFirstColumn="0" w:lastRowLastColumn="0"/>
              <w:rPr>
                <w:lang w:val="en-US"/>
              </w:rPr>
            </w:pPr>
            <w:r w:rsidRPr="009D7B29">
              <w:rPr>
                <w:lang w:val="en-US"/>
              </w:rPr>
              <w:t>Metals and metalloids</w:t>
            </w:r>
          </w:p>
          <w:p w:rsidR="008876A4" w:rsidRDefault="008876A4" w:rsidP="005A2617">
            <w:pPr>
              <w:jc w:val="center"/>
              <w:cnfStyle w:val="000000000000" w:firstRow="0" w:lastRow="0" w:firstColumn="0" w:lastColumn="0" w:oddVBand="0" w:evenVBand="0" w:oddHBand="0" w:evenHBand="0" w:firstRowFirstColumn="0" w:firstRowLastColumn="0" w:lastRowFirstColumn="0" w:lastRowLastColumn="0"/>
              <w:rPr>
                <w:lang w:val="en-US"/>
              </w:rPr>
            </w:pPr>
          </w:p>
          <w:p w:rsidR="009D7B29" w:rsidRDefault="00A853AA" w:rsidP="005A2617">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PAHs</w:t>
            </w:r>
          </w:p>
        </w:tc>
        <w:tc>
          <w:tcPr>
            <w:tcW w:w="1540" w:type="dxa"/>
          </w:tcPr>
          <w:p w:rsidR="00E84F08" w:rsidRDefault="00E84F08" w:rsidP="005A2617">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proofErr w:type="spellStart"/>
            <w:r>
              <w:rPr>
                <w:rFonts w:ascii="Calibri" w:hAnsi="Calibri"/>
                <w:color w:val="000000"/>
              </w:rPr>
              <w:t>Cyclodienes</w:t>
            </w:r>
            <w:proofErr w:type="spellEnd"/>
          </w:p>
          <w:p w:rsidR="008876A4" w:rsidRDefault="008876A4" w:rsidP="005A2617">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p>
          <w:p w:rsidR="009D7B29" w:rsidRDefault="00E84F08" w:rsidP="005A2617">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DDT</w:t>
            </w:r>
            <w:r w:rsidR="000A6E55">
              <w:rPr>
                <w:lang w:val="en-US"/>
              </w:rPr>
              <w:t>s</w:t>
            </w:r>
          </w:p>
          <w:p w:rsidR="008876A4" w:rsidRDefault="008876A4" w:rsidP="005A2617">
            <w:pPr>
              <w:jc w:val="center"/>
              <w:cnfStyle w:val="000000000000" w:firstRow="0" w:lastRow="0" w:firstColumn="0" w:lastColumn="0" w:oddVBand="0" w:evenVBand="0" w:oddHBand="0" w:evenHBand="0" w:firstRowFirstColumn="0" w:firstRowLastColumn="0" w:lastRowFirstColumn="0" w:lastRowLastColumn="0"/>
              <w:rPr>
                <w:lang w:val="en-US"/>
              </w:rPr>
            </w:pPr>
          </w:p>
          <w:p w:rsidR="00E84F08" w:rsidRDefault="00E84F08" w:rsidP="005A2617">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proofErr w:type="spellStart"/>
            <w:r>
              <w:rPr>
                <w:rFonts w:ascii="Calibri" w:hAnsi="Calibri"/>
                <w:color w:val="000000"/>
              </w:rPr>
              <w:t>Hexachloro-cyclohexanes</w:t>
            </w:r>
            <w:proofErr w:type="spellEnd"/>
          </w:p>
          <w:p w:rsidR="00E84F08" w:rsidRDefault="00E84F08" w:rsidP="005A2617">
            <w:pPr>
              <w:jc w:val="center"/>
              <w:cnfStyle w:val="000000000000" w:firstRow="0" w:lastRow="0" w:firstColumn="0" w:lastColumn="0" w:oddVBand="0" w:evenVBand="0" w:oddHBand="0" w:evenHBand="0" w:firstRowFirstColumn="0" w:firstRowLastColumn="0" w:lastRowFirstColumn="0" w:lastRowLastColumn="0"/>
              <w:rPr>
                <w:lang w:val="en-US"/>
              </w:rPr>
            </w:pPr>
          </w:p>
        </w:tc>
        <w:tc>
          <w:tcPr>
            <w:tcW w:w="1540" w:type="dxa"/>
          </w:tcPr>
          <w:p w:rsidR="00E84F08" w:rsidRDefault="00E84F08" w:rsidP="005A2617">
            <w:pPr>
              <w:jc w:val="center"/>
              <w:cnfStyle w:val="000000000000" w:firstRow="0" w:lastRow="0" w:firstColumn="0" w:lastColumn="0" w:oddVBand="0" w:evenVBand="0" w:oddHBand="0" w:evenHBand="0" w:firstRowFirstColumn="0" w:firstRowLastColumn="0" w:lastRowFirstColumn="0" w:lastRowLastColumn="0"/>
              <w:rPr>
                <w:lang w:val="en-US"/>
              </w:rPr>
            </w:pPr>
            <w:r w:rsidRPr="009D7B29">
              <w:rPr>
                <w:lang w:val="en-US"/>
              </w:rPr>
              <w:t>Metals and metalloids</w:t>
            </w:r>
          </w:p>
          <w:p w:rsidR="009D7B29" w:rsidRDefault="009D7B29" w:rsidP="005A2617">
            <w:pPr>
              <w:jc w:val="center"/>
              <w:cnfStyle w:val="000000000000" w:firstRow="0" w:lastRow="0" w:firstColumn="0" w:lastColumn="0" w:oddVBand="0" w:evenVBand="0" w:oddHBand="0" w:evenHBand="0" w:firstRowFirstColumn="0" w:firstRowLastColumn="0" w:lastRowFirstColumn="0" w:lastRowLastColumn="0"/>
              <w:rPr>
                <w:lang w:val="en-US"/>
              </w:rPr>
            </w:pPr>
          </w:p>
        </w:tc>
        <w:tc>
          <w:tcPr>
            <w:tcW w:w="1541" w:type="dxa"/>
          </w:tcPr>
          <w:p w:rsidR="009D7B29" w:rsidRDefault="002508E9" w:rsidP="005A2617">
            <w:pPr>
              <w:jc w:val="center"/>
              <w:cnfStyle w:val="000000000000" w:firstRow="0" w:lastRow="0" w:firstColumn="0" w:lastColumn="0" w:oddVBand="0" w:evenVBand="0" w:oddHBand="0" w:evenHBand="0" w:firstRowFirstColumn="0" w:firstRowLastColumn="0" w:lastRowFirstColumn="0" w:lastRowLastColumn="0"/>
              <w:rPr>
                <w:lang w:val="en-US"/>
              </w:rPr>
            </w:pPr>
            <w:proofErr w:type="spellStart"/>
            <w:r w:rsidRPr="002508E9">
              <w:rPr>
                <w:lang w:val="en-US"/>
              </w:rPr>
              <w:t>Chlorobi</w:t>
            </w:r>
            <w:proofErr w:type="spellEnd"/>
            <w:r w:rsidR="008876A4">
              <w:rPr>
                <w:lang w:val="en-US"/>
              </w:rPr>
              <w:t>-</w:t>
            </w:r>
            <w:r w:rsidRPr="002508E9">
              <w:rPr>
                <w:lang w:val="en-US"/>
              </w:rPr>
              <w:t>phenyls</w:t>
            </w:r>
          </w:p>
          <w:p w:rsidR="008876A4" w:rsidRDefault="008876A4" w:rsidP="005A2617">
            <w:pPr>
              <w:jc w:val="center"/>
              <w:cnfStyle w:val="000000000000" w:firstRow="0" w:lastRow="0" w:firstColumn="0" w:lastColumn="0" w:oddVBand="0" w:evenVBand="0" w:oddHBand="0" w:evenHBand="0" w:firstRowFirstColumn="0" w:firstRowLastColumn="0" w:lastRowFirstColumn="0" w:lastRowLastColumn="0"/>
              <w:rPr>
                <w:lang w:val="en-US"/>
              </w:rPr>
            </w:pPr>
          </w:p>
          <w:p w:rsidR="002508E9" w:rsidRDefault="002508E9" w:rsidP="005A2617">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proofErr w:type="spellStart"/>
            <w:r>
              <w:rPr>
                <w:rFonts w:ascii="Calibri" w:hAnsi="Calibri"/>
                <w:color w:val="000000"/>
              </w:rPr>
              <w:t>Cyclodienes</w:t>
            </w:r>
            <w:proofErr w:type="spellEnd"/>
          </w:p>
          <w:p w:rsidR="008876A4" w:rsidRDefault="008876A4" w:rsidP="005A2617">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p>
          <w:p w:rsidR="002508E9" w:rsidRDefault="002508E9" w:rsidP="005A2617">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DDTs</w:t>
            </w:r>
          </w:p>
          <w:p w:rsidR="008876A4" w:rsidRDefault="008876A4" w:rsidP="005A2617">
            <w:pPr>
              <w:jc w:val="center"/>
              <w:cnfStyle w:val="000000000000" w:firstRow="0" w:lastRow="0" w:firstColumn="0" w:lastColumn="0" w:oddVBand="0" w:evenVBand="0" w:oddHBand="0" w:evenHBand="0" w:firstRowFirstColumn="0" w:firstRowLastColumn="0" w:lastRowFirstColumn="0" w:lastRowLastColumn="0"/>
              <w:rPr>
                <w:lang w:val="en-US"/>
              </w:rPr>
            </w:pPr>
          </w:p>
          <w:p w:rsidR="002508E9" w:rsidRDefault="002508E9" w:rsidP="005A2617">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proofErr w:type="spellStart"/>
            <w:r>
              <w:rPr>
                <w:rFonts w:ascii="Calibri" w:hAnsi="Calibri"/>
                <w:color w:val="000000"/>
              </w:rPr>
              <w:t>Hexachloro-cyclohexanes</w:t>
            </w:r>
            <w:proofErr w:type="spellEnd"/>
          </w:p>
          <w:p w:rsidR="008876A4" w:rsidRDefault="008876A4" w:rsidP="005A2617">
            <w:pPr>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rPr>
            </w:pPr>
          </w:p>
          <w:p w:rsidR="002508E9" w:rsidRDefault="002508E9" w:rsidP="005A2617">
            <w:pPr>
              <w:jc w:val="center"/>
              <w:cnfStyle w:val="000000000000" w:firstRow="0" w:lastRow="0" w:firstColumn="0" w:lastColumn="0" w:oddVBand="0" w:evenVBand="0" w:oddHBand="0" w:evenHBand="0" w:firstRowFirstColumn="0" w:firstRowLastColumn="0" w:lastRowFirstColumn="0" w:lastRowLastColumn="0"/>
              <w:rPr>
                <w:lang w:val="en-US"/>
              </w:rPr>
            </w:pPr>
            <w:r w:rsidRPr="009D7B29">
              <w:rPr>
                <w:lang w:val="en-US"/>
              </w:rPr>
              <w:t>Metals and metalloids</w:t>
            </w:r>
          </w:p>
          <w:p w:rsidR="008876A4" w:rsidRDefault="008876A4" w:rsidP="005A2617">
            <w:pPr>
              <w:jc w:val="center"/>
              <w:cnfStyle w:val="000000000000" w:firstRow="0" w:lastRow="0" w:firstColumn="0" w:lastColumn="0" w:oddVBand="0" w:evenVBand="0" w:oddHBand="0" w:evenHBand="0" w:firstRowFirstColumn="0" w:firstRowLastColumn="0" w:lastRowFirstColumn="0" w:lastRowLastColumn="0"/>
              <w:rPr>
                <w:lang w:val="en-US"/>
              </w:rPr>
            </w:pPr>
          </w:p>
          <w:p w:rsidR="002508E9" w:rsidRDefault="002508E9" w:rsidP="005A2617">
            <w:pPr>
              <w:jc w:val="center"/>
              <w:cnfStyle w:val="000000000000" w:firstRow="0" w:lastRow="0" w:firstColumn="0" w:lastColumn="0" w:oddVBand="0" w:evenVBand="0" w:oddHBand="0" w:evenHBand="0" w:firstRowFirstColumn="0" w:firstRowLastColumn="0" w:lastRowFirstColumn="0" w:lastRowLastColumn="0"/>
              <w:rPr>
                <w:lang w:val="en-US"/>
              </w:rPr>
            </w:pPr>
            <w:proofErr w:type="spellStart"/>
            <w:r>
              <w:rPr>
                <w:lang w:val="en-US"/>
              </w:rPr>
              <w:t>Organo</w:t>
            </w:r>
            <w:proofErr w:type="spellEnd"/>
            <w:r w:rsidR="008876A4">
              <w:rPr>
                <w:lang w:val="en-US"/>
              </w:rPr>
              <w:t>-</w:t>
            </w:r>
            <w:r>
              <w:rPr>
                <w:lang w:val="en-US"/>
              </w:rPr>
              <w:t>chlorine</w:t>
            </w:r>
          </w:p>
          <w:p w:rsidR="008876A4" w:rsidRDefault="008876A4" w:rsidP="005A2617">
            <w:pPr>
              <w:jc w:val="center"/>
              <w:cnfStyle w:val="000000000000" w:firstRow="0" w:lastRow="0" w:firstColumn="0" w:lastColumn="0" w:oddVBand="0" w:evenVBand="0" w:oddHBand="0" w:evenHBand="0" w:firstRowFirstColumn="0" w:firstRowLastColumn="0" w:lastRowFirstColumn="0" w:lastRowLastColumn="0"/>
              <w:rPr>
                <w:lang w:val="en-US"/>
              </w:rPr>
            </w:pPr>
          </w:p>
          <w:p w:rsidR="002508E9" w:rsidRDefault="002508E9" w:rsidP="005A2617">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PAHs</w:t>
            </w:r>
          </w:p>
        </w:tc>
      </w:tr>
      <w:tr w:rsidR="00E84F08" w:rsidTr="005A26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0" w:type="dxa"/>
          </w:tcPr>
          <w:p w:rsidR="009D7B29" w:rsidRDefault="002508E9" w:rsidP="003B4986">
            <w:pPr>
              <w:jc w:val="both"/>
              <w:rPr>
                <w:lang w:val="en-US"/>
              </w:rPr>
            </w:pPr>
            <w:r>
              <w:rPr>
                <w:lang w:val="en-US"/>
              </w:rPr>
              <w:t>B</w:t>
            </w:r>
            <w:r w:rsidR="009D7B29">
              <w:rPr>
                <w:lang w:val="en-US"/>
              </w:rPr>
              <w:t>iota</w:t>
            </w:r>
          </w:p>
        </w:tc>
        <w:tc>
          <w:tcPr>
            <w:tcW w:w="1540" w:type="dxa"/>
          </w:tcPr>
          <w:p w:rsidR="009D7B29" w:rsidRDefault="00A853AA" w:rsidP="005A2617">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DDTs</w:t>
            </w:r>
          </w:p>
          <w:p w:rsidR="008876A4" w:rsidRDefault="008876A4" w:rsidP="005A2617">
            <w:pPr>
              <w:jc w:val="center"/>
              <w:cnfStyle w:val="000000100000" w:firstRow="0" w:lastRow="0" w:firstColumn="0" w:lastColumn="0" w:oddVBand="0" w:evenVBand="0" w:oddHBand="1" w:evenHBand="0" w:firstRowFirstColumn="0" w:firstRowLastColumn="0" w:lastRowFirstColumn="0" w:lastRowLastColumn="0"/>
              <w:rPr>
                <w:lang w:val="en-US"/>
              </w:rPr>
            </w:pPr>
          </w:p>
          <w:p w:rsidR="00A853AA" w:rsidRDefault="00A853AA" w:rsidP="005A2617">
            <w:pPr>
              <w:jc w:val="center"/>
              <w:cnfStyle w:val="000000100000" w:firstRow="0" w:lastRow="0" w:firstColumn="0" w:lastColumn="0" w:oddVBand="0" w:evenVBand="0" w:oddHBand="1" w:evenHBand="0" w:firstRowFirstColumn="0" w:firstRowLastColumn="0" w:lastRowFirstColumn="0" w:lastRowLastColumn="0"/>
              <w:rPr>
                <w:lang w:val="en-US"/>
              </w:rPr>
            </w:pPr>
            <w:proofErr w:type="spellStart"/>
            <w:r w:rsidRPr="00A853AA">
              <w:rPr>
                <w:lang w:val="en-US"/>
              </w:rPr>
              <w:t>Hexachloro</w:t>
            </w:r>
            <w:r>
              <w:rPr>
                <w:lang w:val="en-US"/>
              </w:rPr>
              <w:t>-</w:t>
            </w:r>
            <w:r w:rsidRPr="00A853AA">
              <w:rPr>
                <w:lang w:val="en-US"/>
              </w:rPr>
              <w:t>cyclohexanes</w:t>
            </w:r>
            <w:proofErr w:type="spellEnd"/>
          </w:p>
          <w:p w:rsidR="008876A4" w:rsidRDefault="008876A4" w:rsidP="005A2617">
            <w:pPr>
              <w:jc w:val="center"/>
              <w:cnfStyle w:val="000000100000" w:firstRow="0" w:lastRow="0" w:firstColumn="0" w:lastColumn="0" w:oddVBand="0" w:evenVBand="0" w:oddHBand="1" w:evenHBand="0" w:firstRowFirstColumn="0" w:firstRowLastColumn="0" w:lastRowFirstColumn="0" w:lastRowLastColumn="0"/>
              <w:rPr>
                <w:lang w:val="en-US"/>
              </w:rPr>
            </w:pPr>
          </w:p>
          <w:p w:rsidR="00A853AA" w:rsidRDefault="00A853AA" w:rsidP="005A2617">
            <w:pPr>
              <w:jc w:val="center"/>
              <w:cnfStyle w:val="000000100000" w:firstRow="0" w:lastRow="0" w:firstColumn="0" w:lastColumn="0" w:oddVBand="0" w:evenVBand="0" w:oddHBand="1" w:evenHBand="0" w:firstRowFirstColumn="0" w:firstRowLastColumn="0" w:lastRowFirstColumn="0" w:lastRowLastColumn="0"/>
              <w:rPr>
                <w:lang w:val="en-US"/>
              </w:rPr>
            </w:pPr>
            <w:r w:rsidRPr="00A853AA">
              <w:rPr>
                <w:lang w:val="en-US"/>
              </w:rPr>
              <w:t>Metals and metalloids</w:t>
            </w:r>
          </w:p>
          <w:p w:rsidR="008876A4" w:rsidRDefault="008876A4" w:rsidP="005A2617">
            <w:pPr>
              <w:jc w:val="center"/>
              <w:cnfStyle w:val="000000100000" w:firstRow="0" w:lastRow="0" w:firstColumn="0" w:lastColumn="0" w:oddVBand="0" w:evenVBand="0" w:oddHBand="1" w:evenHBand="0" w:firstRowFirstColumn="0" w:firstRowLastColumn="0" w:lastRowFirstColumn="0" w:lastRowLastColumn="0"/>
              <w:rPr>
                <w:lang w:val="en-US"/>
              </w:rPr>
            </w:pPr>
          </w:p>
          <w:p w:rsidR="00A853AA" w:rsidRDefault="00A853AA" w:rsidP="005A2617">
            <w:pPr>
              <w:jc w:val="center"/>
              <w:cnfStyle w:val="000000100000" w:firstRow="0" w:lastRow="0" w:firstColumn="0" w:lastColumn="0" w:oddVBand="0" w:evenVBand="0" w:oddHBand="1" w:evenHBand="0" w:firstRowFirstColumn="0" w:firstRowLastColumn="0" w:lastRowFirstColumn="0" w:lastRowLastColumn="0"/>
              <w:rPr>
                <w:lang w:val="en-US"/>
              </w:rPr>
            </w:pPr>
            <w:proofErr w:type="spellStart"/>
            <w:r w:rsidRPr="00A853AA">
              <w:rPr>
                <w:lang w:val="en-US"/>
              </w:rPr>
              <w:t>Organo</w:t>
            </w:r>
            <w:proofErr w:type="spellEnd"/>
            <w:r w:rsidR="008876A4">
              <w:rPr>
                <w:lang w:val="en-US"/>
              </w:rPr>
              <w:t>-</w:t>
            </w:r>
            <w:r w:rsidRPr="00A853AA">
              <w:rPr>
                <w:lang w:val="en-US"/>
              </w:rPr>
              <w:t>chlorines</w:t>
            </w:r>
          </w:p>
        </w:tc>
        <w:tc>
          <w:tcPr>
            <w:tcW w:w="1541" w:type="dxa"/>
          </w:tcPr>
          <w:p w:rsidR="009D7B29" w:rsidRDefault="00A853AA" w:rsidP="005A2617">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DDTs</w:t>
            </w:r>
          </w:p>
          <w:p w:rsidR="008876A4" w:rsidRDefault="008876A4" w:rsidP="005A2617">
            <w:pPr>
              <w:jc w:val="center"/>
              <w:cnfStyle w:val="000000100000" w:firstRow="0" w:lastRow="0" w:firstColumn="0" w:lastColumn="0" w:oddVBand="0" w:evenVBand="0" w:oddHBand="1" w:evenHBand="0" w:firstRowFirstColumn="0" w:firstRowLastColumn="0" w:lastRowFirstColumn="0" w:lastRowLastColumn="0"/>
              <w:rPr>
                <w:lang w:val="en-US"/>
              </w:rPr>
            </w:pPr>
          </w:p>
          <w:p w:rsidR="00A853AA" w:rsidRDefault="00A853AA" w:rsidP="005A2617">
            <w:pPr>
              <w:jc w:val="center"/>
              <w:cnfStyle w:val="000000100000" w:firstRow="0" w:lastRow="0" w:firstColumn="0" w:lastColumn="0" w:oddVBand="0" w:evenVBand="0" w:oddHBand="1" w:evenHBand="0" w:firstRowFirstColumn="0" w:firstRowLastColumn="0" w:lastRowFirstColumn="0" w:lastRowLastColumn="0"/>
              <w:rPr>
                <w:lang w:val="en-US"/>
              </w:rPr>
            </w:pPr>
            <w:proofErr w:type="spellStart"/>
            <w:r w:rsidRPr="00A853AA">
              <w:rPr>
                <w:lang w:val="en-US"/>
              </w:rPr>
              <w:t>Hexachloro</w:t>
            </w:r>
            <w:r>
              <w:rPr>
                <w:lang w:val="en-US"/>
              </w:rPr>
              <w:t>-</w:t>
            </w:r>
            <w:r w:rsidRPr="00A853AA">
              <w:rPr>
                <w:lang w:val="en-US"/>
              </w:rPr>
              <w:t>cyclohexanes</w:t>
            </w:r>
            <w:proofErr w:type="spellEnd"/>
          </w:p>
          <w:p w:rsidR="008876A4" w:rsidRDefault="008876A4" w:rsidP="005A2617">
            <w:pPr>
              <w:jc w:val="center"/>
              <w:cnfStyle w:val="000000100000" w:firstRow="0" w:lastRow="0" w:firstColumn="0" w:lastColumn="0" w:oddVBand="0" w:evenVBand="0" w:oddHBand="1" w:evenHBand="0" w:firstRowFirstColumn="0" w:firstRowLastColumn="0" w:lastRowFirstColumn="0" w:lastRowLastColumn="0"/>
              <w:rPr>
                <w:lang w:val="en-US"/>
              </w:rPr>
            </w:pPr>
          </w:p>
          <w:p w:rsidR="00A853AA" w:rsidRDefault="00A853AA" w:rsidP="005A2617">
            <w:pPr>
              <w:jc w:val="center"/>
              <w:cnfStyle w:val="000000100000" w:firstRow="0" w:lastRow="0" w:firstColumn="0" w:lastColumn="0" w:oddVBand="0" w:evenVBand="0" w:oddHBand="1" w:evenHBand="0" w:firstRowFirstColumn="0" w:firstRowLastColumn="0" w:lastRowFirstColumn="0" w:lastRowLastColumn="0"/>
              <w:rPr>
                <w:lang w:val="en-US"/>
              </w:rPr>
            </w:pPr>
            <w:r w:rsidRPr="00A853AA">
              <w:rPr>
                <w:lang w:val="en-US"/>
              </w:rPr>
              <w:t>Metals and metalloids</w:t>
            </w:r>
          </w:p>
          <w:p w:rsidR="008876A4" w:rsidRDefault="008876A4" w:rsidP="005A2617">
            <w:pPr>
              <w:jc w:val="center"/>
              <w:cnfStyle w:val="000000100000" w:firstRow="0" w:lastRow="0" w:firstColumn="0" w:lastColumn="0" w:oddVBand="0" w:evenVBand="0" w:oddHBand="1" w:evenHBand="0" w:firstRowFirstColumn="0" w:firstRowLastColumn="0" w:lastRowFirstColumn="0" w:lastRowLastColumn="0"/>
              <w:rPr>
                <w:lang w:val="en-US"/>
              </w:rPr>
            </w:pPr>
          </w:p>
          <w:p w:rsidR="00A853AA" w:rsidRDefault="00A853AA" w:rsidP="005A2617">
            <w:pPr>
              <w:jc w:val="center"/>
              <w:cnfStyle w:val="000000100000" w:firstRow="0" w:lastRow="0" w:firstColumn="0" w:lastColumn="0" w:oddVBand="0" w:evenVBand="0" w:oddHBand="1" w:evenHBand="0" w:firstRowFirstColumn="0" w:firstRowLastColumn="0" w:lastRowFirstColumn="0" w:lastRowLastColumn="0"/>
              <w:rPr>
                <w:lang w:val="en-US"/>
              </w:rPr>
            </w:pPr>
            <w:proofErr w:type="spellStart"/>
            <w:r w:rsidRPr="00A853AA">
              <w:rPr>
                <w:lang w:val="en-US"/>
              </w:rPr>
              <w:t>Organo</w:t>
            </w:r>
            <w:proofErr w:type="spellEnd"/>
            <w:r w:rsidR="008876A4">
              <w:rPr>
                <w:lang w:val="en-US"/>
              </w:rPr>
              <w:t>-</w:t>
            </w:r>
            <w:r w:rsidRPr="00A853AA">
              <w:rPr>
                <w:lang w:val="en-US"/>
              </w:rPr>
              <w:t>bromines</w:t>
            </w:r>
          </w:p>
          <w:p w:rsidR="008876A4" w:rsidRDefault="008876A4" w:rsidP="005A2617">
            <w:pPr>
              <w:jc w:val="center"/>
              <w:cnfStyle w:val="000000100000" w:firstRow="0" w:lastRow="0" w:firstColumn="0" w:lastColumn="0" w:oddVBand="0" w:evenVBand="0" w:oddHBand="1" w:evenHBand="0" w:firstRowFirstColumn="0" w:firstRowLastColumn="0" w:lastRowFirstColumn="0" w:lastRowLastColumn="0"/>
              <w:rPr>
                <w:lang w:val="en-US"/>
              </w:rPr>
            </w:pPr>
          </w:p>
          <w:p w:rsidR="00A853AA" w:rsidRDefault="00A853AA" w:rsidP="005A2617">
            <w:pPr>
              <w:jc w:val="center"/>
              <w:cnfStyle w:val="000000100000" w:firstRow="0" w:lastRow="0" w:firstColumn="0" w:lastColumn="0" w:oddVBand="0" w:evenVBand="0" w:oddHBand="1" w:evenHBand="0" w:firstRowFirstColumn="0" w:firstRowLastColumn="0" w:lastRowFirstColumn="0" w:lastRowLastColumn="0"/>
              <w:rPr>
                <w:lang w:val="en-US"/>
              </w:rPr>
            </w:pPr>
            <w:proofErr w:type="spellStart"/>
            <w:r w:rsidRPr="00A853AA">
              <w:rPr>
                <w:lang w:val="en-US"/>
              </w:rPr>
              <w:t>Organo</w:t>
            </w:r>
            <w:proofErr w:type="spellEnd"/>
            <w:r w:rsidR="008876A4">
              <w:rPr>
                <w:lang w:val="en-US"/>
              </w:rPr>
              <w:t>-</w:t>
            </w:r>
            <w:r w:rsidRPr="00A853AA">
              <w:rPr>
                <w:lang w:val="en-US"/>
              </w:rPr>
              <w:t>chlorines</w:t>
            </w:r>
          </w:p>
          <w:p w:rsidR="008876A4" w:rsidRDefault="008876A4" w:rsidP="005A2617">
            <w:pPr>
              <w:jc w:val="center"/>
              <w:cnfStyle w:val="000000100000" w:firstRow="0" w:lastRow="0" w:firstColumn="0" w:lastColumn="0" w:oddVBand="0" w:evenVBand="0" w:oddHBand="1" w:evenHBand="0" w:firstRowFirstColumn="0" w:firstRowLastColumn="0" w:lastRowFirstColumn="0" w:lastRowLastColumn="0"/>
              <w:rPr>
                <w:lang w:val="en-US"/>
              </w:rPr>
            </w:pPr>
          </w:p>
          <w:p w:rsidR="00A853AA" w:rsidRDefault="00A853AA" w:rsidP="005A2617">
            <w:pPr>
              <w:jc w:val="center"/>
              <w:cnfStyle w:val="000000100000" w:firstRow="0" w:lastRow="0" w:firstColumn="0" w:lastColumn="0" w:oddVBand="0" w:evenVBand="0" w:oddHBand="1" w:evenHBand="0" w:firstRowFirstColumn="0" w:firstRowLastColumn="0" w:lastRowFirstColumn="0" w:lastRowLastColumn="0"/>
              <w:rPr>
                <w:lang w:val="en-US"/>
              </w:rPr>
            </w:pPr>
            <w:proofErr w:type="spellStart"/>
            <w:r w:rsidRPr="00A853AA">
              <w:rPr>
                <w:lang w:val="en-US"/>
              </w:rPr>
              <w:t>Organo</w:t>
            </w:r>
            <w:proofErr w:type="spellEnd"/>
            <w:r w:rsidRPr="00A853AA">
              <w:rPr>
                <w:lang w:val="en-US"/>
              </w:rPr>
              <w:t>-metallic compounds</w:t>
            </w:r>
          </w:p>
          <w:p w:rsidR="008876A4" w:rsidRDefault="008876A4" w:rsidP="005A2617">
            <w:pPr>
              <w:jc w:val="center"/>
              <w:cnfStyle w:val="000000100000" w:firstRow="0" w:lastRow="0" w:firstColumn="0" w:lastColumn="0" w:oddVBand="0" w:evenVBand="0" w:oddHBand="1" w:evenHBand="0" w:firstRowFirstColumn="0" w:firstRowLastColumn="0" w:lastRowFirstColumn="0" w:lastRowLastColumn="0"/>
              <w:rPr>
                <w:lang w:val="en-US"/>
              </w:rPr>
            </w:pPr>
          </w:p>
          <w:p w:rsidR="00A853AA" w:rsidRDefault="00A853AA" w:rsidP="005A2617">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PAHs</w:t>
            </w:r>
          </w:p>
        </w:tc>
        <w:tc>
          <w:tcPr>
            <w:tcW w:w="1540" w:type="dxa"/>
          </w:tcPr>
          <w:p w:rsidR="007F35D1" w:rsidRDefault="007F35D1" w:rsidP="005A2617">
            <w:pPr>
              <w:jc w:val="center"/>
              <w:cnfStyle w:val="000000100000" w:firstRow="0" w:lastRow="0" w:firstColumn="0" w:lastColumn="0" w:oddVBand="0" w:evenVBand="0" w:oddHBand="1" w:evenHBand="0" w:firstRowFirstColumn="0" w:firstRowLastColumn="0" w:lastRowFirstColumn="0" w:lastRowLastColumn="0"/>
              <w:rPr>
                <w:lang w:val="en-US"/>
              </w:rPr>
            </w:pPr>
            <w:proofErr w:type="spellStart"/>
            <w:r w:rsidRPr="007F35D1">
              <w:rPr>
                <w:lang w:val="en-US"/>
              </w:rPr>
              <w:t>Hexachloro</w:t>
            </w:r>
            <w:r>
              <w:rPr>
                <w:lang w:val="en-US"/>
              </w:rPr>
              <w:t>-</w:t>
            </w:r>
            <w:r w:rsidRPr="007F35D1">
              <w:rPr>
                <w:lang w:val="en-US"/>
              </w:rPr>
              <w:t>cyclohexanes</w:t>
            </w:r>
            <w:proofErr w:type="spellEnd"/>
          </w:p>
          <w:p w:rsidR="008876A4" w:rsidRPr="007F35D1" w:rsidRDefault="008876A4" w:rsidP="005A2617">
            <w:pPr>
              <w:jc w:val="center"/>
              <w:cnfStyle w:val="000000100000" w:firstRow="0" w:lastRow="0" w:firstColumn="0" w:lastColumn="0" w:oddVBand="0" w:evenVBand="0" w:oddHBand="1" w:evenHBand="0" w:firstRowFirstColumn="0" w:firstRowLastColumn="0" w:lastRowFirstColumn="0" w:lastRowLastColumn="0"/>
              <w:rPr>
                <w:lang w:val="en-US"/>
              </w:rPr>
            </w:pPr>
          </w:p>
          <w:p w:rsidR="009D7B29" w:rsidRDefault="007F35D1" w:rsidP="005A2617">
            <w:pPr>
              <w:jc w:val="center"/>
              <w:cnfStyle w:val="000000100000" w:firstRow="0" w:lastRow="0" w:firstColumn="0" w:lastColumn="0" w:oddVBand="0" w:evenVBand="0" w:oddHBand="1" w:evenHBand="0" w:firstRowFirstColumn="0" w:firstRowLastColumn="0" w:lastRowFirstColumn="0" w:lastRowLastColumn="0"/>
              <w:rPr>
                <w:lang w:val="en-US"/>
              </w:rPr>
            </w:pPr>
            <w:r w:rsidRPr="007F35D1">
              <w:rPr>
                <w:lang w:val="en-US"/>
              </w:rPr>
              <w:t>Metals and metalloids</w:t>
            </w:r>
          </w:p>
        </w:tc>
        <w:tc>
          <w:tcPr>
            <w:tcW w:w="1540" w:type="dxa"/>
          </w:tcPr>
          <w:p w:rsidR="009D7B29" w:rsidRDefault="000A6E55" w:rsidP="005A2617">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N</w:t>
            </w:r>
            <w:r w:rsidR="007F35D1">
              <w:rPr>
                <w:lang w:val="en-US"/>
              </w:rPr>
              <w:t>one</w:t>
            </w:r>
          </w:p>
        </w:tc>
        <w:tc>
          <w:tcPr>
            <w:tcW w:w="1541" w:type="dxa"/>
          </w:tcPr>
          <w:p w:rsidR="002508E9" w:rsidRDefault="002508E9" w:rsidP="005A2617">
            <w:pPr>
              <w:jc w:val="center"/>
              <w:cnfStyle w:val="000000100000" w:firstRow="0" w:lastRow="0" w:firstColumn="0" w:lastColumn="0" w:oddVBand="0" w:evenVBand="0" w:oddHBand="1" w:evenHBand="0" w:firstRowFirstColumn="0" w:firstRowLastColumn="0" w:lastRowFirstColumn="0" w:lastRowLastColumn="0"/>
              <w:rPr>
                <w:lang w:val="en-US"/>
              </w:rPr>
            </w:pPr>
            <w:proofErr w:type="spellStart"/>
            <w:r w:rsidRPr="002508E9">
              <w:rPr>
                <w:lang w:val="en-US"/>
              </w:rPr>
              <w:t>Chlorobi</w:t>
            </w:r>
            <w:proofErr w:type="spellEnd"/>
            <w:r w:rsidR="008876A4">
              <w:rPr>
                <w:lang w:val="en-US"/>
              </w:rPr>
              <w:t>-</w:t>
            </w:r>
            <w:r w:rsidRPr="002508E9">
              <w:rPr>
                <w:lang w:val="en-US"/>
              </w:rPr>
              <w:t>phenyls</w:t>
            </w:r>
          </w:p>
          <w:p w:rsidR="008876A4" w:rsidRDefault="008876A4" w:rsidP="005A2617">
            <w:pPr>
              <w:jc w:val="center"/>
              <w:cnfStyle w:val="000000100000" w:firstRow="0" w:lastRow="0" w:firstColumn="0" w:lastColumn="0" w:oddVBand="0" w:evenVBand="0" w:oddHBand="1" w:evenHBand="0" w:firstRowFirstColumn="0" w:firstRowLastColumn="0" w:lastRowFirstColumn="0" w:lastRowLastColumn="0"/>
              <w:rPr>
                <w:lang w:val="en-US"/>
              </w:rPr>
            </w:pPr>
          </w:p>
          <w:p w:rsidR="002508E9" w:rsidRDefault="002508E9" w:rsidP="005A2617">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proofErr w:type="spellStart"/>
            <w:r>
              <w:rPr>
                <w:rFonts w:ascii="Calibri" w:hAnsi="Calibri"/>
                <w:color w:val="000000"/>
              </w:rPr>
              <w:t>Cyclodienes</w:t>
            </w:r>
            <w:proofErr w:type="spellEnd"/>
          </w:p>
          <w:p w:rsidR="008876A4" w:rsidRDefault="008876A4" w:rsidP="005A2617">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p w:rsidR="002508E9" w:rsidRDefault="002508E9" w:rsidP="005A2617">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DDTs</w:t>
            </w:r>
          </w:p>
          <w:p w:rsidR="008876A4" w:rsidRDefault="008876A4" w:rsidP="005A2617">
            <w:pPr>
              <w:jc w:val="center"/>
              <w:cnfStyle w:val="000000100000" w:firstRow="0" w:lastRow="0" w:firstColumn="0" w:lastColumn="0" w:oddVBand="0" w:evenVBand="0" w:oddHBand="1" w:evenHBand="0" w:firstRowFirstColumn="0" w:firstRowLastColumn="0" w:lastRowFirstColumn="0" w:lastRowLastColumn="0"/>
              <w:rPr>
                <w:lang w:val="en-US"/>
              </w:rPr>
            </w:pPr>
          </w:p>
          <w:p w:rsidR="002508E9" w:rsidRDefault="002508E9" w:rsidP="005A2617">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proofErr w:type="spellStart"/>
            <w:r>
              <w:rPr>
                <w:rFonts w:ascii="Calibri" w:hAnsi="Calibri"/>
                <w:color w:val="000000"/>
              </w:rPr>
              <w:t>Hexachloro-cyclohexanes</w:t>
            </w:r>
            <w:proofErr w:type="spellEnd"/>
          </w:p>
          <w:p w:rsidR="008876A4" w:rsidRDefault="008876A4" w:rsidP="005A2617">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p>
          <w:p w:rsidR="002508E9" w:rsidRDefault="002508E9" w:rsidP="005A2617">
            <w:pPr>
              <w:jc w:val="center"/>
              <w:cnfStyle w:val="000000100000" w:firstRow="0" w:lastRow="0" w:firstColumn="0" w:lastColumn="0" w:oddVBand="0" w:evenVBand="0" w:oddHBand="1" w:evenHBand="0" w:firstRowFirstColumn="0" w:firstRowLastColumn="0" w:lastRowFirstColumn="0" w:lastRowLastColumn="0"/>
              <w:rPr>
                <w:lang w:val="en-US"/>
              </w:rPr>
            </w:pPr>
            <w:r w:rsidRPr="009D7B29">
              <w:rPr>
                <w:lang w:val="en-US"/>
              </w:rPr>
              <w:t>Metals and metalloids</w:t>
            </w:r>
          </w:p>
          <w:p w:rsidR="008876A4" w:rsidRDefault="008876A4" w:rsidP="005A2617">
            <w:pPr>
              <w:jc w:val="center"/>
              <w:cnfStyle w:val="000000100000" w:firstRow="0" w:lastRow="0" w:firstColumn="0" w:lastColumn="0" w:oddVBand="0" w:evenVBand="0" w:oddHBand="1" w:evenHBand="0" w:firstRowFirstColumn="0" w:firstRowLastColumn="0" w:lastRowFirstColumn="0" w:lastRowLastColumn="0"/>
              <w:rPr>
                <w:lang w:val="en-US"/>
              </w:rPr>
            </w:pPr>
          </w:p>
          <w:p w:rsidR="002508E9" w:rsidRDefault="002508E9" w:rsidP="005A2617">
            <w:pPr>
              <w:jc w:val="center"/>
              <w:cnfStyle w:val="000000100000" w:firstRow="0" w:lastRow="0" w:firstColumn="0" w:lastColumn="0" w:oddVBand="0" w:evenVBand="0" w:oddHBand="1" w:evenHBand="0" w:firstRowFirstColumn="0" w:firstRowLastColumn="0" w:lastRowFirstColumn="0" w:lastRowLastColumn="0"/>
              <w:rPr>
                <w:lang w:val="en-US"/>
              </w:rPr>
            </w:pPr>
            <w:proofErr w:type="spellStart"/>
            <w:r w:rsidRPr="00A853AA">
              <w:rPr>
                <w:lang w:val="en-US"/>
              </w:rPr>
              <w:t>Organo</w:t>
            </w:r>
            <w:proofErr w:type="spellEnd"/>
            <w:r w:rsidR="008876A4">
              <w:rPr>
                <w:lang w:val="en-US"/>
              </w:rPr>
              <w:t>-</w:t>
            </w:r>
            <w:r w:rsidRPr="00A853AA">
              <w:rPr>
                <w:lang w:val="en-US"/>
              </w:rPr>
              <w:t>chlorines</w:t>
            </w:r>
          </w:p>
          <w:p w:rsidR="008876A4" w:rsidRDefault="008876A4" w:rsidP="005A2617">
            <w:pPr>
              <w:jc w:val="center"/>
              <w:cnfStyle w:val="000000100000" w:firstRow="0" w:lastRow="0" w:firstColumn="0" w:lastColumn="0" w:oddVBand="0" w:evenVBand="0" w:oddHBand="1" w:evenHBand="0" w:firstRowFirstColumn="0" w:firstRowLastColumn="0" w:lastRowFirstColumn="0" w:lastRowLastColumn="0"/>
              <w:rPr>
                <w:lang w:val="en-US"/>
              </w:rPr>
            </w:pPr>
          </w:p>
          <w:p w:rsidR="009D7B29" w:rsidRDefault="002508E9" w:rsidP="005A2617">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PAHs</w:t>
            </w:r>
          </w:p>
        </w:tc>
      </w:tr>
      <w:tr w:rsidR="007F35D1" w:rsidTr="005A2617">
        <w:tc>
          <w:tcPr>
            <w:cnfStyle w:val="001000000000" w:firstRow="0" w:lastRow="0" w:firstColumn="1" w:lastColumn="0" w:oddVBand="0" w:evenVBand="0" w:oddHBand="0" w:evenHBand="0" w:firstRowFirstColumn="0" w:firstRowLastColumn="0" w:lastRowFirstColumn="0" w:lastRowLastColumn="0"/>
            <w:tcW w:w="1540" w:type="dxa"/>
          </w:tcPr>
          <w:p w:rsidR="009D7B29" w:rsidRDefault="005E02E4" w:rsidP="003B4986">
            <w:pPr>
              <w:jc w:val="both"/>
              <w:rPr>
                <w:lang w:val="en-US"/>
              </w:rPr>
            </w:pPr>
            <w:r>
              <w:rPr>
                <w:lang w:val="en-US"/>
              </w:rPr>
              <w:t>Loads</w:t>
            </w:r>
          </w:p>
        </w:tc>
        <w:tc>
          <w:tcPr>
            <w:tcW w:w="1540" w:type="dxa"/>
          </w:tcPr>
          <w:p w:rsidR="009D7B29" w:rsidRDefault="009D7B29" w:rsidP="005A2617">
            <w:pPr>
              <w:jc w:val="center"/>
              <w:cnfStyle w:val="000000000000" w:firstRow="0" w:lastRow="0" w:firstColumn="0" w:lastColumn="0" w:oddVBand="0" w:evenVBand="0" w:oddHBand="0" w:evenHBand="0" w:firstRowFirstColumn="0" w:firstRowLastColumn="0" w:lastRowFirstColumn="0" w:lastRowLastColumn="0"/>
              <w:rPr>
                <w:lang w:val="en-US"/>
              </w:rPr>
            </w:pPr>
          </w:p>
        </w:tc>
        <w:tc>
          <w:tcPr>
            <w:tcW w:w="1541" w:type="dxa"/>
          </w:tcPr>
          <w:p w:rsidR="009D7B29" w:rsidRDefault="005E02E4" w:rsidP="005A2617">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Metals, HCH and PCBs</w:t>
            </w:r>
          </w:p>
        </w:tc>
        <w:tc>
          <w:tcPr>
            <w:tcW w:w="1540" w:type="dxa"/>
          </w:tcPr>
          <w:p w:rsidR="009D7B29" w:rsidRPr="00B67E63" w:rsidRDefault="005E02E4" w:rsidP="005A2617">
            <w:pPr>
              <w:jc w:val="center"/>
              <w:cnfStyle w:val="000000000000" w:firstRow="0" w:lastRow="0" w:firstColumn="0" w:lastColumn="0" w:oddVBand="0" w:evenVBand="0" w:oddHBand="0" w:evenHBand="0" w:firstRowFirstColumn="0" w:firstRowLastColumn="0" w:lastRowFirstColumn="0" w:lastRowLastColumn="0"/>
              <w:rPr>
                <w:lang w:val="fr-FR"/>
              </w:rPr>
            </w:pPr>
            <w:r w:rsidRPr="00B67E63">
              <w:rPr>
                <w:lang w:val="fr-FR"/>
              </w:rPr>
              <w:t>Multiple substances in point sources</w:t>
            </w:r>
          </w:p>
        </w:tc>
        <w:tc>
          <w:tcPr>
            <w:tcW w:w="1540" w:type="dxa"/>
          </w:tcPr>
          <w:p w:rsidR="009D7B29" w:rsidRPr="00B67E63" w:rsidRDefault="009D7B29" w:rsidP="005A2617">
            <w:pPr>
              <w:jc w:val="center"/>
              <w:cnfStyle w:val="000000000000" w:firstRow="0" w:lastRow="0" w:firstColumn="0" w:lastColumn="0" w:oddVBand="0" w:evenVBand="0" w:oddHBand="0" w:evenHBand="0" w:firstRowFirstColumn="0" w:firstRowLastColumn="0" w:lastRowFirstColumn="0" w:lastRowLastColumn="0"/>
              <w:rPr>
                <w:lang w:val="fr-FR"/>
              </w:rPr>
            </w:pPr>
          </w:p>
        </w:tc>
        <w:tc>
          <w:tcPr>
            <w:tcW w:w="1541" w:type="dxa"/>
          </w:tcPr>
          <w:p w:rsidR="009D7B29" w:rsidRDefault="005E02E4" w:rsidP="005A2617">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None</w:t>
            </w:r>
          </w:p>
        </w:tc>
      </w:tr>
      <w:tr w:rsidR="008876A4" w:rsidTr="005A26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0" w:type="dxa"/>
          </w:tcPr>
          <w:p w:rsidR="008876A4" w:rsidRDefault="008876A4" w:rsidP="003B4986">
            <w:pPr>
              <w:jc w:val="both"/>
              <w:rPr>
                <w:lang w:val="en-US"/>
              </w:rPr>
            </w:pPr>
            <w:r>
              <w:rPr>
                <w:lang w:val="en-US"/>
              </w:rPr>
              <w:t>Access rights</w:t>
            </w:r>
          </w:p>
        </w:tc>
        <w:tc>
          <w:tcPr>
            <w:tcW w:w="1540" w:type="dxa"/>
          </w:tcPr>
          <w:p w:rsidR="008876A4" w:rsidRDefault="008876A4" w:rsidP="005A2617">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No restrictions</w:t>
            </w:r>
          </w:p>
        </w:tc>
        <w:tc>
          <w:tcPr>
            <w:tcW w:w="1541" w:type="dxa"/>
          </w:tcPr>
          <w:p w:rsidR="008876A4" w:rsidRDefault="008876A4" w:rsidP="005A2617">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No restriction</w:t>
            </w:r>
          </w:p>
        </w:tc>
        <w:tc>
          <w:tcPr>
            <w:tcW w:w="1540" w:type="dxa"/>
          </w:tcPr>
          <w:p w:rsidR="008876A4" w:rsidRDefault="008876A4" w:rsidP="005A2617">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restricted</w:t>
            </w:r>
          </w:p>
        </w:tc>
        <w:tc>
          <w:tcPr>
            <w:tcW w:w="1540" w:type="dxa"/>
          </w:tcPr>
          <w:p w:rsidR="008876A4" w:rsidRDefault="008876A4" w:rsidP="005A2617">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restricted</w:t>
            </w:r>
          </w:p>
        </w:tc>
        <w:tc>
          <w:tcPr>
            <w:tcW w:w="1541" w:type="dxa"/>
          </w:tcPr>
          <w:p w:rsidR="008876A4" w:rsidRDefault="008876A4" w:rsidP="005A2617">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No restrictions</w:t>
            </w:r>
          </w:p>
        </w:tc>
      </w:tr>
      <w:tr w:rsidR="008876A4" w:rsidTr="005A2617">
        <w:tc>
          <w:tcPr>
            <w:cnfStyle w:val="001000000000" w:firstRow="0" w:lastRow="0" w:firstColumn="1" w:lastColumn="0" w:oddVBand="0" w:evenVBand="0" w:oddHBand="0" w:evenHBand="0" w:firstRowFirstColumn="0" w:firstRowLastColumn="0" w:lastRowFirstColumn="0" w:lastRowLastColumn="0"/>
            <w:tcW w:w="1540" w:type="dxa"/>
          </w:tcPr>
          <w:p w:rsidR="008876A4" w:rsidRDefault="008876A4" w:rsidP="003B4986">
            <w:pPr>
              <w:jc w:val="both"/>
              <w:rPr>
                <w:lang w:val="en-US"/>
              </w:rPr>
            </w:pPr>
            <w:r w:rsidRPr="00A54DA4">
              <w:t>Programme</w:t>
            </w:r>
          </w:p>
        </w:tc>
        <w:tc>
          <w:tcPr>
            <w:tcW w:w="1540" w:type="dxa"/>
          </w:tcPr>
          <w:p w:rsidR="008876A4" w:rsidRDefault="008876A4" w:rsidP="005A2617">
            <w:pPr>
              <w:jc w:val="center"/>
              <w:cnfStyle w:val="000000000000" w:firstRow="0" w:lastRow="0" w:firstColumn="0" w:lastColumn="0" w:oddVBand="0" w:evenVBand="0" w:oddHBand="0" w:evenHBand="0" w:firstRowFirstColumn="0" w:firstRowLastColumn="0" w:lastRowFirstColumn="0" w:lastRowLastColumn="0"/>
              <w:rPr>
                <w:lang w:val="en-US"/>
              </w:rPr>
            </w:pPr>
            <w:r w:rsidRPr="00A54DA4">
              <w:t>Combine/PLC</w:t>
            </w:r>
          </w:p>
        </w:tc>
        <w:tc>
          <w:tcPr>
            <w:tcW w:w="1541" w:type="dxa"/>
          </w:tcPr>
          <w:p w:rsidR="008876A4" w:rsidRDefault="008876A4" w:rsidP="005A2617">
            <w:pPr>
              <w:jc w:val="center"/>
              <w:cnfStyle w:val="000000000000" w:firstRow="0" w:lastRow="0" w:firstColumn="0" w:lastColumn="0" w:oddVBand="0" w:evenVBand="0" w:oddHBand="0" w:evenHBand="0" w:firstRowFirstColumn="0" w:firstRowLastColumn="0" w:lastRowFirstColumn="0" w:lastRowLastColumn="0"/>
              <w:rPr>
                <w:lang w:val="en-US"/>
              </w:rPr>
            </w:pPr>
            <w:r>
              <w:t>CEMP</w:t>
            </w:r>
          </w:p>
        </w:tc>
        <w:tc>
          <w:tcPr>
            <w:tcW w:w="1540" w:type="dxa"/>
          </w:tcPr>
          <w:p w:rsidR="008876A4" w:rsidRDefault="008876A4" w:rsidP="005A2617">
            <w:pPr>
              <w:jc w:val="center"/>
              <w:cnfStyle w:val="000000000000" w:firstRow="0" w:lastRow="0" w:firstColumn="0" w:lastColumn="0" w:oddVBand="0" w:evenVBand="0" w:oddHBand="0" w:evenHBand="0" w:firstRowFirstColumn="0" w:firstRowLastColumn="0" w:lastRowFirstColumn="0" w:lastRowLastColumn="0"/>
              <w:rPr>
                <w:lang w:val="en-US"/>
              </w:rPr>
            </w:pPr>
            <w:r w:rsidRPr="00A54DA4">
              <w:t>MEDPOL</w:t>
            </w:r>
          </w:p>
        </w:tc>
        <w:tc>
          <w:tcPr>
            <w:tcW w:w="1540" w:type="dxa"/>
          </w:tcPr>
          <w:p w:rsidR="008876A4" w:rsidRDefault="008876A4" w:rsidP="005A2617">
            <w:pPr>
              <w:jc w:val="center"/>
              <w:cnfStyle w:val="000000000000" w:firstRow="0" w:lastRow="0" w:firstColumn="0" w:lastColumn="0" w:oddVBand="0" w:evenVBand="0" w:oddHBand="0" w:evenHBand="0" w:firstRowFirstColumn="0" w:firstRowLastColumn="0" w:lastRowFirstColumn="0" w:lastRowLastColumn="0"/>
              <w:rPr>
                <w:lang w:val="en-US"/>
              </w:rPr>
            </w:pPr>
            <w:r w:rsidRPr="00A54DA4">
              <w:t>BSIMAP</w:t>
            </w:r>
          </w:p>
        </w:tc>
        <w:tc>
          <w:tcPr>
            <w:tcW w:w="1541" w:type="dxa"/>
          </w:tcPr>
          <w:p w:rsidR="008876A4" w:rsidRDefault="008876A4" w:rsidP="005A2617">
            <w:pPr>
              <w:jc w:val="center"/>
              <w:cnfStyle w:val="000000000000" w:firstRow="0" w:lastRow="0" w:firstColumn="0" w:lastColumn="0" w:oddVBand="0" w:evenVBand="0" w:oddHBand="0" w:evenHBand="0" w:firstRowFirstColumn="0" w:firstRowLastColumn="0" w:lastRowFirstColumn="0" w:lastRowLastColumn="0"/>
              <w:rPr>
                <w:lang w:val="en-US"/>
              </w:rPr>
            </w:pPr>
            <w:r w:rsidRPr="00A54DA4">
              <w:t>WISE-SoE</w:t>
            </w:r>
          </w:p>
        </w:tc>
      </w:tr>
      <w:tr w:rsidR="008876A4" w:rsidTr="005A26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0" w:type="dxa"/>
          </w:tcPr>
          <w:p w:rsidR="008876A4" w:rsidRDefault="008876A4" w:rsidP="003B4986">
            <w:pPr>
              <w:jc w:val="both"/>
              <w:rPr>
                <w:lang w:val="en-US"/>
              </w:rPr>
            </w:pPr>
            <w:r w:rsidRPr="00A54DA4">
              <w:t>Data holder</w:t>
            </w:r>
          </w:p>
        </w:tc>
        <w:tc>
          <w:tcPr>
            <w:tcW w:w="1540" w:type="dxa"/>
          </w:tcPr>
          <w:p w:rsidR="008876A4" w:rsidRDefault="008876A4" w:rsidP="005A2617">
            <w:pPr>
              <w:jc w:val="center"/>
              <w:cnfStyle w:val="000000100000" w:firstRow="0" w:lastRow="0" w:firstColumn="0" w:lastColumn="0" w:oddVBand="0" w:evenVBand="0" w:oddHBand="1" w:evenHBand="0" w:firstRowFirstColumn="0" w:firstRowLastColumn="0" w:lastRowFirstColumn="0" w:lastRowLastColumn="0"/>
              <w:rPr>
                <w:lang w:val="en-US"/>
              </w:rPr>
            </w:pPr>
            <w:r w:rsidRPr="00A54DA4">
              <w:t>ICES/SYKE</w:t>
            </w:r>
          </w:p>
        </w:tc>
        <w:tc>
          <w:tcPr>
            <w:tcW w:w="1541" w:type="dxa"/>
          </w:tcPr>
          <w:p w:rsidR="008876A4" w:rsidRDefault="008876A4" w:rsidP="005A2617">
            <w:pPr>
              <w:jc w:val="center"/>
              <w:cnfStyle w:val="000000100000" w:firstRow="0" w:lastRow="0" w:firstColumn="0" w:lastColumn="0" w:oddVBand="0" w:evenVBand="0" w:oddHBand="1" w:evenHBand="0" w:firstRowFirstColumn="0" w:firstRowLastColumn="0" w:lastRowFirstColumn="0" w:lastRowLastColumn="0"/>
              <w:rPr>
                <w:lang w:val="en-US"/>
              </w:rPr>
            </w:pPr>
            <w:r>
              <w:t>ICES</w:t>
            </w:r>
          </w:p>
        </w:tc>
        <w:tc>
          <w:tcPr>
            <w:tcW w:w="1540" w:type="dxa"/>
          </w:tcPr>
          <w:p w:rsidR="008876A4" w:rsidRDefault="008876A4" w:rsidP="005A2617">
            <w:pPr>
              <w:jc w:val="center"/>
              <w:cnfStyle w:val="000000100000" w:firstRow="0" w:lastRow="0" w:firstColumn="0" w:lastColumn="0" w:oddVBand="0" w:evenVBand="0" w:oddHBand="1" w:evenHBand="0" w:firstRowFirstColumn="0" w:firstRowLastColumn="0" w:lastRowFirstColumn="0" w:lastRowLastColumn="0"/>
              <w:rPr>
                <w:lang w:val="en-US"/>
              </w:rPr>
            </w:pPr>
            <w:r w:rsidRPr="00A54DA4">
              <w:t>MEDPOL</w:t>
            </w:r>
          </w:p>
        </w:tc>
        <w:tc>
          <w:tcPr>
            <w:tcW w:w="1540" w:type="dxa"/>
          </w:tcPr>
          <w:p w:rsidR="008876A4" w:rsidRDefault="008876A4" w:rsidP="005A2617">
            <w:pPr>
              <w:jc w:val="center"/>
              <w:cnfStyle w:val="000000100000" w:firstRow="0" w:lastRow="0" w:firstColumn="0" w:lastColumn="0" w:oddVBand="0" w:evenVBand="0" w:oddHBand="1" w:evenHBand="0" w:firstRowFirstColumn="0" w:firstRowLastColumn="0" w:lastRowFirstColumn="0" w:lastRowLastColumn="0"/>
              <w:rPr>
                <w:lang w:val="en-US"/>
              </w:rPr>
            </w:pPr>
            <w:r w:rsidRPr="00A54DA4">
              <w:t>BSIMAP</w:t>
            </w:r>
          </w:p>
        </w:tc>
        <w:tc>
          <w:tcPr>
            <w:tcW w:w="1541" w:type="dxa"/>
          </w:tcPr>
          <w:p w:rsidR="008876A4" w:rsidRDefault="008876A4" w:rsidP="005A2617">
            <w:pPr>
              <w:jc w:val="center"/>
              <w:cnfStyle w:val="000000100000" w:firstRow="0" w:lastRow="0" w:firstColumn="0" w:lastColumn="0" w:oddVBand="0" w:evenVBand="0" w:oddHBand="1" w:evenHBand="0" w:firstRowFirstColumn="0" w:firstRowLastColumn="0" w:lastRowFirstColumn="0" w:lastRowLastColumn="0"/>
              <w:rPr>
                <w:lang w:val="en-US"/>
              </w:rPr>
            </w:pPr>
            <w:r w:rsidRPr="00A54DA4">
              <w:t>EEA/</w:t>
            </w:r>
            <w:proofErr w:type="spellStart"/>
            <w:r w:rsidRPr="00A54DA4">
              <w:t>waterbase</w:t>
            </w:r>
            <w:proofErr w:type="spellEnd"/>
          </w:p>
        </w:tc>
      </w:tr>
      <w:tr w:rsidR="005E02E4" w:rsidTr="002508E9">
        <w:tc>
          <w:tcPr>
            <w:cnfStyle w:val="001000000000" w:firstRow="0" w:lastRow="0" w:firstColumn="1" w:lastColumn="0" w:oddVBand="0" w:evenVBand="0" w:oddHBand="0" w:evenHBand="0" w:firstRowFirstColumn="0" w:firstRowLastColumn="0" w:lastRowFirstColumn="0" w:lastRowLastColumn="0"/>
            <w:tcW w:w="1540" w:type="dxa"/>
          </w:tcPr>
          <w:p w:rsidR="005E02E4" w:rsidRPr="00A54DA4" w:rsidRDefault="005E02E4" w:rsidP="005A2617">
            <w:pPr>
              <w:jc w:val="both"/>
            </w:pPr>
            <w:r w:rsidRPr="005E02E4">
              <w:t>8.2.2 Oc</w:t>
            </w:r>
            <w:r>
              <w:t>currence, origin, and</w:t>
            </w:r>
            <w:r w:rsidRPr="005E02E4">
              <w:t xml:space="preserve"> extent</w:t>
            </w:r>
            <w:r>
              <w:t xml:space="preserve"> of oil spills</w:t>
            </w:r>
          </w:p>
        </w:tc>
        <w:tc>
          <w:tcPr>
            <w:tcW w:w="1540" w:type="dxa"/>
          </w:tcPr>
          <w:p w:rsidR="005E02E4" w:rsidRDefault="005E02E4" w:rsidP="005A2617">
            <w:pPr>
              <w:cnfStyle w:val="000000000000" w:firstRow="0" w:lastRow="0" w:firstColumn="0" w:lastColumn="0" w:oddVBand="0" w:evenVBand="0" w:oddHBand="0" w:evenHBand="0" w:firstRowFirstColumn="0" w:firstRowLastColumn="0" w:lastRowFirstColumn="0" w:lastRowLastColumn="0"/>
            </w:pPr>
            <w:r>
              <w:t>Number of spills</w:t>
            </w:r>
          </w:p>
          <w:p w:rsidR="005E02E4" w:rsidRDefault="005E02E4" w:rsidP="005A2617">
            <w:pPr>
              <w:cnfStyle w:val="000000000000" w:firstRow="0" w:lastRow="0" w:firstColumn="0" w:lastColumn="0" w:oddVBand="0" w:evenVBand="0" w:oddHBand="0" w:evenHBand="0" w:firstRowFirstColumn="0" w:firstRowLastColumn="0" w:lastRowFirstColumn="0" w:lastRowLastColumn="0"/>
            </w:pPr>
          </w:p>
          <w:p w:rsidR="005E02E4" w:rsidRDefault="005E02E4" w:rsidP="005A2617">
            <w:pPr>
              <w:cnfStyle w:val="000000000000" w:firstRow="0" w:lastRow="0" w:firstColumn="0" w:lastColumn="0" w:oddVBand="0" w:evenVBand="0" w:oddHBand="0" w:evenHBand="0" w:firstRowFirstColumn="0" w:firstRowLastColumn="0" w:lastRowFirstColumn="0" w:lastRowLastColumn="0"/>
            </w:pPr>
            <w:r>
              <w:t>Illegal discharges</w:t>
            </w:r>
          </w:p>
          <w:p w:rsidR="005E02E4" w:rsidRDefault="005E02E4" w:rsidP="005A2617">
            <w:pPr>
              <w:cnfStyle w:val="000000000000" w:firstRow="0" w:lastRow="0" w:firstColumn="0" w:lastColumn="0" w:oddVBand="0" w:evenVBand="0" w:oddHBand="0" w:evenHBand="0" w:firstRowFirstColumn="0" w:firstRowLastColumn="0" w:lastRowFirstColumn="0" w:lastRowLastColumn="0"/>
            </w:pPr>
          </w:p>
          <w:p w:rsidR="005E02E4" w:rsidRPr="00A54DA4" w:rsidRDefault="005E02E4" w:rsidP="005A2617">
            <w:pPr>
              <w:cnfStyle w:val="000000000000" w:firstRow="0" w:lastRow="0" w:firstColumn="0" w:lastColumn="0" w:oddVBand="0" w:evenVBand="0" w:oddHBand="0" w:evenHBand="0" w:firstRowFirstColumn="0" w:firstRowLastColumn="0" w:lastRowFirstColumn="0" w:lastRowLastColumn="0"/>
            </w:pPr>
            <w:r>
              <w:t>Amount released</w:t>
            </w:r>
          </w:p>
        </w:tc>
        <w:tc>
          <w:tcPr>
            <w:tcW w:w="1541" w:type="dxa"/>
          </w:tcPr>
          <w:p w:rsidR="005E02E4" w:rsidRDefault="005E02E4" w:rsidP="008876A4">
            <w:pPr>
              <w:jc w:val="center"/>
              <w:cnfStyle w:val="000000000000" w:firstRow="0" w:lastRow="0" w:firstColumn="0" w:lastColumn="0" w:oddVBand="0" w:evenVBand="0" w:oddHBand="0" w:evenHBand="0" w:firstRowFirstColumn="0" w:firstRowLastColumn="0" w:lastRowFirstColumn="0" w:lastRowLastColumn="0"/>
            </w:pPr>
          </w:p>
        </w:tc>
        <w:tc>
          <w:tcPr>
            <w:tcW w:w="1540" w:type="dxa"/>
          </w:tcPr>
          <w:p w:rsidR="005E02E4" w:rsidRDefault="005E02E4" w:rsidP="005E02E4">
            <w:pPr>
              <w:cnfStyle w:val="000000000000" w:firstRow="0" w:lastRow="0" w:firstColumn="0" w:lastColumn="0" w:oddVBand="0" w:evenVBand="0" w:oddHBand="0" w:evenHBand="0" w:firstRowFirstColumn="0" w:firstRowLastColumn="0" w:lastRowFirstColumn="0" w:lastRowLastColumn="0"/>
            </w:pPr>
            <w:r>
              <w:t>Number of spills</w:t>
            </w:r>
          </w:p>
          <w:p w:rsidR="005E02E4" w:rsidRDefault="005E02E4" w:rsidP="005E02E4">
            <w:pPr>
              <w:cnfStyle w:val="000000000000" w:firstRow="0" w:lastRow="0" w:firstColumn="0" w:lastColumn="0" w:oddVBand="0" w:evenVBand="0" w:oddHBand="0" w:evenHBand="0" w:firstRowFirstColumn="0" w:firstRowLastColumn="0" w:lastRowFirstColumn="0" w:lastRowLastColumn="0"/>
            </w:pPr>
          </w:p>
          <w:p w:rsidR="005E02E4" w:rsidRDefault="005E02E4" w:rsidP="005E02E4">
            <w:pPr>
              <w:cnfStyle w:val="000000000000" w:firstRow="0" w:lastRow="0" w:firstColumn="0" w:lastColumn="0" w:oddVBand="0" w:evenVBand="0" w:oddHBand="0" w:evenHBand="0" w:firstRowFirstColumn="0" w:firstRowLastColumn="0" w:lastRowFirstColumn="0" w:lastRowLastColumn="0"/>
            </w:pPr>
            <w:r>
              <w:t>Amount released</w:t>
            </w:r>
          </w:p>
          <w:p w:rsidR="005E02E4" w:rsidRPr="00A54DA4" w:rsidRDefault="005E02E4" w:rsidP="008876A4">
            <w:pPr>
              <w:jc w:val="center"/>
              <w:cnfStyle w:val="000000000000" w:firstRow="0" w:lastRow="0" w:firstColumn="0" w:lastColumn="0" w:oddVBand="0" w:evenVBand="0" w:oddHBand="0" w:evenHBand="0" w:firstRowFirstColumn="0" w:firstRowLastColumn="0" w:lastRowFirstColumn="0" w:lastRowLastColumn="0"/>
            </w:pPr>
          </w:p>
        </w:tc>
        <w:tc>
          <w:tcPr>
            <w:tcW w:w="1540" w:type="dxa"/>
          </w:tcPr>
          <w:p w:rsidR="005E02E4" w:rsidRDefault="005E02E4" w:rsidP="005E02E4">
            <w:pPr>
              <w:cnfStyle w:val="000000000000" w:firstRow="0" w:lastRow="0" w:firstColumn="0" w:lastColumn="0" w:oddVBand="0" w:evenVBand="0" w:oddHBand="0" w:evenHBand="0" w:firstRowFirstColumn="0" w:firstRowLastColumn="0" w:lastRowFirstColumn="0" w:lastRowLastColumn="0"/>
            </w:pPr>
            <w:r>
              <w:t>Number of spills</w:t>
            </w:r>
          </w:p>
          <w:p w:rsidR="005E02E4" w:rsidRPr="00A54DA4" w:rsidRDefault="005E02E4" w:rsidP="008876A4">
            <w:pPr>
              <w:jc w:val="center"/>
              <w:cnfStyle w:val="000000000000" w:firstRow="0" w:lastRow="0" w:firstColumn="0" w:lastColumn="0" w:oddVBand="0" w:evenVBand="0" w:oddHBand="0" w:evenHBand="0" w:firstRowFirstColumn="0" w:firstRowLastColumn="0" w:lastRowFirstColumn="0" w:lastRowLastColumn="0"/>
            </w:pPr>
          </w:p>
        </w:tc>
        <w:tc>
          <w:tcPr>
            <w:tcW w:w="1541" w:type="dxa"/>
          </w:tcPr>
          <w:p w:rsidR="005E02E4" w:rsidRPr="00A54DA4" w:rsidRDefault="005E02E4" w:rsidP="008876A4">
            <w:pPr>
              <w:jc w:val="center"/>
              <w:cnfStyle w:val="000000000000" w:firstRow="0" w:lastRow="0" w:firstColumn="0" w:lastColumn="0" w:oddVBand="0" w:evenVBand="0" w:oddHBand="0" w:evenHBand="0" w:firstRowFirstColumn="0" w:firstRowLastColumn="0" w:lastRowFirstColumn="0" w:lastRowLastColumn="0"/>
            </w:pPr>
            <w:r>
              <w:t>None</w:t>
            </w:r>
          </w:p>
        </w:tc>
      </w:tr>
    </w:tbl>
    <w:p w:rsidR="009D7B29" w:rsidRDefault="009D7B29" w:rsidP="003B4986">
      <w:pPr>
        <w:jc w:val="both"/>
        <w:rPr>
          <w:lang w:val="en-US"/>
        </w:rPr>
      </w:pPr>
    </w:p>
    <w:p w:rsidR="00CA0483" w:rsidRDefault="00CA0483" w:rsidP="005A2617">
      <w:pPr>
        <w:pStyle w:val="Heading2"/>
        <w:rPr>
          <w:lang w:val="en-US"/>
        </w:rPr>
      </w:pPr>
      <w:r>
        <w:rPr>
          <w:lang w:val="en-US"/>
        </w:rPr>
        <w:t>Discussion on future reporting mechanisms and INSPIRE</w:t>
      </w:r>
    </w:p>
    <w:p w:rsidR="009F7E8C" w:rsidRDefault="009F7E8C" w:rsidP="009F7E8C">
      <w:pPr>
        <w:rPr>
          <w:lang w:val="en-US"/>
        </w:rPr>
      </w:pPr>
      <w:r>
        <w:rPr>
          <w:lang w:val="en-US"/>
        </w:rPr>
        <w:t xml:space="preserve">In addition to confirming the overviews the workshop also discussed alternatives to existing reporting methods. However, except for Germany, countries have not progressed in moving their own systems from a traditional ‘push’ system to a ’pull system based on INSPIRE principles. </w:t>
      </w:r>
    </w:p>
    <w:p w:rsidR="00140FC7" w:rsidRPr="00E1024A" w:rsidRDefault="00140FC7" w:rsidP="00140FC7">
      <w:pPr>
        <w:jc w:val="both"/>
        <w:rPr>
          <w:lang w:val="en-US"/>
        </w:rPr>
      </w:pPr>
      <w:r w:rsidRPr="004D3906">
        <w:rPr>
          <w:lang w:val="en-US"/>
        </w:rPr>
        <w:t xml:space="preserve">Most </w:t>
      </w:r>
      <w:r>
        <w:rPr>
          <w:lang w:val="en-US"/>
        </w:rPr>
        <w:t>primary</w:t>
      </w:r>
      <w:r w:rsidRPr="004D3906">
        <w:rPr>
          <w:lang w:val="en-US"/>
        </w:rPr>
        <w:t xml:space="preserve"> data are at national databases, higher indicator data </w:t>
      </w:r>
      <w:r>
        <w:rPr>
          <w:lang w:val="en-US"/>
        </w:rPr>
        <w:t>in</w:t>
      </w:r>
      <w:r w:rsidRPr="004D3906">
        <w:rPr>
          <w:lang w:val="en-US"/>
        </w:rPr>
        <w:t xml:space="preserve"> RSCs</w:t>
      </w:r>
      <w:r>
        <w:rPr>
          <w:lang w:val="en-US"/>
        </w:rPr>
        <w:t xml:space="preserve"> databases</w:t>
      </w:r>
      <w:r w:rsidRPr="004D3906">
        <w:rPr>
          <w:lang w:val="en-US"/>
        </w:rPr>
        <w:t xml:space="preserve"> and with directions in a catalogue referring to original data. </w:t>
      </w:r>
      <w:r w:rsidRPr="00E1024A">
        <w:rPr>
          <w:lang w:val="en-US"/>
        </w:rPr>
        <w:t xml:space="preserve">In </w:t>
      </w:r>
      <w:r>
        <w:rPr>
          <w:lang w:val="en-US"/>
        </w:rPr>
        <w:t xml:space="preserve">the </w:t>
      </w:r>
      <w:r w:rsidRPr="00E1024A">
        <w:rPr>
          <w:lang w:val="en-US"/>
        </w:rPr>
        <w:t>future it might be better to have national databases</w:t>
      </w:r>
      <w:r>
        <w:rPr>
          <w:lang w:val="en-US"/>
        </w:rPr>
        <w:t xml:space="preserve"> as the main data nodes</w:t>
      </w:r>
      <w:r w:rsidR="00B635F8">
        <w:rPr>
          <w:lang w:val="en-US"/>
        </w:rPr>
        <w:t>, in this way progressing towards a ‘pull’ system</w:t>
      </w:r>
      <w:r>
        <w:rPr>
          <w:lang w:val="en-US"/>
        </w:rPr>
        <w:t xml:space="preserve">. In general, a gradual move towards a ‘pull’ system is how </w:t>
      </w:r>
      <w:r w:rsidR="009F7E8C">
        <w:rPr>
          <w:lang w:val="en-US"/>
        </w:rPr>
        <w:t>some</w:t>
      </w:r>
      <w:r>
        <w:rPr>
          <w:lang w:val="en-US"/>
        </w:rPr>
        <w:t xml:space="preserve"> MS would like to operate</w:t>
      </w:r>
      <w:r w:rsidRPr="00E1024A">
        <w:rPr>
          <w:lang w:val="en-US"/>
        </w:rPr>
        <w:t xml:space="preserve"> incorporating the following principles: </w:t>
      </w:r>
    </w:p>
    <w:p w:rsidR="00140FC7" w:rsidRDefault="00140FC7" w:rsidP="00140FC7">
      <w:pPr>
        <w:pStyle w:val="ListParagraph"/>
        <w:numPr>
          <w:ilvl w:val="0"/>
          <w:numId w:val="13"/>
        </w:numPr>
        <w:jc w:val="both"/>
        <w:rPr>
          <w:lang w:val="en-US"/>
        </w:rPr>
      </w:pPr>
      <w:r w:rsidRPr="00E1024A">
        <w:rPr>
          <w:lang w:val="en-US"/>
        </w:rPr>
        <w:t>communication should go from MS to RSC and then to EU level</w:t>
      </w:r>
    </w:p>
    <w:p w:rsidR="00140FC7" w:rsidRDefault="00140FC7" w:rsidP="00140FC7">
      <w:pPr>
        <w:pStyle w:val="ListParagraph"/>
        <w:numPr>
          <w:ilvl w:val="0"/>
          <w:numId w:val="13"/>
        </w:numPr>
        <w:jc w:val="both"/>
        <w:rPr>
          <w:lang w:val="en-US"/>
        </w:rPr>
      </w:pPr>
      <w:r w:rsidRPr="00E1024A">
        <w:rPr>
          <w:lang w:val="en-US"/>
        </w:rPr>
        <w:t>report once, use many times principle</w:t>
      </w:r>
    </w:p>
    <w:p w:rsidR="00140FC7" w:rsidRDefault="00140FC7" w:rsidP="00140FC7">
      <w:pPr>
        <w:jc w:val="both"/>
        <w:rPr>
          <w:lang w:val="en-US"/>
        </w:rPr>
      </w:pPr>
      <w:r>
        <w:rPr>
          <w:lang w:val="en-US"/>
        </w:rPr>
        <w:t>It was agreed that TGDATA has an important role to play in the shaping of the future architecture of the European marine data systems.</w:t>
      </w:r>
    </w:p>
    <w:p w:rsidR="009F7E8C" w:rsidRDefault="009F7E8C" w:rsidP="009F7E8C">
      <w:pPr>
        <w:rPr>
          <w:lang w:val="en-US"/>
        </w:rPr>
      </w:pPr>
      <w:r>
        <w:rPr>
          <w:lang w:val="en-US"/>
        </w:rPr>
        <w:t xml:space="preserve">In this context it was found very helpful that JRC has initiated a marine pilot project on INSPIRE. While the obligation to implement INSPIRE is with Member States there seemed to be interest in working towards a system where the RSC provide INSPIRE services; it was suggested that national, regional and EU level use cases should be developed. For now the national level will be addressed.  MS were invited to express interest in participation in the pilot, and at this point DK, DE and NL have volunteered. </w:t>
      </w:r>
    </w:p>
    <w:p w:rsidR="009F7E8C" w:rsidRDefault="009F7E8C" w:rsidP="00140FC7">
      <w:pPr>
        <w:jc w:val="both"/>
        <w:rPr>
          <w:lang w:val="en-US"/>
        </w:rPr>
      </w:pPr>
    </w:p>
    <w:p w:rsidR="00CA0483" w:rsidRDefault="00140FC7">
      <w:pPr>
        <w:jc w:val="both"/>
        <w:rPr>
          <w:lang w:val="en-US"/>
        </w:rPr>
      </w:pPr>
      <w:r w:rsidRPr="00D80160">
        <w:rPr>
          <w:b/>
          <w:lang w:val="en-US"/>
        </w:rPr>
        <w:t>EMODnet</w:t>
      </w:r>
      <w:r>
        <w:rPr>
          <w:lang w:val="en-US"/>
        </w:rPr>
        <w:t xml:space="preserve"> was reflected upon, and Italy presented how EMODnet Chemistry was being used as the national system for the provision of the evidence base for a number of the MSFD descriptors. It was generally thought that the European Data system could play a role in providing informational ‘state’ products and as a reference point for understanding the general availability and distribution of available data. </w:t>
      </w:r>
      <w:r w:rsidR="00A11ABB">
        <w:rPr>
          <w:lang w:val="en-US"/>
        </w:rPr>
        <w:t xml:space="preserve">The workshop also expressed interest in learning more about the ways in which </w:t>
      </w:r>
      <w:proofErr w:type="spellStart"/>
      <w:r w:rsidR="00A11ABB">
        <w:rPr>
          <w:lang w:val="en-US"/>
        </w:rPr>
        <w:t>Emodnet</w:t>
      </w:r>
      <w:proofErr w:type="spellEnd"/>
      <w:r w:rsidR="00A11ABB">
        <w:rPr>
          <w:lang w:val="en-US"/>
        </w:rPr>
        <w:t xml:space="preserve"> can support MSFD. This was discussed in a follow-up workshop organized by the </w:t>
      </w:r>
      <w:proofErr w:type="spellStart"/>
      <w:r w:rsidR="00A11ABB">
        <w:rPr>
          <w:lang w:val="en-US"/>
        </w:rPr>
        <w:t>Emodnet</w:t>
      </w:r>
      <w:proofErr w:type="spellEnd"/>
      <w:r w:rsidR="00A11ABB">
        <w:rPr>
          <w:lang w:val="en-US"/>
        </w:rPr>
        <w:t xml:space="preserve"> secretariat in September 2014.  In particular Italy and Slovenia were interested in alternative approaches to reporting through the regional level. </w:t>
      </w:r>
    </w:p>
    <w:p w:rsidR="00140FC7" w:rsidRDefault="00140FC7" w:rsidP="00140FC7">
      <w:pPr>
        <w:jc w:val="both"/>
        <w:rPr>
          <w:lang w:val="en-US"/>
        </w:rPr>
      </w:pPr>
      <w:r>
        <w:rPr>
          <w:lang w:val="en-US"/>
        </w:rPr>
        <w:t xml:space="preserve">In general the </w:t>
      </w:r>
      <w:r w:rsidRPr="005A2617">
        <w:rPr>
          <w:lang w:val="en-US"/>
        </w:rPr>
        <w:t>outlook for the next 5 years</w:t>
      </w:r>
      <w:r>
        <w:rPr>
          <w:lang w:val="en-US"/>
        </w:rPr>
        <w:t xml:space="preserve"> indicates that</w:t>
      </w:r>
      <w:r w:rsidRPr="00E1024A">
        <w:rPr>
          <w:lang w:val="en-US"/>
        </w:rPr>
        <w:t xml:space="preserve"> the </w:t>
      </w:r>
      <w:r>
        <w:rPr>
          <w:lang w:val="en-US"/>
        </w:rPr>
        <w:t xml:space="preserve">current arrangements with the </w:t>
      </w:r>
      <w:proofErr w:type="spellStart"/>
      <w:r>
        <w:rPr>
          <w:lang w:val="en-US"/>
        </w:rPr>
        <w:t>dataflows</w:t>
      </w:r>
      <w:proofErr w:type="spellEnd"/>
      <w:r>
        <w:rPr>
          <w:lang w:val="en-US"/>
        </w:rPr>
        <w:t xml:space="preserve"> established for MS reporting to ICES under HELCOM/OSPAR obligations for the most commonly used indicators under D5 and D8</w:t>
      </w:r>
      <w:r w:rsidR="005F2E2D">
        <w:rPr>
          <w:lang w:val="en-US"/>
        </w:rPr>
        <w:t xml:space="preserve">. Furthermore, mechanisms are in place in these RSCs to agree and establish new data flows in support of MSFD, </w:t>
      </w:r>
      <w:r>
        <w:rPr>
          <w:lang w:val="en-US"/>
        </w:rPr>
        <w:t>if desired</w:t>
      </w:r>
      <w:r w:rsidR="005F2E2D">
        <w:rPr>
          <w:lang w:val="en-US"/>
        </w:rPr>
        <w:t>.</w:t>
      </w:r>
      <w:r>
        <w:rPr>
          <w:lang w:val="en-US"/>
        </w:rPr>
        <w:t xml:space="preserve"> </w:t>
      </w:r>
    </w:p>
    <w:p w:rsidR="005F2E2D" w:rsidRDefault="005F2E2D" w:rsidP="00140FC7">
      <w:pPr>
        <w:jc w:val="both"/>
        <w:rPr>
          <w:lang w:val="en-US"/>
        </w:rPr>
      </w:pPr>
      <w:r>
        <w:rPr>
          <w:lang w:val="en-US"/>
        </w:rPr>
        <w:t>The reporting mechanisms available to countries in UNEP/MAP and in the Black Sea seem to not be</w:t>
      </w:r>
      <w:r w:rsidR="00B635F8">
        <w:rPr>
          <w:lang w:val="en-US"/>
        </w:rPr>
        <w:t xml:space="preserve"> as</w:t>
      </w:r>
      <w:r>
        <w:rPr>
          <w:lang w:val="en-US"/>
        </w:rPr>
        <w:t xml:space="preserve"> able to support the MSFD obligations, and countries may need to find alternative solutions. Relevant parameters seem to be reported in the context of the BSC, and to a lesser extent </w:t>
      </w:r>
      <w:r w:rsidR="009F7E8C">
        <w:rPr>
          <w:lang w:val="en-US"/>
        </w:rPr>
        <w:t>MEDPOL</w:t>
      </w:r>
      <w:r>
        <w:rPr>
          <w:lang w:val="en-US"/>
        </w:rPr>
        <w:t>, but the restricted access rights means that they cannot be shared easily from the regional level. In fact</w:t>
      </w:r>
      <w:r w:rsidR="00B635F8">
        <w:rPr>
          <w:lang w:val="en-US"/>
        </w:rPr>
        <w:t xml:space="preserve"> the Mediterranean countries as well as</w:t>
      </w:r>
      <w:r>
        <w:rPr>
          <w:lang w:val="en-US"/>
        </w:rPr>
        <w:t xml:space="preserve"> RO and BG </w:t>
      </w:r>
      <w:r w:rsidR="00B635F8">
        <w:rPr>
          <w:lang w:val="en-US"/>
        </w:rPr>
        <w:t xml:space="preserve">could </w:t>
      </w:r>
      <w:r>
        <w:rPr>
          <w:lang w:val="en-US"/>
        </w:rPr>
        <w:t xml:space="preserve">fulfill their EU reporting obligations </w:t>
      </w:r>
      <w:r w:rsidR="00B635F8">
        <w:rPr>
          <w:lang w:val="en-US"/>
        </w:rPr>
        <w:t xml:space="preserve">to D5 and D8 </w:t>
      </w:r>
      <w:r>
        <w:rPr>
          <w:lang w:val="en-US"/>
        </w:rPr>
        <w:t xml:space="preserve">through the EEA driven </w:t>
      </w:r>
      <w:r w:rsidR="00046EE0">
        <w:rPr>
          <w:lang w:val="en-US"/>
        </w:rPr>
        <w:t>EIONET</w:t>
      </w:r>
      <w:r>
        <w:rPr>
          <w:lang w:val="en-US"/>
        </w:rPr>
        <w:t xml:space="preserve">/WISE SoE mechanisms.  </w:t>
      </w:r>
    </w:p>
    <w:p w:rsidR="005F2E2D" w:rsidRDefault="005F2E2D" w:rsidP="00140FC7">
      <w:pPr>
        <w:jc w:val="both"/>
        <w:rPr>
          <w:lang w:val="en-US"/>
        </w:rPr>
      </w:pPr>
    </w:p>
    <w:p w:rsidR="009F7E8C" w:rsidRDefault="009F7E8C">
      <w:pPr>
        <w:rPr>
          <w:rFonts w:asciiTheme="majorHAnsi" w:eastAsiaTheme="majorEastAsia" w:hAnsiTheme="majorHAnsi" w:cstheme="majorBidi"/>
          <w:b/>
          <w:bCs/>
          <w:color w:val="365F91" w:themeColor="accent1" w:themeShade="BF"/>
          <w:sz w:val="28"/>
          <w:szCs w:val="28"/>
          <w:lang w:val="en-US"/>
        </w:rPr>
      </w:pPr>
      <w:r>
        <w:rPr>
          <w:lang w:val="en-US"/>
        </w:rPr>
        <w:br w:type="page"/>
      </w:r>
    </w:p>
    <w:p w:rsidR="00140FC7" w:rsidRPr="00CA0483" w:rsidRDefault="00906087" w:rsidP="005A2617">
      <w:pPr>
        <w:pStyle w:val="Heading1"/>
        <w:rPr>
          <w:lang w:val="en-US"/>
        </w:rPr>
      </w:pPr>
      <w:r>
        <w:rPr>
          <w:lang w:val="en-US"/>
        </w:rPr>
        <w:t>Annex 1</w:t>
      </w:r>
    </w:p>
    <w:p w:rsidR="004529A3" w:rsidRDefault="00B11863" w:rsidP="005A2617">
      <w:pPr>
        <w:pStyle w:val="Heading1"/>
        <w:rPr>
          <w:lang w:val="en-US"/>
        </w:rPr>
      </w:pPr>
      <w:r>
        <w:rPr>
          <w:lang w:val="en-US"/>
        </w:rPr>
        <w:t>Existing Reporting mechanisms to the RSC and the EEA</w:t>
      </w:r>
    </w:p>
    <w:p w:rsidR="004529A3" w:rsidRDefault="004529A3" w:rsidP="005A2617">
      <w:pPr>
        <w:pStyle w:val="Heading2"/>
        <w:rPr>
          <w:lang w:val="en-US"/>
        </w:rPr>
      </w:pPr>
      <w:r w:rsidRPr="004529A3">
        <w:rPr>
          <w:lang w:val="en-US"/>
        </w:rPr>
        <w:t>HELCOM</w:t>
      </w:r>
    </w:p>
    <w:p w:rsidR="004529A3" w:rsidRPr="004529A3" w:rsidRDefault="00046EE0" w:rsidP="005A2617">
      <w:pPr>
        <w:rPr>
          <w:lang w:val="en-US"/>
        </w:rPr>
      </w:pPr>
      <w:r>
        <w:rPr>
          <w:lang w:val="en-US"/>
        </w:rPr>
        <w:t>HELCOM</w:t>
      </w:r>
      <w:r w:rsidR="004529A3">
        <w:rPr>
          <w:lang w:val="en-US"/>
        </w:rPr>
        <w:t xml:space="preserve"> operates multiple data flows agreed through the </w:t>
      </w:r>
      <w:r>
        <w:rPr>
          <w:lang w:val="en-US"/>
        </w:rPr>
        <w:t>HELCOM</w:t>
      </w:r>
      <w:r w:rsidR="004529A3">
        <w:rPr>
          <w:lang w:val="en-US"/>
        </w:rPr>
        <w:t xml:space="preserve"> COMBINE or </w:t>
      </w:r>
      <w:r>
        <w:rPr>
          <w:lang w:val="en-US"/>
        </w:rPr>
        <w:t>HELCOM</w:t>
      </w:r>
      <w:r w:rsidR="004529A3">
        <w:rPr>
          <w:lang w:val="en-US"/>
        </w:rPr>
        <w:t xml:space="preserve"> Pollution Load Compilation activities. Specific data reporting streams include. </w:t>
      </w:r>
      <w:r w:rsidR="00B11863">
        <w:rPr>
          <w:lang w:val="en-US"/>
        </w:rPr>
        <w:t xml:space="preserve">PLC reporting is managed by SYKE </w:t>
      </w:r>
      <w:proofErr w:type="spellStart"/>
      <w:r w:rsidR="00B11863">
        <w:rPr>
          <w:lang w:val="en-US"/>
        </w:rPr>
        <w:t>wheras</w:t>
      </w:r>
      <w:proofErr w:type="spellEnd"/>
      <w:r w:rsidR="00B11863">
        <w:rPr>
          <w:lang w:val="en-US"/>
        </w:rPr>
        <w:t xml:space="preserve"> reporting under COMBINE is managed by ICES.</w:t>
      </w:r>
    </w:p>
    <w:p w:rsidR="004529A3" w:rsidRPr="004529A3" w:rsidRDefault="004529A3" w:rsidP="005A2617">
      <w:pPr>
        <w:pStyle w:val="ListParagraph"/>
        <w:numPr>
          <w:ilvl w:val="0"/>
          <w:numId w:val="14"/>
        </w:numPr>
        <w:jc w:val="both"/>
        <w:rPr>
          <w:lang w:val="en-US"/>
        </w:rPr>
      </w:pPr>
      <w:r w:rsidRPr="004529A3">
        <w:rPr>
          <w:lang w:val="en-US"/>
        </w:rPr>
        <w:t xml:space="preserve">COMBINE database holding CP data on Temperature, Salinity, Oxygen, Phosphate, Total Phosphorus, Silicate, Nitrate, Nitrite, Ammonium, Total Nitrogen, Hydrogen </w:t>
      </w:r>
      <w:proofErr w:type="spellStart"/>
      <w:r w:rsidRPr="004529A3">
        <w:rPr>
          <w:lang w:val="en-US"/>
        </w:rPr>
        <w:t>Sulphide</w:t>
      </w:r>
      <w:proofErr w:type="spellEnd"/>
      <w:r w:rsidRPr="004529A3">
        <w:rPr>
          <w:lang w:val="en-US"/>
        </w:rPr>
        <w:t xml:space="preserve">, pH, Alkalinity, Chlorophyll a, </w:t>
      </w:r>
      <w:proofErr w:type="spellStart"/>
      <w:r w:rsidRPr="004529A3">
        <w:rPr>
          <w:lang w:val="en-US"/>
        </w:rPr>
        <w:t>Secchi</w:t>
      </w:r>
      <w:proofErr w:type="spellEnd"/>
      <w:r w:rsidRPr="004529A3">
        <w:rPr>
          <w:lang w:val="en-US"/>
        </w:rPr>
        <w:t xml:space="preserve"> depth</w:t>
      </w:r>
      <w:r>
        <w:rPr>
          <w:lang w:val="en-US"/>
        </w:rPr>
        <w:t>. This database is hosted by ICES.</w:t>
      </w:r>
    </w:p>
    <w:p w:rsidR="004529A3" w:rsidRPr="00B11863" w:rsidRDefault="004529A3" w:rsidP="005A2617">
      <w:pPr>
        <w:pStyle w:val="ListParagraph"/>
        <w:numPr>
          <w:ilvl w:val="0"/>
          <w:numId w:val="14"/>
        </w:numPr>
        <w:jc w:val="both"/>
        <w:rPr>
          <w:lang w:val="en-US"/>
        </w:rPr>
      </w:pPr>
      <w:r w:rsidRPr="00B11863">
        <w:rPr>
          <w:lang w:val="en-US"/>
        </w:rPr>
        <w:t>HELCOM Pollution Load Compilation 5.5 (PLC 5.5) dataset containing all waterborne nutrient and hazardous substances loads gathered by HELCOM contracting parties w</w:t>
      </w:r>
      <w:r w:rsidR="00B11863" w:rsidRPr="00B11863">
        <w:rPr>
          <w:lang w:val="en-US"/>
        </w:rPr>
        <w:t>ithin pollution load monitoring</w:t>
      </w:r>
      <w:r w:rsidR="00B11863">
        <w:rPr>
          <w:lang w:val="en-US"/>
        </w:rPr>
        <w:t>;</w:t>
      </w:r>
    </w:p>
    <w:p w:rsidR="004529A3" w:rsidRDefault="004529A3" w:rsidP="005A2617">
      <w:pPr>
        <w:pStyle w:val="ListParagraph"/>
        <w:numPr>
          <w:ilvl w:val="0"/>
          <w:numId w:val="14"/>
        </w:numPr>
        <w:jc w:val="both"/>
        <w:rPr>
          <w:lang w:val="en-US"/>
        </w:rPr>
      </w:pPr>
      <w:r w:rsidRPr="00B11863">
        <w:rPr>
          <w:lang w:val="en-US"/>
        </w:rPr>
        <w:t>HELCOM Pollution Load Compilation 6 (PLC 6) ongoing comprehensive assessment of water- and airborne inputs and their sources to the Baltic Sea during the period 1994-2014 with more detailed assessment for 2014</w:t>
      </w:r>
      <w:r w:rsidR="00B11863">
        <w:rPr>
          <w:lang w:val="en-US"/>
        </w:rPr>
        <w:t>;</w:t>
      </w:r>
    </w:p>
    <w:p w:rsidR="004529A3" w:rsidRDefault="004529A3" w:rsidP="005A2617">
      <w:pPr>
        <w:pStyle w:val="ListParagraph"/>
        <w:numPr>
          <w:ilvl w:val="0"/>
          <w:numId w:val="14"/>
        </w:numPr>
        <w:jc w:val="both"/>
        <w:rPr>
          <w:lang w:val="en-US"/>
        </w:rPr>
      </w:pPr>
      <w:r w:rsidRPr="004529A3">
        <w:rPr>
          <w:lang w:val="en-US"/>
        </w:rPr>
        <w:t>Ship-of opportuni</w:t>
      </w:r>
      <w:r>
        <w:rPr>
          <w:lang w:val="en-US"/>
        </w:rPr>
        <w:t xml:space="preserve">ty (Ferry-box) DIN, DIP &amp; </w:t>
      </w:r>
      <w:proofErr w:type="spellStart"/>
      <w:r>
        <w:rPr>
          <w:lang w:val="en-US"/>
        </w:rPr>
        <w:t>chl</w:t>
      </w:r>
      <w:proofErr w:type="spellEnd"/>
      <w:r>
        <w:rPr>
          <w:lang w:val="en-US"/>
        </w:rPr>
        <w:t>-a</w:t>
      </w:r>
    </w:p>
    <w:p w:rsidR="004529A3" w:rsidRDefault="004529A3" w:rsidP="005A2617">
      <w:pPr>
        <w:pStyle w:val="ListParagraph"/>
        <w:numPr>
          <w:ilvl w:val="0"/>
          <w:numId w:val="14"/>
        </w:numPr>
        <w:jc w:val="both"/>
        <w:rPr>
          <w:lang w:val="en-US"/>
        </w:rPr>
      </w:pPr>
      <w:r w:rsidRPr="004529A3">
        <w:rPr>
          <w:lang w:val="en-US"/>
        </w:rPr>
        <w:t>Ship-of opportunity (Ferry-box) in situ fluore</w:t>
      </w:r>
      <w:r>
        <w:rPr>
          <w:lang w:val="en-US"/>
        </w:rPr>
        <w:t xml:space="preserve">scence-based </w:t>
      </w:r>
      <w:proofErr w:type="spellStart"/>
      <w:r>
        <w:rPr>
          <w:lang w:val="en-US"/>
        </w:rPr>
        <w:t>chl</w:t>
      </w:r>
      <w:proofErr w:type="spellEnd"/>
      <w:r>
        <w:rPr>
          <w:lang w:val="en-US"/>
        </w:rPr>
        <w:t xml:space="preserve">-a (validated) </w:t>
      </w:r>
    </w:p>
    <w:p w:rsidR="004529A3" w:rsidRPr="004529A3" w:rsidRDefault="004529A3" w:rsidP="005A2617">
      <w:pPr>
        <w:pStyle w:val="ListParagraph"/>
        <w:numPr>
          <w:ilvl w:val="0"/>
          <w:numId w:val="14"/>
        </w:numPr>
        <w:jc w:val="both"/>
        <w:rPr>
          <w:lang w:val="en-US"/>
        </w:rPr>
      </w:pPr>
      <w:r w:rsidRPr="004529A3">
        <w:rPr>
          <w:lang w:val="en-US"/>
        </w:rPr>
        <w:t>Earth obse</w:t>
      </w:r>
      <w:r>
        <w:rPr>
          <w:lang w:val="en-US"/>
        </w:rPr>
        <w:t xml:space="preserve">rvation-based </w:t>
      </w:r>
      <w:proofErr w:type="spellStart"/>
      <w:r>
        <w:rPr>
          <w:lang w:val="en-US"/>
        </w:rPr>
        <w:t>chl</w:t>
      </w:r>
      <w:proofErr w:type="spellEnd"/>
      <w:r>
        <w:rPr>
          <w:lang w:val="en-US"/>
        </w:rPr>
        <w:t>-a (validated);</w:t>
      </w:r>
    </w:p>
    <w:p w:rsidR="004529A3" w:rsidRPr="004529A3" w:rsidRDefault="004529A3" w:rsidP="005A2617">
      <w:pPr>
        <w:pStyle w:val="Heading2"/>
        <w:rPr>
          <w:lang w:val="en-US"/>
        </w:rPr>
      </w:pPr>
      <w:r w:rsidRPr="004529A3">
        <w:rPr>
          <w:lang w:val="en-US"/>
        </w:rPr>
        <w:t>OSPAR</w:t>
      </w:r>
    </w:p>
    <w:p w:rsidR="004529A3" w:rsidRPr="004529A3" w:rsidRDefault="004529A3" w:rsidP="004529A3">
      <w:pPr>
        <w:jc w:val="both"/>
        <w:rPr>
          <w:lang w:val="en-US"/>
        </w:rPr>
      </w:pPr>
      <w:r w:rsidRPr="004529A3">
        <w:rPr>
          <w:lang w:val="en-US"/>
        </w:rPr>
        <w:t>Information on the parameters relevant to eutrophication indicators that the OSPAR data streams include can be found below:</w:t>
      </w:r>
    </w:p>
    <w:p w:rsidR="004529A3" w:rsidRPr="00B11863" w:rsidRDefault="004529A3" w:rsidP="005A2617">
      <w:pPr>
        <w:pStyle w:val="ListParagraph"/>
        <w:numPr>
          <w:ilvl w:val="0"/>
          <w:numId w:val="15"/>
        </w:numPr>
        <w:jc w:val="both"/>
        <w:rPr>
          <w:lang w:val="en-US"/>
        </w:rPr>
      </w:pPr>
      <w:r w:rsidRPr="00B11863">
        <w:rPr>
          <w:lang w:val="en-US"/>
        </w:rPr>
        <w:t xml:space="preserve">“Comprehensive Atmospheric Monitoring Programme (CAMP)” includes data and model results on wet and dry deposition of nitrogen compounds (oxidized and reduced). </w:t>
      </w:r>
    </w:p>
    <w:p w:rsidR="004529A3" w:rsidRPr="00B11863" w:rsidRDefault="004529A3" w:rsidP="005A2617">
      <w:pPr>
        <w:pStyle w:val="ListParagraph"/>
        <w:numPr>
          <w:ilvl w:val="0"/>
          <w:numId w:val="15"/>
        </w:numPr>
        <w:jc w:val="both"/>
        <w:rPr>
          <w:lang w:val="en-US"/>
        </w:rPr>
      </w:pPr>
      <w:r w:rsidRPr="001A6D26">
        <w:rPr>
          <w:lang w:val="en-US"/>
        </w:rPr>
        <w:t>“Comprehensive Study of Riverine Inputs and direct Discharges (RID)” includes data compilations of yearly loads from nitrogen (NH4</w:t>
      </w:r>
      <w:r w:rsidRPr="00E55E03">
        <w:rPr>
          <w:lang w:val="en-US"/>
        </w:rPr>
        <w:t xml:space="preserve">, NO3, </w:t>
      </w:r>
      <w:proofErr w:type="spellStart"/>
      <w:r w:rsidRPr="00E55E03">
        <w:rPr>
          <w:lang w:val="en-US"/>
        </w:rPr>
        <w:t>TotN</w:t>
      </w:r>
      <w:proofErr w:type="spellEnd"/>
      <w:r w:rsidRPr="00E55E03">
        <w:rPr>
          <w:lang w:val="en-US"/>
        </w:rPr>
        <w:t xml:space="preserve">) and phosphorus (PO4, TP) compounds, based on measurements (large rivers) and estimates (smaller tributaries). </w:t>
      </w:r>
    </w:p>
    <w:p w:rsidR="004529A3" w:rsidRPr="00B11863" w:rsidRDefault="004529A3" w:rsidP="005A2617">
      <w:pPr>
        <w:pStyle w:val="ListParagraph"/>
        <w:numPr>
          <w:ilvl w:val="0"/>
          <w:numId w:val="15"/>
        </w:numPr>
        <w:jc w:val="both"/>
        <w:rPr>
          <w:lang w:val="en-US"/>
        </w:rPr>
      </w:pPr>
      <w:r w:rsidRPr="00B11863">
        <w:rPr>
          <w:lang w:val="en-US"/>
        </w:rPr>
        <w:t xml:space="preserve">“Models used for quantification and reporting of nutrient discharges and losses”. This </w:t>
      </w:r>
      <w:proofErr w:type="spellStart"/>
      <w:r w:rsidRPr="00B11863">
        <w:rPr>
          <w:lang w:val="en-US"/>
        </w:rPr>
        <w:t>datastream</w:t>
      </w:r>
      <w:proofErr w:type="spellEnd"/>
      <w:r w:rsidRPr="00B11863">
        <w:rPr>
          <w:lang w:val="en-US"/>
        </w:rPr>
        <w:t xml:space="preserve"> is currently under development. It is anticipated that model results will provide information on source appointments and trans-boundary nutrient transport of </w:t>
      </w:r>
      <w:proofErr w:type="gramStart"/>
      <w:r w:rsidRPr="00B11863">
        <w:rPr>
          <w:lang w:val="en-US"/>
        </w:rPr>
        <w:t>nutrients, that</w:t>
      </w:r>
      <w:proofErr w:type="gramEnd"/>
      <w:r w:rsidRPr="00B11863">
        <w:rPr>
          <w:lang w:val="en-US"/>
        </w:rPr>
        <w:t xml:space="preserve"> can be used in eutrophication assessments and plans of measures. </w:t>
      </w:r>
    </w:p>
    <w:p w:rsidR="004529A3" w:rsidRPr="00B11863" w:rsidRDefault="004529A3" w:rsidP="005A2617">
      <w:pPr>
        <w:pStyle w:val="ListParagraph"/>
        <w:numPr>
          <w:ilvl w:val="0"/>
          <w:numId w:val="15"/>
        </w:numPr>
        <w:jc w:val="both"/>
        <w:rPr>
          <w:lang w:val="en-US"/>
        </w:rPr>
      </w:pPr>
      <w:r w:rsidRPr="00B11863">
        <w:rPr>
          <w:lang w:val="en-US"/>
        </w:rPr>
        <w:t xml:space="preserve">“Comprehensive Environmental Monitoring Programme (CEMP)” contains data on NH4, NO3, NO2, PO4, SiO4, </w:t>
      </w:r>
      <w:proofErr w:type="spellStart"/>
      <w:r w:rsidRPr="00B11863">
        <w:rPr>
          <w:lang w:val="en-US"/>
        </w:rPr>
        <w:t>TotN</w:t>
      </w:r>
      <w:proofErr w:type="spellEnd"/>
      <w:r w:rsidRPr="00B11863">
        <w:rPr>
          <w:lang w:val="en-US"/>
        </w:rPr>
        <w:t xml:space="preserve">, </w:t>
      </w:r>
      <w:proofErr w:type="spellStart"/>
      <w:r w:rsidRPr="00B11863">
        <w:rPr>
          <w:lang w:val="en-US"/>
        </w:rPr>
        <w:t>TotP</w:t>
      </w:r>
      <w:proofErr w:type="spellEnd"/>
      <w:r w:rsidRPr="00B11863">
        <w:rPr>
          <w:lang w:val="en-US"/>
        </w:rPr>
        <w:t xml:space="preserve">, Dissolved Oxygen and Chlorophyll-a, as well as a limited amount of data on phytoplankton species counts. </w:t>
      </w:r>
    </w:p>
    <w:p w:rsidR="004529A3" w:rsidRPr="004529A3" w:rsidRDefault="004529A3" w:rsidP="005A2617">
      <w:pPr>
        <w:pStyle w:val="Heading2"/>
        <w:rPr>
          <w:lang w:val="en-US"/>
        </w:rPr>
      </w:pPr>
      <w:r w:rsidRPr="004529A3">
        <w:rPr>
          <w:lang w:val="en-US"/>
        </w:rPr>
        <w:t>ICES</w:t>
      </w:r>
    </w:p>
    <w:p w:rsidR="004529A3" w:rsidRPr="004529A3" w:rsidRDefault="004529A3" w:rsidP="004529A3">
      <w:pPr>
        <w:jc w:val="both"/>
        <w:rPr>
          <w:lang w:val="en-US"/>
        </w:rPr>
      </w:pPr>
      <w:proofErr w:type="gramStart"/>
      <w:r w:rsidRPr="004529A3">
        <w:rPr>
          <w:lang w:val="en-US"/>
        </w:rPr>
        <w:t>ICES is</w:t>
      </w:r>
      <w:proofErr w:type="gramEnd"/>
      <w:r w:rsidRPr="004529A3">
        <w:rPr>
          <w:lang w:val="en-US"/>
        </w:rPr>
        <w:t xml:space="preserve"> the responsible data </w:t>
      </w:r>
      <w:proofErr w:type="spellStart"/>
      <w:r w:rsidRPr="004529A3">
        <w:rPr>
          <w:lang w:val="en-US"/>
        </w:rPr>
        <w:t>centre</w:t>
      </w:r>
      <w:proofErr w:type="spellEnd"/>
      <w:r w:rsidRPr="004529A3">
        <w:rPr>
          <w:lang w:val="en-US"/>
        </w:rPr>
        <w:t xml:space="preserve"> for the marine environmental monitoring data of HELCOM and OSPAR. Contracting Parties are obliged to report COMBINE (HELCOM Cooperative Monitoring in the Baltic Marine Environment) and CEMP (Comprehensive Environmental Monitoring Programme) monitoring data to ICES on an annual basis by 15 September every year using the agreed reporting formats. The submission is done by email. Data are organized in relational data base and the metadata are ISO19115 compliant. Both data and their metadata are available on-line through Web Services. Further details on data management aspects such as stewardship, quality control, updates of the data sets, </w:t>
      </w:r>
      <w:proofErr w:type="spellStart"/>
      <w:r w:rsidRPr="004529A3">
        <w:rPr>
          <w:lang w:val="en-US"/>
        </w:rPr>
        <w:t>reusage</w:t>
      </w:r>
      <w:proofErr w:type="spellEnd"/>
      <w:r w:rsidRPr="004529A3">
        <w:rPr>
          <w:lang w:val="en-US"/>
        </w:rPr>
        <w:t xml:space="preserve"> of the da</w:t>
      </w:r>
      <w:r w:rsidR="00B11863">
        <w:rPr>
          <w:lang w:val="en-US"/>
        </w:rPr>
        <w:t>ta etc. can be found in RSC data and information flows report, Annex 1.</w:t>
      </w:r>
    </w:p>
    <w:p w:rsidR="004529A3" w:rsidRPr="004529A3" w:rsidRDefault="004529A3" w:rsidP="005A2617">
      <w:pPr>
        <w:pStyle w:val="Heading2"/>
        <w:rPr>
          <w:lang w:val="en-US"/>
        </w:rPr>
      </w:pPr>
      <w:r w:rsidRPr="004529A3">
        <w:rPr>
          <w:lang w:val="en-US"/>
        </w:rPr>
        <w:t>UNEP/MAP</w:t>
      </w:r>
    </w:p>
    <w:p w:rsidR="004529A3" w:rsidRPr="004529A3" w:rsidRDefault="004529A3" w:rsidP="004529A3">
      <w:pPr>
        <w:jc w:val="both"/>
        <w:rPr>
          <w:lang w:val="en-US"/>
        </w:rPr>
      </w:pPr>
      <w:r w:rsidRPr="004529A3">
        <w:rPr>
          <w:lang w:val="en-US"/>
        </w:rPr>
        <w:t xml:space="preserve">MED POL monitoring data reported by the Contracting Parties to UNEP/MAP-Barcelona Convention are held in the MED POL database (http://195.97.36.231/medpol/). The data are reported by the end of the year by email. However not all Contracting Parties report data on a regular basis and there are gaps both in terms of temporal and spatial coverage. The data are held in excel format. Metadata are standardized using internal conventions and rules. Further details on data management aspects such as stewardship, quality control, updates of the data sets, </w:t>
      </w:r>
      <w:proofErr w:type="spellStart"/>
      <w:r w:rsidRPr="004529A3">
        <w:rPr>
          <w:lang w:val="en-US"/>
        </w:rPr>
        <w:t>reusage</w:t>
      </w:r>
      <w:proofErr w:type="spellEnd"/>
      <w:r w:rsidRPr="004529A3">
        <w:rPr>
          <w:lang w:val="en-US"/>
        </w:rPr>
        <w:t xml:space="preserve"> of the data etc. c</w:t>
      </w:r>
      <w:r w:rsidR="00B11863">
        <w:rPr>
          <w:lang w:val="en-US"/>
        </w:rPr>
        <w:t>an be found in RSC data and information flows report, Annex 1.</w:t>
      </w:r>
    </w:p>
    <w:p w:rsidR="004529A3" w:rsidRPr="004529A3" w:rsidRDefault="004529A3" w:rsidP="004529A3">
      <w:pPr>
        <w:jc w:val="both"/>
        <w:rPr>
          <w:lang w:val="en-US"/>
        </w:rPr>
      </w:pPr>
      <w:r w:rsidRPr="004529A3">
        <w:rPr>
          <w:lang w:val="en-US"/>
        </w:rPr>
        <w:t xml:space="preserve">The MED POL Info System is a networked information system intended to provide the Contracting Parties and MED POL Unit with the tools to manage, share, preserve and </w:t>
      </w:r>
      <w:proofErr w:type="spellStart"/>
      <w:r w:rsidRPr="004529A3">
        <w:rPr>
          <w:lang w:val="en-US"/>
        </w:rPr>
        <w:t>analyse</w:t>
      </w:r>
      <w:proofErr w:type="spellEnd"/>
      <w:r w:rsidRPr="004529A3">
        <w:rPr>
          <w:lang w:val="en-US"/>
        </w:rPr>
        <w:t xml:space="preserve"> MED POL data to MED POL users. The Info System is not yet operational but it will soon be available.</w:t>
      </w:r>
    </w:p>
    <w:p w:rsidR="004529A3" w:rsidRPr="004529A3" w:rsidRDefault="004529A3" w:rsidP="004529A3">
      <w:pPr>
        <w:jc w:val="both"/>
        <w:rPr>
          <w:lang w:val="en-US"/>
        </w:rPr>
      </w:pPr>
      <w:r w:rsidRPr="004529A3">
        <w:rPr>
          <w:lang w:val="en-US"/>
        </w:rPr>
        <w:t>Information on the parameters relevant to eutrophication indicators that the UNEP/MAP data streams include can be found below:</w:t>
      </w:r>
    </w:p>
    <w:p w:rsidR="004529A3" w:rsidRPr="00B11863" w:rsidRDefault="004529A3" w:rsidP="005A2617">
      <w:pPr>
        <w:pStyle w:val="ListParagraph"/>
        <w:numPr>
          <w:ilvl w:val="0"/>
          <w:numId w:val="16"/>
        </w:numPr>
        <w:jc w:val="both"/>
        <w:rPr>
          <w:lang w:val="en-US"/>
        </w:rPr>
      </w:pPr>
      <w:r w:rsidRPr="00B11863">
        <w:rPr>
          <w:lang w:val="en-US"/>
        </w:rPr>
        <w:t>MED POL data base holding data on NO3, NO2, NH4, PO4 (or Total N, Total P) and SiO4 (occasionally) and general oceanographic parameters (temperature, salinity, dissolved oxygen)</w:t>
      </w:r>
    </w:p>
    <w:p w:rsidR="004529A3" w:rsidRPr="00E55E03" w:rsidRDefault="004529A3" w:rsidP="005A2617">
      <w:pPr>
        <w:pStyle w:val="ListParagraph"/>
        <w:numPr>
          <w:ilvl w:val="0"/>
          <w:numId w:val="16"/>
        </w:numPr>
        <w:jc w:val="both"/>
        <w:rPr>
          <w:lang w:val="en-US"/>
        </w:rPr>
      </w:pPr>
      <w:r w:rsidRPr="001A6D26">
        <w:rPr>
          <w:lang w:val="en-US"/>
        </w:rPr>
        <w:t>Land-based pollution sources database holding national data on pollutants industrial and municipal discharges collected by national surveys</w:t>
      </w:r>
    </w:p>
    <w:p w:rsidR="004529A3" w:rsidRPr="004529A3" w:rsidRDefault="004529A3" w:rsidP="005A2617">
      <w:pPr>
        <w:pStyle w:val="Heading2"/>
        <w:rPr>
          <w:lang w:val="en-US"/>
        </w:rPr>
      </w:pPr>
      <w:r w:rsidRPr="004529A3">
        <w:rPr>
          <w:lang w:val="en-US"/>
        </w:rPr>
        <w:t>B</w:t>
      </w:r>
      <w:r w:rsidR="00B11863">
        <w:rPr>
          <w:lang w:val="en-US"/>
        </w:rPr>
        <w:t xml:space="preserve">lack </w:t>
      </w:r>
      <w:r w:rsidRPr="004529A3">
        <w:rPr>
          <w:lang w:val="en-US"/>
        </w:rPr>
        <w:t>S</w:t>
      </w:r>
      <w:r w:rsidR="00B11863">
        <w:rPr>
          <w:lang w:val="en-US"/>
        </w:rPr>
        <w:t xml:space="preserve">ea </w:t>
      </w:r>
      <w:r w:rsidRPr="004529A3">
        <w:rPr>
          <w:lang w:val="en-US"/>
        </w:rPr>
        <w:t>C</w:t>
      </w:r>
      <w:r w:rsidR="00B11863">
        <w:rPr>
          <w:lang w:val="en-US"/>
        </w:rPr>
        <w:t>ommission</w:t>
      </w:r>
    </w:p>
    <w:p w:rsidR="004529A3" w:rsidRPr="004529A3" w:rsidRDefault="004529A3" w:rsidP="004529A3">
      <w:pPr>
        <w:jc w:val="both"/>
        <w:rPr>
          <w:lang w:val="en-US"/>
        </w:rPr>
      </w:pPr>
      <w:r w:rsidRPr="004529A3">
        <w:rPr>
          <w:lang w:val="en-US"/>
        </w:rPr>
        <w:t>The Black Sea Integrated Monitoring and Assessment Programme (BSIMAP) provides common data/information reporting formats and the contracting parties have the obligation to report to the BSC on an annual basis using these agreed formats. Data are annually collected, though with a different observation frequency per year.</w:t>
      </w:r>
    </w:p>
    <w:p w:rsidR="004529A3" w:rsidRPr="004529A3" w:rsidRDefault="004529A3" w:rsidP="004529A3">
      <w:pPr>
        <w:jc w:val="both"/>
        <w:rPr>
          <w:lang w:val="en-US"/>
        </w:rPr>
      </w:pPr>
      <w:r w:rsidRPr="004529A3">
        <w:rPr>
          <w:lang w:val="en-US"/>
        </w:rPr>
        <w:t xml:space="preserve">The BSC Regional Database on Pollution is a component of the Black Sea Information System (BSIS) held by the Regional Activity Center for Pollution Monitoring and Assessment (RAC PMA). Nutrients data constitute the major part of the </w:t>
      </w:r>
      <w:proofErr w:type="spellStart"/>
      <w:r w:rsidRPr="004529A3">
        <w:rPr>
          <w:lang w:val="en-US"/>
        </w:rPr>
        <w:t>database.The</w:t>
      </w:r>
      <w:proofErr w:type="spellEnd"/>
      <w:r w:rsidRPr="004529A3">
        <w:rPr>
          <w:lang w:val="en-US"/>
        </w:rPr>
        <w:t xml:space="preserve"> Black Sea Regional Database is available through the web </w:t>
      </w:r>
      <w:proofErr w:type="spellStart"/>
      <w:r w:rsidRPr="004529A3">
        <w:rPr>
          <w:lang w:val="en-US"/>
        </w:rPr>
        <w:t>site:http</w:t>
      </w:r>
      <w:proofErr w:type="spellEnd"/>
      <w:r w:rsidRPr="004529A3">
        <w:rPr>
          <w:lang w:val="en-US"/>
        </w:rPr>
        <w:t xml:space="preserve">://rdbp.sea.gov.ua. Password is required for external users to access it. The database is built using a relational database management system (RDBMS). Metadata descriptions and their standards follow the SeaDataNet approach. Further details on data management aspects such as stewardship, quality control, updates of the data sets, </w:t>
      </w:r>
      <w:proofErr w:type="spellStart"/>
      <w:r w:rsidRPr="004529A3">
        <w:rPr>
          <w:lang w:val="en-US"/>
        </w:rPr>
        <w:t>reusage</w:t>
      </w:r>
      <w:proofErr w:type="spellEnd"/>
      <w:r w:rsidRPr="004529A3">
        <w:rPr>
          <w:lang w:val="en-US"/>
        </w:rPr>
        <w:t xml:space="preserve"> of the data etc. can be found in Annex 1. Detailed description of the BSC database can be found in the report “The development of a new version of the Regional Data base on Pollution of BSIS” prepared by the RAC PMA under the BSC-Baltic2Black Service contract (rdbp.sea.gov.ua/docs/FINAL_REPORT_RDB.doc)</w:t>
      </w:r>
    </w:p>
    <w:p w:rsidR="004529A3" w:rsidRPr="004529A3" w:rsidRDefault="004529A3" w:rsidP="004529A3">
      <w:pPr>
        <w:jc w:val="both"/>
        <w:rPr>
          <w:lang w:val="en-US"/>
        </w:rPr>
      </w:pPr>
      <w:r w:rsidRPr="004529A3">
        <w:rPr>
          <w:lang w:val="en-US"/>
        </w:rPr>
        <w:t>Information on the parameters relevant to eutrophication indicators that the BSC data streams include can be found below:</w:t>
      </w:r>
    </w:p>
    <w:p w:rsidR="004529A3" w:rsidRPr="00B11863" w:rsidRDefault="004529A3" w:rsidP="005A2617">
      <w:pPr>
        <w:pStyle w:val="ListParagraph"/>
        <w:numPr>
          <w:ilvl w:val="0"/>
          <w:numId w:val="17"/>
        </w:numPr>
        <w:jc w:val="both"/>
        <w:rPr>
          <w:lang w:val="en-US"/>
        </w:rPr>
      </w:pPr>
      <w:r w:rsidRPr="00B11863">
        <w:rPr>
          <w:lang w:val="en-US"/>
        </w:rPr>
        <w:t xml:space="preserve">Regional Data base on Pollution holding data on NO2, NO3, NH4, Total N, PO4, Total P, SiO4, </w:t>
      </w:r>
      <w:proofErr w:type="spellStart"/>
      <w:r w:rsidRPr="00B11863">
        <w:rPr>
          <w:lang w:val="en-US"/>
        </w:rPr>
        <w:t>Chl</w:t>
      </w:r>
      <w:proofErr w:type="spellEnd"/>
      <w:r w:rsidRPr="00B11863">
        <w:rPr>
          <w:lang w:val="en-US"/>
        </w:rPr>
        <w:t xml:space="preserve"> a, Т, Salinity, O2, O2 %.</w:t>
      </w:r>
    </w:p>
    <w:p w:rsidR="004529A3" w:rsidRPr="00E55E03" w:rsidRDefault="004529A3" w:rsidP="005A2617">
      <w:pPr>
        <w:pStyle w:val="ListParagraph"/>
        <w:numPr>
          <w:ilvl w:val="0"/>
          <w:numId w:val="17"/>
        </w:numPr>
        <w:jc w:val="both"/>
        <w:rPr>
          <w:lang w:val="en-US"/>
        </w:rPr>
      </w:pPr>
      <w:r w:rsidRPr="001A6D26">
        <w:rPr>
          <w:lang w:val="en-US"/>
        </w:rPr>
        <w:t>Data on input of nutrients from direct sources. The data are stored in the BSC information system as excel files and are not accessible online.</w:t>
      </w:r>
    </w:p>
    <w:p w:rsidR="004529A3" w:rsidRPr="004529A3" w:rsidRDefault="004529A3" w:rsidP="005A2617">
      <w:pPr>
        <w:pStyle w:val="Heading2"/>
        <w:rPr>
          <w:lang w:val="en-US"/>
        </w:rPr>
      </w:pPr>
      <w:r w:rsidRPr="004529A3">
        <w:rPr>
          <w:lang w:val="en-US"/>
        </w:rPr>
        <w:t>EEA</w:t>
      </w:r>
    </w:p>
    <w:p w:rsidR="004529A3" w:rsidRPr="004529A3" w:rsidRDefault="004529A3" w:rsidP="004529A3">
      <w:pPr>
        <w:jc w:val="both"/>
        <w:rPr>
          <w:lang w:val="en-US"/>
        </w:rPr>
      </w:pPr>
      <w:r w:rsidRPr="004529A3">
        <w:rPr>
          <w:lang w:val="en-US"/>
        </w:rPr>
        <w:t>EEA has organized its data flows with the European environment information and observation network (</w:t>
      </w:r>
      <w:r w:rsidR="00046EE0">
        <w:rPr>
          <w:lang w:val="en-US"/>
        </w:rPr>
        <w:t>EIONET</w:t>
      </w:r>
      <w:r w:rsidRPr="004529A3">
        <w:rPr>
          <w:lang w:val="en-US"/>
        </w:rPr>
        <w:t xml:space="preserve">), a partnership network of the EEA and 33 members and 6 cooperating countries. </w:t>
      </w:r>
      <w:r w:rsidR="00046EE0">
        <w:rPr>
          <w:lang w:val="en-US"/>
        </w:rPr>
        <w:t>EIONET</w:t>
      </w:r>
      <w:r w:rsidRPr="004529A3">
        <w:rPr>
          <w:lang w:val="en-US"/>
        </w:rPr>
        <w:t xml:space="preserve"> consists of the EEA itself, a number of European Topic </w:t>
      </w:r>
      <w:proofErr w:type="spellStart"/>
      <w:r w:rsidRPr="004529A3">
        <w:rPr>
          <w:lang w:val="en-US"/>
        </w:rPr>
        <w:t>Centres</w:t>
      </w:r>
      <w:proofErr w:type="spellEnd"/>
      <w:r w:rsidRPr="004529A3">
        <w:rPr>
          <w:lang w:val="en-US"/>
        </w:rPr>
        <w:t xml:space="preserve"> (ETCs) – ETC/ICM (Inland, Coastal and Marine Waters) being the water thematic center - and a network of National Focal Points (NFPs) and National Reference </w:t>
      </w:r>
      <w:proofErr w:type="spellStart"/>
      <w:r w:rsidRPr="004529A3">
        <w:rPr>
          <w:lang w:val="en-US"/>
        </w:rPr>
        <w:t>Centres</w:t>
      </w:r>
      <w:proofErr w:type="spellEnd"/>
      <w:r w:rsidRPr="004529A3">
        <w:rPr>
          <w:lang w:val="en-US"/>
        </w:rPr>
        <w:t xml:space="preserve"> (NRCs).</w:t>
      </w:r>
    </w:p>
    <w:p w:rsidR="004529A3" w:rsidRPr="004529A3" w:rsidRDefault="004529A3" w:rsidP="004529A3">
      <w:pPr>
        <w:jc w:val="both"/>
        <w:rPr>
          <w:lang w:val="en-US"/>
        </w:rPr>
      </w:pPr>
      <w:r w:rsidRPr="004529A3">
        <w:rPr>
          <w:lang w:val="en-US"/>
        </w:rPr>
        <w:t xml:space="preserve">In the context of the implementation of the Water Framework Directive (WFD), EEA´s </w:t>
      </w:r>
      <w:r w:rsidR="00046EE0">
        <w:rPr>
          <w:lang w:val="en-US"/>
        </w:rPr>
        <w:t>EIONET</w:t>
      </w:r>
      <w:r w:rsidRPr="004529A3">
        <w:rPr>
          <w:lang w:val="en-US"/>
        </w:rPr>
        <w:t>-Water annual data flow for waters was transferred into the WISE ‘State of the Environment’ (SoE) data flow in 2008 and gained full integration into the reporting under WISE complementary with data reported under the WFD (i.e. information reported already under the WFD obligatory reporting would not be required again, but used as available in WISE).</w:t>
      </w:r>
    </w:p>
    <w:p w:rsidR="004529A3" w:rsidRPr="004529A3" w:rsidRDefault="004529A3" w:rsidP="004529A3">
      <w:pPr>
        <w:jc w:val="both"/>
        <w:rPr>
          <w:lang w:val="en-US"/>
        </w:rPr>
      </w:pPr>
      <w:r w:rsidRPr="004529A3">
        <w:rPr>
          <w:lang w:val="en-US"/>
        </w:rPr>
        <w:t>The WISE SoE TCM (Transitional, Coastal and Marine Waters) dataset results from data collected annually both from EEA member countries and from the RSCs through the WISE-SoE TCM data collection process.</w:t>
      </w:r>
    </w:p>
    <w:p w:rsidR="004529A3" w:rsidRPr="004529A3" w:rsidRDefault="004529A3" w:rsidP="004529A3">
      <w:pPr>
        <w:jc w:val="both"/>
        <w:rPr>
          <w:lang w:val="en-US"/>
        </w:rPr>
      </w:pPr>
      <w:r w:rsidRPr="004529A3">
        <w:rPr>
          <w:lang w:val="en-US"/>
        </w:rPr>
        <w:t>WISE-SoE data collection process is based on the existing monitoring networks in the EEA member countries, where a representative sub-sample of national monitoring sites in rivers, lakes, groundwater and transitional, coastal and marine waters were selected for the European network with no additional demands for new data gathering. WISE-SoE data collection runs annually and traditionally starts at the end of July/beginning of August.</w:t>
      </w:r>
    </w:p>
    <w:p w:rsidR="004529A3" w:rsidRPr="004529A3" w:rsidRDefault="00B11863" w:rsidP="004529A3">
      <w:pPr>
        <w:jc w:val="both"/>
        <w:rPr>
          <w:lang w:val="en-US"/>
        </w:rPr>
      </w:pPr>
      <w:r>
        <w:rPr>
          <w:lang w:val="en-US"/>
        </w:rPr>
        <w:t>W</w:t>
      </w:r>
      <w:r w:rsidR="004529A3" w:rsidRPr="004529A3">
        <w:rPr>
          <w:lang w:val="en-US"/>
        </w:rPr>
        <w:t xml:space="preserve">ISE SoE data on transitional, coastal and marine waters (WISE SoE TCM) is reported annually to the EEA by the </w:t>
      </w:r>
      <w:r w:rsidR="00046EE0">
        <w:rPr>
          <w:lang w:val="en-US"/>
        </w:rPr>
        <w:t>EIONET</w:t>
      </w:r>
      <w:r w:rsidR="004529A3" w:rsidRPr="004529A3">
        <w:rPr>
          <w:lang w:val="en-US"/>
        </w:rPr>
        <w:t xml:space="preserve"> countries using the </w:t>
      </w:r>
      <w:proofErr w:type="spellStart"/>
      <w:r w:rsidR="004529A3" w:rsidRPr="004529A3">
        <w:rPr>
          <w:lang w:val="en-US"/>
        </w:rPr>
        <w:t>Reportnet</w:t>
      </w:r>
      <w:proofErr w:type="spellEnd"/>
      <w:r w:rsidR="004529A3" w:rsidRPr="004529A3">
        <w:rPr>
          <w:lang w:val="en-US"/>
        </w:rPr>
        <w:t xml:space="preserve"> tools based on agreed set of specifications, schemas, templates and common dictionaries available to countries for structuring and formatting their deliveries. Countries are responsible for the quality control and assurance of their national datasets. WISE SoE datasets are then further handled by the European Topic Centre on Inland, Coastal and Marine waters (ETC/ICM), where a series of QA and validation routines are performed in order to ensure that the data delivered to the EEA are comparable at the European level.</w:t>
      </w:r>
    </w:p>
    <w:p w:rsidR="004529A3" w:rsidRPr="004529A3" w:rsidRDefault="004529A3" w:rsidP="004529A3">
      <w:pPr>
        <w:jc w:val="both"/>
        <w:rPr>
          <w:lang w:val="en-US"/>
        </w:rPr>
      </w:pPr>
      <w:r w:rsidRPr="004529A3">
        <w:rPr>
          <w:lang w:val="en-US"/>
        </w:rPr>
        <w:t>To manage the duplicate submissions within the WISE SoE TCM data flow, an agreement was reached whereby countries were to provide only data that had not already been submitted to the RSC. Data submitted to the RSC is obtained from ICES directly.</w:t>
      </w:r>
    </w:p>
    <w:p w:rsidR="004529A3" w:rsidRPr="004529A3" w:rsidRDefault="004529A3" w:rsidP="004529A3">
      <w:pPr>
        <w:jc w:val="both"/>
        <w:rPr>
          <w:lang w:val="en-US"/>
        </w:rPr>
      </w:pPr>
      <w:r w:rsidRPr="004529A3">
        <w:rPr>
          <w:lang w:val="en-US"/>
        </w:rPr>
        <w:t xml:space="preserve">Data and information obtained through the above processes are used to produce indicators upon which EEA assessment reports are based. Collected data are also published in </w:t>
      </w:r>
      <w:proofErr w:type="spellStart"/>
      <w:r w:rsidRPr="004529A3">
        <w:rPr>
          <w:lang w:val="en-US"/>
        </w:rPr>
        <w:t>Waterbase</w:t>
      </w:r>
      <w:proofErr w:type="spellEnd"/>
      <w:r w:rsidRPr="004529A3">
        <w:rPr>
          <w:lang w:val="en-US"/>
        </w:rPr>
        <w:t xml:space="preserve">, a series of water topic-specific databases and web pages, publicly accessible via the EEA Data Service's web site. The most recent WISE SoE TCM data can be viewed, </w:t>
      </w:r>
      <w:proofErr w:type="spellStart"/>
      <w:r w:rsidRPr="004529A3">
        <w:rPr>
          <w:lang w:val="en-US"/>
        </w:rPr>
        <w:t>analysed</w:t>
      </w:r>
      <w:proofErr w:type="spellEnd"/>
      <w:r w:rsidRPr="004529A3">
        <w:rPr>
          <w:lang w:val="en-US"/>
        </w:rPr>
        <w:t xml:space="preserve"> and downloaded from the </w:t>
      </w:r>
      <w:proofErr w:type="spellStart"/>
      <w:r w:rsidRPr="004529A3">
        <w:rPr>
          <w:lang w:val="en-US"/>
        </w:rPr>
        <w:t>Waterbase</w:t>
      </w:r>
      <w:proofErr w:type="spellEnd"/>
      <w:r w:rsidRPr="004529A3">
        <w:rPr>
          <w:lang w:val="en-US"/>
        </w:rPr>
        <w:t xml:space="preserve"> – TCM, an EEA data service available at the following website: http://www.eea.europa.eu/data-and-maps/data/waterbase-transitional-coastal-and-marine-waters-9</w:t>
      </w:r>
    </w:p>
    <w:p w:rsidR="004529A3" w:rsidRPr="004529A3" w:rsidRDefault="004529A3" w:rsidP="004529A3">
      <w:pPr>
        <w:jc w:val="both"/>
        <w:rPr>
          <w:lang w:val="en-US"/>
        </w:rPr>
      </w:pPr>
      <w:r w:rsidRPr="004529A3">
        <w:rPr>
          <w:lang w:val="en-US"/>
        </w:rPr>
        <w:t>The WISE SoE TCM dataset contains data on physical characteristics of the transitional, coastal and marine water monitoring and flux stations, proxy pressures on the upstream catchment, basin and River Basin District associated with transitional and coastal waters, chemical quality data on nutrients in seawater and hazardous substances in biota, sediment and seawater, as well as data on direct discharges and riverine input loads.</w:t>
      </w:r>
    </w:p>
    <w:p w:rsidR="00F60B1F" w:rsidRDefault="00F60B1F" w:rsidP="00F60B1F">
      <w:pPr>
        <w:rPr>
          <w:b/>
          <w:lang w:val="en-US"/>
        </w:rPr>
      </w:pPr>
    </w:p>
    <w:sectPr w:rsidR="00F60B1F">
      <w:headerReference w:type="default" r:id="rId9"/>
      <w:footerReference w:type="default" r:id="rId10"/>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13C6BF6" w15:done="0"/>
  <w15:commentEx w15:paraId="63ED6D67" w15:done="0"/>
  <w15:commentEx w15:paraId="44451CB7" w15:done="0"/>
  <w15:commentEx w15:paraId="75E572C7" w15:paraIdParent="44451CB7" w15:done="0"/>
  <w15:commentEx w15:paraId="1A301DB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920" w:rsidRDefault="00120920" w:rsidP="004B612D">
      <w:pPr>
        <w:spacing w:after="0" w:line="240" w:lineRule="auto"/>
      </w:pPr>
      <w:r>
        <w:separator/>
      </w:r>
    </w:p>
  </w:endnote>
  <w:endnote w:type="continuationSeparator" w:id="0">
    <w:p w:rsidR="00120920" w:rsidRDefault="00120920" w:rsidP="004B61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MS PMincho"/>
    <w:charset w:val="80"/>
    <w:family w:val="roman"/>
    <w:pitch w:val="variable"/>
  </w:font>
  <w:font w:name="DejaVu Sans">
    <w:charset w:val="80"/>
    <w:family w:val="auto"/>
    <w:pitch w:val="variable"/>
  </w:font>
  <w:font w:name="Lohit Hindi">
    <w:altName w:val="MS Mincho"/>
    <w:charset w:val="80"/>
    <w:family w:val="auto"/>
    <w:pitch w:val="default"/>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3766435"/>
      <w:docPartObj>
        <w:docPartGallery w:val="Page Numbers (Bottom of Page)"/>
        <w:docPartUnique/>
      </w:docPartObj>
    </w:sdtPr>
    <w:sdtEndPr>
      <w:rPr>
        <w:noProof/>
      </w:rPr>
    </w:sdtEndPr>
    <w:sdtContent>
      <w:p w:rsidR="005E02E4" w:rsidRDefault="005E02E4">
        <w:pPr>
          <w:pStyle w:val="Footer"/>
          <w:jc w:val="center"/>
        </w:pPr>
        <w:r>
          <w:fldChar w:fldCharType="begin"/>
        </w:r>
        <w:r>
          <w:instrText xml:space="preserve"> PAGE   \* MERGEFORMAT </w:instrText>
        </w:r>
        <w:r>
          <w:fldChar w:fldCharType="separate"/>
        </w:r>
        <w:r w:rsidR="00B67E63">
          <w:rPr>
            <w:noProof/>
          </w:rPr>
          <w:t>1</w:t>
        </w:r>
        <w:r>
          <w:rPr>
            <w:noProof/>
          </w:rPr>
          <w:fldChar w:fldCharType="end"/>
        </w:r>
      </w:p>
    </w:sdtContent>
  </w:sdt>
  <w:p w:rsidR="005E02E4" w:rsidRDefault="005E02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920" w:rsidRDefault="00120920" w:rsidP="004B612D">
      <w:pPr>
        <w:spacing w:after="0" w:line="240" w:lineRule="auto"/>
      </w:pPr>
      <w:r>
        <w:separator/>
      </w:r>
    </w:p>
  </w:footnote>
  <w:footnote w:type="continuationSeparator" w:id="0">
    <w:p w:rsidR="00120920" w:rsidRDefault="00120920" w:rsidP="004B61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23F" w:rsidRDefault="00E7523F" w:rsidP="00E7523F">
    <w:pPr>
      <w:pStyle w:val="Header"/>
      <w:jc w:val="right"/>
    </w:pPr>
    <w:r w:rsidRPr="00F44C96">
      <w:rPr>
        <w:rFonts w:cstheme="minorHAnsi"/>
        <w:b/>
        <w:sz w:val="24"/>
      </w:rPr>
      <w:t>DIKE_10-2014-0</w:t>
    </w:r>
    <w:r>
      <w:rPr>
        <w:rFonts w:cstheme="minorHAnsi"/>
        <w:b/>
        <w:sz w:val="24"/>
      </w:rPr>
      <w:t>7</w:t>
    </w:r>
  </w:p>
  <w:p w:rsidR="00E7523F" w:rsidRDefault="00E752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B78E2"/>
    <w:multiLevelType w:val="hybridMultilevel"/>
    <w:tmpl w:val="23A845B8"/>
    <w:lvl w:ilvl="0" w:tplc="49F2351E">
      <w:start w:val="5"/>
      <w:numFmt w:val="bullet"/>
      <w:lvlText w:val="-"/>
      <w:lvlJc w:val="left"/>
      <w:pPr>
        <w:ind w:left="720" w:hanging="360"/>
      </w:pPr>
      <w:rPr>
        <w:rFonts w:ascii="Calibri" w:eastAsiaTheme="minorEastAsia"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FA0685"/>
    <w:multiLevelType w:val="hybridMultilevel"/>
    <w:tmpl w:val="93C6A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AA2740A"/>
    <w:multiLevelType w:val="hybridMultilevel"/>
    <w:tmpl w:val="CA105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FE00EDD"/>
    <w:multiLevelType w:val="hybridMultilevel"/>
    <w:tmpl w:val="36302E1E"/>
    <w:lvl w:ilvl="0" w:tplc="56DA5744">
      <w:numFmt w:val="bullet"/>
      <w:lvlText w:val="-"/>
      <w:lvlJc w:val="left"/>
      <w:pPr>
        <w:ind w:left="1080" w:hanging="360"/>
      </w:pPr>
      <w:rPr>
        <w:rFonts w:ascii="Calibri" w:eastAsiaTheme="minorEastAsia"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280D2EF4"/>
    <w:multiLevelType w:val="hybridMultilevel"/>
    <w:tmpl w:val="852C4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E535A24"/>
    <w:multiLevelType w:val="hybridMultilevel"/>
    <w:tmpl w:val="FFF4CA4C"/>
    <w:lvl w:ilvl="0" w:tplc="472233A8">
      <w:start w:val="5"/>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18923C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361F71FE"/>
    <w:multiLevelType w:val="hybridMultilevel"/>
    <w:tmpl w:val="1AFED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1BD2B94"/>
    <w:multiLevelType w:val="hybridMultilevel"/>
    <w:tmpl w:val="A6B4CCFC"/>
    <w:lvl w:ilvl="0" w:tplc="013814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43846446"/>
    <w:multiLevelType w:val="hybridMultilevel"/>
    <w:tmpl w:val="28025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8D8555E"/>
    <w:multiLevelType w:val="hybridMultilevel"/>
    <w:tmpl w:val="7F58F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D8D26AB"/>
    <w:multiLevelType w:val="hybridMultilevel"/>
    <w:tmpl w:val="06A665AC"/>
    <w:lvl w:ilvl="0" w:tplc="55F8A358">
      <w:start w:val="5"/>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1CC145B"/>
    <w:multiLevelType w:val="hybridMultilevel"/>
    <w:tmpl w:val="1E3C4FB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2785CA4"/>
    <w:multiLevelType w:val="hybridMultilevel"/>
    <w:tmpl w:val="2C04026A"/>
    <w:lvl w:ilvl="0" w:tplc="C124204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695F340B"/>
    <w:multiLevelType w:val="hybridMultilevel"/>
    <w:tmpl w:val="4BCC3E68"/>
    <w:lvl w:ilvl="0" w:tplc="A588F3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6F92102B"/>
    <w:multiLevelType w:val="hybridMultilevel"/>
    <w:tmpl w:val="77FEF154"/>
    <w:lvl w:ilvl="0" w:tplc="D916C38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728C2759"/>
    <w:multiLevelType w:val="hybridMultilevel"/>
    <w:tmpl w:val="CDF4B6D8"/>
    <w:lvl w:ilvl="0" w:tplc="592C478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740E12EB"/>
    <w:multiLevelType w:val="hybridMultilevel"/>
    <w:tmpl w:val="DFA8A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6"/>
  </w:num>
  <w:num w:numId="3">
    <w:abstractNumId w:val="15"/>
  </w:num>
  <w:num w:numId="4">
    <w:abstractNumId w:val="13"/>
  </w:num>
  <w:num w:numId="5">
    <w:abstractNumId w:val="6"/>
  </w:num>
  <w:num w:numId="6">
    <w:abstractNumId w:val="17"/>
  </w:num>
  <w:num w:numId="7">
    <w:abstractNumId w:val="9"/>
  </w:num>
  <w:num w:numId="8">
    <w:abstractNumId w:val="2"/>
  </w:num>
  <w:num w:numId="9">
    <w:abstractNumId w:val="3"/>
  </w:num>
  <w:num w:numId="10">
    <w:abstractNumId w:val="14"/>
  </w:num>
  <w:num w:numId="11">
    <w:abstractNumId w:val="5"/>
  </w:num>
  <w:num w:numId="12">
    <w:abstractNumId w:val="11"/>
  </w:num>
  <w:num w:numId="13">
    <w:abstractNumId w:val="0"/>
  </w:num>
  <w:num w:numId="14">
    <w:abstractNumId w:val="7"/>
  </w:num>
  <w:num w:numId="15">
    <w:abstractNumId w:val="10"/>
  </w:num>
  <w:num w:numId="16">
    <w:abstractNumId w:val="1"/>
  </w:num>
  <w:num w:numId="17">
    <w:abstractNumId w:val="4"/>
  </w:num>
  <w:num w:numId="18">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eil Holdsworth">
    <w15:presenceInfo w15:providerId="AD" w15:userId="S-1-5-21-1123561945-1035525444-1801674531-50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0134AD"/>
    <w:rsid w:val="000134AD"/>
    <w:rsid w:val="00027B69"/>
    <w:rsid w:val="0004623A"/>
    <w:rsid w:val="00046EE0"/>
    <w:rsid w:val="00080C98"/>
    <w:rsid w:val="00092037"/>
    <w:rsid w:val="00096DE1"/>
    <w:rsid w:val="000A6E55"/>
    <w:rsid w:val="000B04EE"/>
    <w:rsid w:val="000B3AB0"/>
    <w:rsid w:val="000B7425"/>
    <w:rsid w:val="000C4056"/>
    <w:rsid w:val="000D65D6"/>
    <w:rsid w:val="000E32D9"/>
    <w:rsid w:val="000E78C6"/>
    <w:rsid w:val="000F35E6"/>
    <w:rsid w:val="000F4EAD"/>
    <w:rsid w:val="00117BAC"/>
    <w:rsid w:val="00120920"/>
    <w:rsid w:val="00127E63"/>
    <w:rsid w:val="00140FC7"/>
    <w:rsid w:val="0015068D"/>
    <w:rsid w:val="00152619"/>
    <w:rsid w:val="0017258B"/>
    <w:rsid w:val="00176B96"/>
    <w:rsid w:val="00184FC4"/>
    <w:rsid w:val="00195681"/>
    <w:rsid w:val="001A5938"/>
    <w:rsid w:val="001A6D26"/>
    <w:rsid w:val="001D7DFF"/>
    <w:rsid w:val="001E3F35"/>
    <w:rsid w:val="001E6595"/>
    <w:rsid w:val="00202E85"/>
    <w:rsid w:val="00214A37"/>
    <w:rsid w:val="00222DF0"/>
    <w:rsid w:val="002319E4"/>
    <w:rsid w:val="00231FFC"/>
    <w:rsid w:val="002325CC"/>
    <w:rsid w:val="00235A45"/>
    <w:rsid w:val="0024357F"/>
    <w:rsid w:val="00244B89"/>
    <w:rsid w:val="002508E9"/>
    <w:rsid w:val="002571F9"/>
    <w:rsid w:val="00261A92"/>
    <w:rsid w:val="00263B69"/>
    <w:rsid w:val="00281BD0"/>
    <w:rsid w:val="00294486"/>
    <w:rsid w:val="002B3078"/>
    <w:rsid w:val="002B76A5"/>
    <w:rsid w:val="002C0B11"/>
    <w:rsid w:val="002E19F6"/>
    <w:rsid w:val="002E702D"/>
    <w:rsid w:val="002F1F52"/>
    <w:rsid w:val="0030239C"/>
    <w:rsid w:val="003058D6"/>
    <w:rsid w:val="00323CAE"/>
    <w:rsid w:val="00326C8C"/>
    <w:rsid w:val="00333AD4"/>
    <w:rsid w:val="0033665B"/>
    <w:rsid w:val="003414E2"/>
    <w:rsid w:val="00344917"/>
    <w:rsid w:val="00355414"/>
    <w:rsid w:val="0037557E"/>
    <w:rsid w:val="00386A3B"/>
    <w:rsid w:val="003871E6"/>
    <w:rsid w:val="0039124E"/>
    <w:rsid w:val="003913DB"/>
    <w:rsid w:val="003B4986"/>
    <w:rsid w:val="003D1A26"/>
    <w:rsid w:val="003D4709"/>
    <w:rsid w:val="003E14FF"/>
    <w:rsid w:val="003E39E9"/>
    <w:rsid w:val="003E4479"/>
    <w:rsid w:val="003F3815"/>
    <w:rsid w:val="00401C3D"/>
    <w:rsid w:val="004137FD"/>
    <w:rsid w:val="00424BB7"/>
    <w:rsid w:val="004529A3"/>
    <w:rsid w:val="00463E5F"/>
    <w:rsid w:val="004A585B"/>
    <w:rsid w:val="004B612D"/>
    <w:rsid w:val="004C1582"/>
    <w:rsid w:val="004C58CE"/>
    <w:rsid w:val="004C6FF9"/>
    <w:rsid w:val="004D3906"/>
    <w:rsid w:val="004E441D"/>
    <w:rsid w:val="00500405"/>
    <w:rsid w:val="00500DF1"/>
    <w:rsid w:val="00504C37"/>
    <w:rsid w:val="005206A8"/>
    <w:rsid w:val="00546E4B"/>
    <w:rsid w:val="00576801"/>
    <w:rsid w:val="00590602"/>
    <w:rsid w:val="00592019"/>
    <w:rsid w:val="005948A9"/>
    <w:rsid w:val="00595F09"/>
    <w:rsid w:val="005A2617"/>
    <w:rsid w:val="005A587E"/>
    <w:rsid w:val="005A5C12"/>
    <w:rsid w:val="005C4985"/>
    <w:rsid w:val="005E02E4"/>
    <w:rsid w:val="005F2E2D"/>
    <w:rsid w:val="005F76B7"/>
    <w:rsid w:val="00602EF3"/>
    <w:rsid w:val="00606E0B"/>
    <w:rsid w:val="00636C6F"/>
    <w:rsid w:val="00640B40"/>
    <w:rsid w:val="00642955"/>
    <w:rsid w:val="006432BF"/>
    <w:rsid w:val="006466E1"/>
    <w:rsid w:val="00671612"/>
    <w:rsid w:val="00672908"/>
    <w:rsid w:val="006847D6"/>
    <w:rsid w:val="006B74A7"/>
    <w:rsid w:val="006C2950"/>
    <w:rsid w:val="006E010F"/>
    <w:rsid w:val="006F46FA"/>
    <w:rsid w:val="00705E72"/>
    <w:rsid w:val="00720E73"/>
    <w:rsid w:val="00735672"/>
    <w:rsid w:val="00736299"/>
    <w:rsid w:val="007501BA"/>
    <w:rsid w:val="007544F8"/>
    <w:rsid w:val="00777DCD"/>
    <w:rsid w:val="007875F7"/>
    <w:rsid w:val="0079618D"/>
    <w:rsid w:val="00797A12"/>
    <w:rsid w:val="007B26CD"/>
    <w:rsid w:val="007B375E"/>
    <w:rsid w:val="007C775D"/>
    <w:rsid w:val="007E200D"/>
    <w:rsid w:val="007E7784"/>
    <w:rsid w:val="007F28F0"/>
    <w:rsid w:val="007F35D1"/>
    <w:rsid w:val="008038C6"/>
    <w:rsid w:val="008172A4"/>
    <w:rsid w:val="00824F97"/>
    <w:rsid w:val="008252E3"/>
    <w:rsid w:val="00832229"/>
    <w:rsid w:val="00833454"/>
    <w:rsid w:val="00833C8C"/>
    <w:rsid w:val="00836094"/>
    <w:rsid w:val="00843ADC"/>
    <w:rsid w:val="00851299"/>
    <w:rsid w:val="00851EA0"/>
    <w:rsid w:val="0086047D"/>
    <w:rsid w:val="00865487"/>
    <w:rsid w:val="008876A4"/>
    <w:rsid w:val="008A666B"/>
    <w:rsid w:val="008B1EC1"/>
    <w:rsid w:val="008B6905"/>
    <w:rsid w:val="008B7B27"/>
    <w:rsid w:val="008C1E08"/>
    <w:rsid w:val="008D6946"/>
    <w:rsid w:val="008E026C"/>
    <w:rsid w:val="008E6B75"/>
    <w:rsid w:val="00900305"/>
    <w:rsid w:val="0090413D"/>
    <w:rsid w:val="00906087"/>
    <w:rsid w:val="00916E46"/>
    <w:rsid w:val="00930B41"/>
    <w:rsid w:val="00936A7B"/>
    <w:rsid w:val="009637E6"/>
    <w:rsid w:val="00967B3F"/>
    <w:rsid w:val="009B0D6E"/>
    <w:rsid w:val="009B6722"/>
    <w:rsid w:val="009D4295"/>
    <w:rsid w:val="009D7B29"/>
    <w:rsid w:val="009E6392"/>
    <w:rsid w:val="009F2417"/>
    <w:rsid w:val="009F5FEB"/>
    <w:rsid w:val="009F7E8C"/>
    <w:rsid w:val="00A05041"/>
    <w:rsid w:val="00A11ABB"/>
    <w:rsid w:val="00A24B17"/>
    <w:rsid w:val="00A50172"/>
    <w:rsid w:val="00A53E70"/>
    <w:rsid w:val="00A556C5"/>
    <w:rsid w:val="00A745BC"/>
    <w:rsid w:val="00A7584F"/>
    <w:rsid w:val="00A853AA"/>
    <w:rsid w:val="00A92A85"/>
    <w:rsid w:val="00A97518"/>
    <w:rsid w:val="00AB4EDB"/>
    <w:rsid w:val="00AC099B"/>
    <w:rsid w:val="00AC1DD3"/>
    <w:rsid w:val="00AD508E"/>
    <w:rsid w:val="00AE0AAD"/>
    <w:rsid w:val="00AE3332"/>
    <w:rsid w:val="00B10BD9"/>
    <w:rsid w:val="00B11863"/>
    <w:rsid w:val="00B12D42"/>
    <w:rsid w:val="00B252B4"/>
    <w:rsid w:val="00B4277E"/>
    <w:rsid w:val="00B50751"/>
    <w:rsid w:val="00B53868"/>
    <w:rsid w:val="00B635F8"/>
    <w:rsid w:val="00B67E63"/>
    <w:rsid w:val="00B70CF8"/>
    <w:rsid w:val="00B9780F"/>
    <w:rsid w:val="00BA1347"/>
    <w:rsid w:val="00BA1870"/>
    <w:rsid w:val="00BC5C72"/>
    <w:rsid w:val="00BD0B15"/>
    <w:rsid w:val="00BE07E3"/>
    <w:rsid w:val="00BF5D01"/>
    <w:rsid w:val="00C07F84"/>
    <w:rsid w:val="00C10171"/>
    <w:rsid w:val="00C110F1"/>
    <w:rsid w:val="00C14837"/>
    <w:rsid w:val="00C254E9"/>
    <w:rsid w:val="00C25DBC"/>
    <w:rsid w:val="00C3251B"/>
    <w:rsid w:val="00C54BA5"/>
    <w:rsid w:val="00C561CE"/>
    <w:rsid w:val="00C729C6"/>
    <w:rsid w:val="00C76958"/>
    <w:rsid w:val="00CA0483"/>
    <w:rsid w:val="00CA4EC9"/>
    <w:rsid w:val="00CB4066"/>
    <w:rsid w:val="00CD4783"/>
    <w:rsid w:val="00CD6294"/>
    <w:rsid w:val="00CE06F8"/>
    <w:rsid w:val="00D035B9"/>
    <w:rsid w:val="00D32DFA"/>
    <w:rsid w:val="00D50673"/>
    <w:rsid w:val="00D51BB5"/>
    <w:rsid w:val="00D52D31"/>
    <w:rsid w:val="00D71570"/>
    <w:rsid w:val="00D75E84"/>
    <w:rsid w:val="00D77079"/>
    <w:rsid w:val="00D77521"/>
    <w:rsid w:val="00D80160"/>
    <w:rsid w:val="00D96923"/>
    <w:rsid w:val="00DC3E6E"/>
    <w:rsid w:val="00DE52B3"/>
    <w:rsid w:val="00E021CB"/>
    <w:rsid w:val="00E0706E"/>
    <w:rsid w:val="00E0726A"/>
    <w:rsid w:val="00E1024A"/>
    <w:rsid w:val="00E1319A"/>
    <w:rsid w:val="00E16156"/>
    <w:rsid w:val="00E178E3"/>
    <w:rsid w:val="00E30B54"/>
    <w:rsid w:val="00E55E03"/>
    <w:rsid w:val="00E64711"/>
    <w:rsid w:val="00E7523F"/>
    <w:rsid w:val="00E8064B"/>
    <w:rsid w:val="00E84F08"/>
    <w:rsid w:val="00EA0131"/>
    <w:rsid w:val="00EC21F8"/>
    <w:rsid w:val="00ED5216"/>
    <w:rsid w:val="00EE28EB"/>
    <w:rsid w:val="00EF4251"/>
    <w:rsid w:val="00F239A3"/>
    <w:rsid w:val="00F60B1F"/>
    <w:rsid w:val="00F77BBC"/>
    <w:rsid w:val="00F80408"/>
    <w:rsid w:val="00F867C6"/>
    <w:rsid w:val="00F96A88"/>
    <w:rsid w:val="00FB0C85"/>
    <w:rsid w:val="00FB16A5"/>
    <w:rsid w:val="00FD09EF"/>
    <w:rsid w:val="00FD0AF1"/>
    <w:rsid w:val="00FD3705"/>
    <w:rsid w:val="00FD7A7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619"/>
  </w:style>
  <w:style w:type="paragraph" w:styleId="Heading1">
    <w:name w:val="heading 1"/>
    <w:basedOn w:val="Normal"/>
    <w:next w:val="Normal"/>
    <w:link w:val="Heading1Char"/>
    <w:uiPriority w:val="9"/>
    <w:qFormat/>
    <w:rsid w:val="004529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529A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4AD"/>
    <w:pPr>
      <w:ind w:left="720"/>
      <w:contextualSpacing/>
    </w:pPr>
  </w:style>
  <w:style w:type="paragraph" w:styleId="BalloonText">
    <w:name w:val="Balloon Text"/>
    <w:basedOn w:val="Normal"/>
    <w:link w:val="BalloonTextChar"/>
    <w:uiPriority w:val="99"/>
    <w:semiHidden/>
    <w:unhideWhenUsed/>
    <w:rsid w:val="000462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623A"/>
    <w:rPr>
      <w:rFonts w:ascii="Tahoma" w:hAnsi="Tahoma" w:cs="Tahoma"/>
      <w:sz w:val="16"/>
      <w:szCs w:val="16"/>
    </w:rPr>
  </w:style>
  <w:style w:type="paragraph" w:customStyle="1" w:styleId="Textbody">
    <w:name w:val="Text body"/>
    <w:basedOn w:val="Normal"/>
    <w:rsid w:val="002E19F6"/>
    <w:pPr>
      <w:widowControl w:val="0"/>
      <w:suppressAutoHyphens/>
      <w:autoSpaceDN w:val="0"/>
      <w:spacing w:after="120" w:line="240" w:lineRule="auto"/>
      <w:textAlignment w:val="baseline"/>
    </w:pPr>
    <w:rPr>
      <w:rFonts w:ascii="Liberation Serif" w:eastAsia="DejaVu Sans" w:hAnsi="Liberation Serif" w:cs="Lohit Hindi"/>
      <w:kern w:val="3"/>
      <w:sz w:val="24"/>
      <w:szCs w:val="24"/>
      <w:lang w:val="en-US" w:bidi="hi-IN"/>
    </w:rPr>
  </w:style>
  <w:style w:type="paragraph" w:styleId="Header">
    <w:name w:val="header"/>
    <w:basedOn w:val="Normal"/>
    <w:link w:val="HeaderChar"/>
    <w:unhideWhenUsed/>
    <w:rsid w:val="004B612D"/>
    <w:pPr>
      <w:tabs>
        <w:tab w:val="center" w:pos="4513"/>
        <w:tab w:val="right" w:pos="9026"/>
      </w:tabs>
      <w:spacing w:after="0" w:line="240" w:lineRule="auto"/>
    </w:pPr>
  </w:style>
  <w:style w:type="character" w:customStyle="1" w:styleId="HeaderChar">
    <w:name w:val="Header Char"/>
    <w:basedOn w:val="DefaultParagraphFont"/>
    <w:link w:val="Header"/>
    <w:rsid w:val="004B612D"/>
  </w:style>
  <w:style w:type="paragraph" w:styleId="Footer">
    <w:name w:val="footer"/>
    <w:basedOn w:val="Normal"/>
    <w:link w:val="FooterChar"/>
    <w:uiPriority w:val="99"/>
    <w:unhideWhenUsed/>
    <w:rsid w:val="004B61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612D"/>
  </w:style>
  <w:style w:type="table" w:styleId="TableGrid">
    <w:name w:val="Table Grid"/>
    <w:basedOn w:val="TableNormal"/>
    <w:uiPriority w:val="59"/>
    <w:rsid w:val="003366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40"/>
    <w:rsid w:val="00D7157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F60B1F"/>
    <w:rPr>
      <w:sz w:val="16"/>
      <w:szCs w:val="16"/>
    </w:rPr>
  </w:style>
  <w:style w:type="paragraph" w:styleId="CommentText">
    <w:name w:val="annotation text"/>
    <w:basedOn w:val="Normal"/>
    <w:link w:val="CommentTextChar"/>
    <w:uiPriority w:val="99"/>
    <w:semiHidden/>
    <w:unhideWhenUsed/>
    <w:rsid w:val="00F60B1F"/>
    <w:pPr>
      <w:spacing w:line="240" w:lineRule="auto"/>
    </w:pPr>
    <w:rPr>
      <w:sz w:val="20"/>
      <w:szCs w:val="20"/>
    </w:rPr>
  </w:style>
  <w:style w:type="character" w:customStyle="1" w:styleId="CommentTextChar">
    <w:name w:val="Comment Text Char"/>
    <w:basedOn w:val="DefaultParagraphFont"/>
    <w:link w:val="CommentText"/>
    <w:uiPriority w:val="99"/>
    <w:semiHidden/>
    <w:rsid w:val="00F60B1F"/>
    <w:rPr>
      <w:sz w:val="20"/>
      <w:szCs w:val="20"/>
    </w:rPr>
  </w:style>
  <w:style w:type="paragraph" w:styleId="CommentSubject">
    <w:name w:val="annotation subject"/>
    <w:basedOn w:val="CommentText"/>
    <w:next w:val="CommentText"/>
    <w:link w:val="CommentSubjectChar"/>
    <w:uiPriority w:val="99"/>
    <w:semiHidden/>
    <w:unhideWhenUsed/>
    <w:rsid w:val="00F60B1F"/>
    <w:rPr>
      <w:b/>
      <w:bCs/>
    </w:rPr>
  </w:style>
  <w:style w:type="character" w:customStyle="1" w:styleId="CommentSubjectChar">
    <w:name w:val="Comment Subject Char"/>
    <w:basedOn w:val="CommentTextChar"/>
    <w:link w:val="CommentSubject"/>
    <w:uiPriority w:val="99"/>
    <w:semiHidden/>
    <w:rsid w:val="00F60B1F"/>
    <w:rPr>
      <w:b/>
      <w:bCs/>
      <w:sz w:val="20"/>
      <w:szCs w:val="20"/>
    </w:rPr>
  </w:style>
  <w:style w:type="character" w:customStyle="1" w:styleId="Heading1Char">
    <w:name w:val="Heading 1 Char"/>
    <w:basedOn w:val="DefaultParagraphFont"/>
    <w:link w:val="Heading1"/>
    <w:uiPriority w:val="9"/>
    <w:rsid w:val="004529A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529A3"/>
    <w:rPr>
      <w:rFonts w:asciiTheme="majorHAnsi" w:eastAsiaTheme="majorEastAsia" w:hAnsiTheme="majorHAnsi" w:cstheme="majorBidi"/>
      <w:b/>
      <w:bCs/>
      <w:color w:val="4F81BD" w:themeColor="accent1"/>
      <w:sz w:val="26"/>
      <w:szCs w:val="26"/>
    </w:rPr>
  </w:style>
  <w:style w:type="table" w:styleId="MediumShading2-Accent1">
    <w:name w:val="Medium Shading 2 Accent 1"/>
    <w:basedOn w:val="TableNormal"/>
    <w:uiPriority w:val="64"/>
    <w:rsid w:val="001A6D26"/>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1">
    <w:name w:val="Medium Shading 1 Accent 1"/>
    <w:basedOn w:val="TableNormal"/>
    <w:uiPriority w:val="63"/>
    <w:rsid w:val="008B6905"/>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619"/>
  </w:style>
  <w:style w:type="paragraph" w:styleId="Heading1">
    <w:name w:val="heading 1"/>
    <w:basedOn w:val="Normal"/>
    <w:next w:val="Normal"/>
    <w:link w:val="Heading1Char"/>
    <w:uiPriority w:val="9"/>
    <w:qFormat/>
    <w:rsid w:val="004529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529A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4AD"/>
    <w:pPr>
      <w:ind w:left="720"/>
      <w:contextualSpacing/>
    </w:pPr>
  </w:style>
  <w:style w:type="paragraph" w:styleId="BalloonText">
    <w:name w:val="Balloon Text"/>
    <w:basedOn w:val="Normal"/>
    <w:link w:val="BalloonTextChar"/>
    <w:uiPriority w:val="99"/>
    <w:semiHidden/>
    <w:unhideWhenUsed/>
    <w:rsid w:val="000462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623A"/>
    <w:rPr>
      <w:rFonts w:ascii="Tahoma" w:hAnsi="Tahoma" w:cs="Tahoma"/>
      <w:sz w:val="16"/>
      <w:szCs w:val="16"/>
    </w:rPr>
  </w:style>
  <w:style w:type="paragraph" w:customStyle="1" w:styleId="Textbody">
    <w:name w:val="Text body"/>
    <w:basedOn w:val="Normal"/>
    <w:rsid w:val="002E19F6"/>
    <w:pPr>
      <w:widowControl w:val="0"/>
      <w:suppressAutoHyphens/>
      <w:autoSpaceDN w:val="0"/>
      <w:spacing w:after="120" w:line="240" w:lineRule="auto"/>
      <w:textAlignment w:val="baseline"/>
    </w:pPr>
    <w:rPr>
      <w:rFonts w:ascii="Liberation Serif" w:eastAsia="DejaVu Sans" w:hAnsi="Liberation Serif" w:cs="Lohit Hindi"/>
      <w:kern w:val="3"/>
      <w:sz w:val="24"/>
      <w:szCs w:val="24"/>
      <w:lang w:val="en-US" w:bidi="hi-IN"/>
    </w:rPr>
  </w:style>
  <w:style w:type="paragraph" w:styleId="Header">
    <w:name w:val="header"/>
    <w:basedOn w:val="Normal"/>
    <w:link w:val="HeaderChar"/>
    <w:unhideWhenUsed/>
    <w:rsid w:val="004B612D"/>
    <w:pPr>
      <w:tabs>
        <w:tab w:val="center" w:pos="4513"/>
        <w:tab w:val="right" w:pos="9026"/>
      </w:tabs>
      <w:spacing w:after="0" w:line="240" w:lineRule="auto"/>
    </w:pPr>
  </w:style>
  <w:style w:type="character" w:customStyle="1" w:styleId="HeaderChar">
    <w:name w:val="Header Char"/>
    <w:basedOn w:val="DefaultParagraphFont"/>
    <w:link w:val="Header"/>
    <w:rsid w:val="004B612D"/>
  </w:style>
  <w:style w:type="paragraph" w:styleId="Footer">
    <w:name w:val="footer"/>
    <w:basedOn w:val="Normal"/>
    <w:link w:val="FooterChar"/>
    <w:uiPriority w:val="99"/>
    <w:unhideWhenUsed/>
    <w:rsid w:val="004B61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612D"/>
  </w:style>
  <w:style w:type="table" w:styleId="TableGrid">
    <w:name w:val="Table Grid"/>
    <w:basedOn w:val="TableNormal"/>
    <w:uiPriority w:val="59"/>
    <w:rsid w:val="003366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40"/>
    <w:rsid w:val="00D7157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F60B1F"/>
    <w:rPr>
      <w:sz w:val="16"/>
      <w:szCs w:val="16"/>
    </w:rPr>
  </w:style>
  <w:style w:type="paragraph" w:styleId="CommentText">
    <w:name w:val="annotation text"/>
    <w:basedOn w:val="Normal"/>
    <w:link w:val="CommentTextChar"/>
    <w:uiPriority w:val="99"/>
    <w:semiHidden/>
    <w:unhideWhenUsed/>
    <w:rsid w:val="00F60B1F"/>
    <w:pPr>
      <w:spacing w:line="240" w:lineRule="auto"/>
    </w:pPr>
    <w:rPr>
      <w:sz w:val="20"/>
      <w:szCs w:val="20"/>
    </w:rPr>
  </w:style>
  <w:style w:type="character" w:customStyle="1" w:styleId="CommentTextChar">
    <w:name w:val="Comment Text Char"/>
    <w:basedOn w:val="DefaultParagraphFont"/>
    <w:link w:val="CommentText"/>
    <w:uiPriority w:val="99"/>
    <w:semiHidden/>
    <w:rsid w:val="00F60B1F"/>
    <w:rPr>
      <w:sz w:val="20"/>
      <w:szCs w:val="20"/>
    </w:rPr>
  </w:style>
  <w:style w:type="paragraph" w:styleId="CommentSubject">
    <w:name w:val="annotation subject"/>
    <w:basedOn w:val="CommentText"/>
    <w:next w:val="CommentText"/>
    <w:link w:val="CommentSubjectChar"/>
    <w:uiPriority w:val="99"/>
    <w:semiHidden/>
    <w:unhideWhenUsed/>
    <w:rsid w:val="00F60B1F"/>
    <w:rPr>
      <w:b/>
      <w:bCs/>
    </w:rPr>
  </w:style>
  <w:style w:type="character" w:customStyle="1" w:styleId="CommentSubjectChar">
    <w:name w:val="Comment Subject Char"/>
    <w:basedOn w:val="CommentTextChar"/>
    <w:link w:val="CommentSubject"/>
    <w:uiPriority w:val="99"/>
    <w:semiHidden/>
    <w:rsid w:val="00F60B1F"/>
    <w:rPr>
      <w:b/>
      <w:bCs/>
      <w:sz w:val="20"/>
      <w:szCs w:val="20"/>
    </w:rPr>
  </w:style>
  <w:style w:type="character" w:customStyle="1" w:styleId="Heading1Char">
    <w:name w:val="Heading 1 Char"/>
    <w:basedOn w:val="DefaultParagraphFont"/>
    <w:link w:val="Heading1"/>
    <w:uiPriority w:val="9"/>
    <w:rsid w:val="004529A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529A3"/>
    <w:rPr>
      <w:rFonts w:asciiTheme="majorHAnsi" w:eastAsiaTheme="majorEastAsia" w:hAnsiTheme="majorHAnsi" w:cstheme="majorBidi"/>
      <w:b/>
      <w:bCs/>
      <w:color w:val="4F81BD" w:themeColor="accent1"/>
      <w:sz w:val="26"/>
      <w:szCs w:val="26"/>
    </w:rPr>
  </w:style>
  <w:style w:type="table" w:styleId="MediumShading2-Accent1">
    <w:name w:val="Medium Shading 2 Accent 1"/>
    <w:basedOn w:val="TableNormal"/>
    <w:uiPriority w:val="64"/>
    <w:rsid w:val="001A6D26"/>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1">
    <w:name w:val="Medium Shading 1 Accent 1"/>
    <w:basedOn w:val="TableNormal"/>
    <w:uiPriority w:val="63"/>
    <w:rsid w:val="008B6905"/>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027112">
      <w:bodyDiv w:val="1"/>
      <w:marLeft w:val="0"/>
      <w:marRight w:val="0"/>
      <w:marTop w:val="0"/>
      <w:marBottom w:val="0"/>
      <w:divBdr>
        <w:top w:val="none" w:sz="0" w:space="0" w:color="auto"/>
        <w:left w:val="none" w:sz="0" w:space="0" w:color="auto"/>
        <w:bottom w:val="none" w:sz="0" w:space="0" w:color="auto"/>
        <w:right w:val="none" w:sz="0" w:space="0" w:color="auto"/>
      </w:divBdr>
    </w:div>
    <w:div w:id="219442378">
      <w:bodyDiv w:val="1"/>
      <w:marLeft w:val="0"/>
      <w:marRight w:val="0"/>
      <w:marTop w:val="0"/>
      <w:marBottom w:val="0"/>
      <w:divBdr>
        <w:top w:val="none" w:sz="0" w:space="0" w:color="auto"/>
        <w:left w:val="none" w:sz="0" w:space="0" w:color="auto"/>
        <w:bottom w:val="none" w:sz="0" w:space="0" w:color="auto"/>
        <w:right w:val="none" w:sz="0" w:space="0" w:color="auto"/>
      </w:divBdr>
    </w:div>
    <w:div w:id="346755652">
      <w:bodyDiv w:val="1"/>
      <w:marLeft w:val="0"/>
      <w:marRight w:val="0"/>
      <w:marTop w:val="0"/>
      <w:marBottom w:val="0"/>
      <w:divBdr>
        <w:top w:val="none" w:sz="0" w:space="0" w:color="auto"/>
        <w:left w:val="none" w:sz="0" w:space="0" w:color="auto"/>
        <w:bottom w:val="none" w:sz="0" w:space="0" w:color="auto"/>
        <w:right w:val="none" w:sz="0" w:space="0" w:color="auto"/>
      </w:divBdr>
    </w:div>
    <w:div w:id="390689381">
      <w:bodyDiv w:val="1"/>
      <w:marLeft w:val="0"/>
      <w:marRight w:val="0"/>
      <w:marTop w:val="0"/>
      <w:marBottom w:val="0"/>
      <w:divBdr>
        <w:top w:val="none" w:sz="0" w:space="0" w:color="auto"/>
        <w:left w:val="none" w:sz="0" w:space="0" w:color="auto"/>
        <w:bottom w:val="none" w:sz="0" w:space="0" w:color="auto"/>
        <w:right w:val="none" w:sz="0" w:space="0" w:color="auto"/>
      </w:divBdr>
    </w:div>
    <w:div w:id="600845773">
      <w:bodyDiv w:val="1"/>
      <w:marLeft w:val="0"/>
      <w:marRight w:val="0"/>
      <w:marTop w:val="0"/>
      <w:marBottom w:val="0"/>
      <w:divBdr>
        <w:top w:val="none" w:sz="0" w:space="0" w:color="auto"/>
        <w:left w:val="none" w:sz="0" w:space="0" w:color="auto"/>
        <w:bottom w:val="none" w:sz="0" w:space="0" w:color="auto"/>
        <w:right w:val="none" w:sz="0" w:space="0" w:color="auto"/>
      </w:divBdr>
    </w:div>
    <w:div w:id="811220096">
      <w:bodyDiv w:val="1"/>
      <w:marLeft w:val="0"/>
      <w:marRight w:val="0"/>
      <w:marTop w:val="0"/>
      <w:marBottom w:val="0"/>
      <w:divBdr>
        <w:top w:val="none" w:sz="0" w:space="0" w:color="auto"/>
        <w:left w:val="none" w:sz="0" w:space="0" w:color="auto"/>
        <w:bottom w:val="none" w:sz="0" w:space="0" w:color="auto"/>
        <w:right w:val="none" w:sz="0" w:space="0" w:color="auto"/>
      </w:divBdr>
    </w:div>
    <w:div w:id="971834108">
      <w:bodyDiv w:val="1"/>
      <w:marLeft w:val="0"/>
      <w:marRight w:val="0"/>
      <w:marTop w:val="0"/>
      <w:marBottom w:val="0"/>
      <w:divBdr>
        <w:top w:val="none" w:sz="0" w:space="0" w:color="auto"/>
        <w:left w:val="none" w:sz="0" w:space="0" w:color="auto"/>
        <w:bottom w:val="none" w:sz="0" w:space="0" w:color="auto"/>
        <w:right w:val="none" w:sz="0" w:space="0" w:color="auto"/>
      </w:divBdr>
    </w:div>
    <w:div w:id="1609510909">
      <w:bodyDiv w:val="1"/>
      <w:marLeft w:val="0"/>
      <w:marRight w:val="0"/>
      <w:marTop w:val="0"/>
      <w:marBottom w:val="0"/>
      <w:divBdr>
        <w:top w:val="none" w:sz="0" w:space="0" w:color="auto"/>
        <w:left w:val="none" w:sz="0" w:space="0" w:color="auto"/>
        <w:bottom w:val="none" w:sz="0" w:space="0" w:color="auto"/>
        <w:right w:val="none" w:sz="0" w:space="0" w:color="auto"/>
      </w:divBdr>
    </w:div>
    <w:div w:id="1727216025">
      <w:bodyDiv w:val="1"/>
      <w:marLeft w:val="0"/>
      <w:marRight w:val="0"/>
      <w:marTop w:val="0"/>
      <w:marBottom w:val="0"/>
      <w:divBdr>
        <w:top w:val="none" w:sz="0" w:space="0" w:color="auto"/>
        <w:left w:val="none" w:sz="0" w:space="0" w:color="auto"/>
        <w:bottom w:val="none" w:sz="0" w:space="0" w:color="auto"/>
        <w:right w:val="none" w:sz="0" w:space="0" w:color="auto"/>
      </w:divBdr>
    </w:div>
    <w:div w:id="2006666018">
      <w:bodyDiv w:val="1"/>
      <w:marLeft w:val="0"/>
      <w:marRight w:val="0"/>
      <w:marTop w:val="0"/>
      <w:marBottom w:val="0"/>
      <w:divBdr>
        <w:top w:val="none" w:sz="0" w:space="0" w:color="auto"/>
        <w:left w:val="none" w:sz="0" w:space="0" w:color="auto"/>
        <w:bottom w:val="none" w:sz="0" w:space="0" w:color="auto"/>
        <w:right w:val="none" w:sz="0" w:space="0" w:color="auto"/>
      </w:divBdr>
    </w:div>
    <w:div w:id="210641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3751</Words>
  <Characters>21381</Characters>
  <Application>Microsoft Office Word</Application>
  <DocSecurity>4</DocSecurity>
  <Lines>178</Lines>
  <Paragraphs>50</Paragraphs>
  <ScaleCrop>false</ScaleCrop>
  <HeadingPairs>
    <vt:vector size="2" baseType="variant">
      <vt:variant>
        <vt:lpstr>Title</vt:lpstr>
      </vt:variant>
      <vt:variant>
        <vt:i4>1</vt:i4>
      </vt:variant>
    </vt:vector>
  </HeadingPairs>
  <TitlesOfParts>
    <vt:vector size="1" baseType="lpstr">
      <vt:lpstr>TG Data April 2014 report</vt:lpstr>
    </vt:vector>
  </TitlesOfParts>
  <Manager>Trine Christiansen</Manager>
  <Company>EEA and ETC-ICM</Company>
  <LinksUpToDate>false</LinksUpToDate>
  <CharactersWithSpaces>25082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 Data April 2014 report</dc:title>
  <dc:subject>MSFD</dc:subject>
  <dc:creator>Theo Prins</dc:creator>
  <cp:lastModifiedBy>CONNOR David (ENV)</cp:lastModifiedBy>
  <cp:revision>2</cp:revision>
  <dcterms:created xsi:type="dcterms:W3CDTF">2014-09-23T15:13:00Z</dcterms:created>
  <dcterms:modified xsi:type="dcterms:W3CDTF">2014-09-23T15:13:00Z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-936994071</vt:i4>
  </property>
  <property fmtid="{D5CDD505-2E9C-101B-9397-08002B2CF9AE}" pid="3" name="_NewReviewCycle">
    <vt:lpwstr/>
  </property>
  <property fmtid="{D5CDD505-2E9C-101B-9397-08002B2CF9AE}" pid="4" name="_EmailSubject">
    <vt:lpwstr>files</vt:lpwstr>
  </property>
  <property fmtid="{D5CDD505-2E9C-101B-9397-08002B2CF9AE}" pid="5" name="_AuthorEmail">
    <vt:lpwstr>Trine.Christiansen@eea.europa.eu</vt:lpwstr>
  </property>
  <property fmtid="{D5CDD505-2E9C-101B-9397-08002B2CF9AE}" pid="6" name="_AuthorEmailDisplayName">
    <vt:lpwstr>Trine Christiansen</vt:lpwstr>
  </property>
  <property fmtid="{D5CDD505-2E9C-101B-9397-08002B2CF9AE}" pid="7" name="_PreviousAdHocReviewCycleID">
    <vt:i4>1244624445</vt:i4>
  </property>
  <property fmtid="{D5CDD505-2E9C-101B-9397-08002B2CF9AE}" pid="8" name="_ReviewingToolsShownOnce">
    <vt:lpwstr/>
  </property>
</Properties>
</file>