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736" w:rsidRDefault="00465736" w:rsidP="00987279">
      <w:pPr>
        <w:spacing w:line="240" w:lineRule="auto"/>
        <w:jc w:val="left"/>
      </w:pPr>
      <w:r>
        <w:br w:type="page"/>
      </w:r>
    </w:p>
    <w:p w:rsidR="00465736" w:rsidRDefault="00465736" w:rsidP="00987279">
      <w:pPr>
        <w:spacing w:line="240" w:lineRule="auto"/>
        <w:jc w:val="left"/>
      </w:pPr>
      <w:r>
        <w:lastRenderedPageBreak/>
        <w:br w:type="page"/>
      </w:r>
    </w:p>
    <w:p w:rsidR="00151657" w:rsidRPr="005D783A" w:rsidRDefault="00151657" w:rsidP="00987279">
      <w:pPr>
        <w:spacing w:line="240" w:lineRule="auto"/>
      </w:pPr>
    </w:p>
    <w:p w:rsidR="001F7C1A" w:rsidRDefault="001F7C1A" w:rsidP="001F7C1A">
      <w:pPr>
        <w:spacing w:line="240" w:lineRule="auto"/>
        <w:ind w:firstLine="720"/>
      </w:pPr>
    </w:p>
    <w:p w:rsidR="001F7C1A" w:rsidRPr="001F7C1A" w:rsidRDefault="001F7C1A" w:rsidP="001F7C1A"/>
    <w:p w:rsidR="001F7C1A" w:rsidRDefault="001F7C1A" w:rsidP="001F7C1A">
      <w:pPr>
        <w:ind w:firstLine="720"/>
      </w:pPr>
    </w:p>
    <w:p w:rsidR="001F7C1A" w:rsidRDefault="001F7C1A" w:rsidP="001F7C1A"/>
    <w:p w:rsidR="001A0293" w:rsidRPr="001F7C1A" w:rsidRDefault="001A0293" w:rsidP="001F7C1A">
      <w:pPr>
        <w:sectPr w:rsidR="001A0293" w:rsidRPr="001F7C1A" w:rsidSect="005C1993">
          <w:headerReference w:type="default" r:id="rId8"/>
          <w:footerReference w:type="default" r:id="rId9"/>
          <w:headerReference w:type="first" r:id="rId10"/>
          <w:footerReference w:type="first" r:id="rId11"/>
          <w:type w:val="oddPage"/>
          <w:pgSz w:w="11906" w:h="16838" w:code="9"/>
          <w:pgMar w:top="2552" w:right="1094" w:bottom="1077" w:left="2098" w:header="822" w:footer="198" w:gutter="0"/>
          <w:paperSrc w:first="1" w:other="1"/>
          <w:cols w:space="708"/>
          <w:titlePg/>
          <w:docGrid w:linePitch="360"/>
        </w:sectPr>
      </w:pPr>
    </w:p>
    <w:p w:rsidR="005028DE" w:rsidRPr="005028DE" w:rsidRDefault="005028DE" w:rsidP="00987279">
      <w:pPr>
        <w:pStyle w:val="Huisstijl-Kopje"/>
        <w:spacing w:line="240" w:lineRule="auto"/>
        <w:rPr>
          <w:noProof w:val="0"/>
          <w:lang w:val="nl-NL"/>
        </w:rPr>
      </w:pPr>
      <w:r w:rsidRPr="005028DE">
        <w:rPr>
          <w:noProof w:val="0"/>
          <w:lang w:val="nl-NL"/>
        </w:rPr>
        <w:lastRenderedPageBreak/>
        <w:t>Keywords</w:t>
      </w:r>
    </w:p>
    <w:p w:rsidR="00465736" w:rsidRPr="005028DE" w:rsidRDefault="008135ED" w:rsidP="00987279">
      <w:pPr>
        <w:spacing w:line="240" w:lineRule="auto"/>
        <w:rPr>
          <w:lang w:val="nl-NL"/>
        </w:rPr>
      </w:pPr>
      <w:r>
        <w:fldChar w:fldCharType="begin">
          <w:ffData>
            <w:name w:val="Text6"/>
            <w:enabled/>
            <w:calcOnExit w:val="0"/>
            <w:textInput>
              <w:default w:val="Type hier de trefwoorden"/>
            </w:textInput>
          </w:ffData>
        </w:fldChar>
      </w:r>
      <w:r w:rsidR="00465736" w:rsidRPr="005028DE">
        <w:rPr>
          <w:lang w:val="nl-NL"/>
        </w:rPr>
        <w:instrText xml:space="preserve"> FORMTEXT </w:instrText>
      </w:r>
      <w:r>
        <w:fldChar w:fldCharType="separate"/>
      </w:r>
      <w:r w:rsidR="005C1993" w:rsidRPr="006F2D89">
        <w:rPr>
          <w:noProof/>
          <w:lang w:val="nl-NL"/>
        </w:rPr>
        <w:t>Type hier de trefwoorden</w:t>
      </w:r>
      <w:r>
        <w:fldChar w:fldCharType="end"/>
      </w:r>
    </w:p>
    <w:p w:rsidR="00465736" w:rsidRPr="005028DE" w:rsidRDefault="00465736" w:rsidP="00987279">
      <w:pPr>
        <w:spacing w:line="240" w:lineRule="auto"/>
        <w:rPr>
          <w:lang w:val="nl-NL"/>
        </w:rPr>
      </w:pPr>
    </w:p>
    <w:p w:rsidR="005028DE" w:rsidRPr="006F2D89" w:rsidRDefault="005028DE" w:rsidP="00987279">
      <w:pPr>
        <w:pStyle w:val="Huisstijl-Kopje"/>
        <w:spacing w:line="240" w:lineRule="auto"/>
        <w:rPr>
          <w:noProof w:val="0"/>
          <w:lang w:val="nl-NL"/>
        </w:rPr>
      </w:pPr>
      <w:r w:rsidRPr="006F2D89">
        <w:rPr>
          <w:noProof w:val="0"/>
          <w:lang w:val="nl-NL"/>
        </w:rPr>
        <w:t>Summary</w:t>
      </w:r>
    </w:p>
    <w:p w:rsidR="00356B28" w:rsidRDefault="00356B28" w:rsidP="00987279">
      <w:pPr>
        <w:spacing w:line="240" w:lineRule="auto"/>
      </w:pPr>
      <w:r>
        <w:t xml:space="preserve">An analytical report containing an overview of data and information holdings of the RSCs, an analysis of information flow processes and management systems at RSCs. Where appropriate, recommendations for further work to support harmonisation of data and information flows at regional and European level for mutual benefit will be made. This is a joint deliverable for Tasks 1 and 2 (as agreed in project contract). </w:t>
      </w:r>
    </w:p>
    <w:p w:rsidR="00465736" w:rsidRPr="00443F1C" w:rsidRDefault="00356B28" w:rsidP="00987279">
      <w:pPr>
        <w:spacing w:line="240" w:lineRule="auto"/>
      </w:pPr>
      <w:r>
        <w:t>This draft report D2 is prepared as a background document for the TG-Data meeting of 29-30 April, in Copenhagen. The current focus of the report is on Eutrophication and Hazardous substances. The project Tasks 1 and 2 are to include an inventory all substances of relevance for the MSFD reporting. The final version of D2 will take into account the response and comments to this draft report from the TG-Data meeting and it will be extended to include the complete inventory.</w:t>
      </w:r>
    </w:p>
    <w:p w:rsidR="00465736" w:rsidRPr="00443F1C" w:rsidRDefault="00465736" w:rsidP="00987279">
      <w:pPr>
        <w:spacing w:line="240" w:lineRule="auto"/>
      </w:pPr>
    </w:p>
    <w:p w:rsidR="00465736" w:rsidRDefault="00465736" w:rsidP="00987279">
      <w:pPr>
        <w:pStyle w:val="Huisstijl-Kopje"/>
        <w:spacing w:line="240" w:lineRule="auto"/>
      </w:pPr>
      <w:r>
        <w:t>Referenties</w:t>
      </w:r>
    </w:p>
    <w:p w:rsidR="00465736" w:rsidRDefault="008135ED" w:rsidP="00987279">
      <w:pPr>
        <w:spacing w:line="240" w:lineRule="auto"/>
      </w:pPr>
      <w:r>
        <w:fldChar w:fldCharType="begin">
          <w:ffData>
            <w:name w:val=""/>
            <w:enabled/>
            <w:calcOnExit w:val="0"/>
            <w:textInput>
              <w:default w:val="Type hier de referenties"/>
            </w:textInput>
          </w:ffData>
        </w:fldChar>
      </w:r>
      <w:r w:rsidR="00465736">
        <w:instrText xml:space="preserve"> FORMTEXT </w:instrText>
      </w:r>
      <w:r>
        <w:fldChar w:fldCharType="separate"/>
      </w:r>
      <w:r w:rsidR="005C1993">
        <w:rPr>
          <w:noProof/>
        </w:rPr>
        <w:t>Type hier de referenties</w:t>
      </w:r>
      <w:r>
        <w:fldChar w:fldCharType="end"/>
      </w:r>
    </w:p>
    <w:p w:rsidR="00465736" w:rsidRDefault="00465736" w:rsidP="00987279">
      <w:pPr>
        <w:spacing w:line="240" w:lineRule="auto"/>
      </w:pPr>
    </w:p>
    <w:p w:rsidR="00465736" w:rsidRDefault="00465736" w:rsidP="00987279">
      <w:pPr>
        <w:spacing w:line="240" w:lineRule="auto"/>
      </w:pPr>
    </w:p>
    <w:p w:rsidR="00465736" w:rsidRDefault="00465736" w:rsidP="00987279">
      <w:pPr>
        <w:spacing w:line="240" w:lineRule="auto"/>
      </w:pPr>
    </w:p>
    <w:p w:rsidR="00465736" w:rsidRPr="00C94346" w:rsidRDefault="00465736" w:rsidP="00987279">
      <w:pPr>
        <w:spacing w:line="240" w:lineRule="auto"/>
      </w:pPr>
    </w:p>
    <w:tbl>
      <w:tblPr>
        <w:tblW w:w="0" w:type="auto"/>
        <w:tblBorders>
          <w:top w:val="single" w:sz="4" w:space="0" w:color="auto"/>
          <w:bottom w:val="single" w:sz="4" w:space="0" w:color="auto"/>
          <w:insideH w:val="single" w:sz="4" w:space="0" w:color="auto"/>
        </w:tblBorders>
        <w:tblLayout w:type="fixed"/>
        <w:tblCellMar>
          <w:left w:w="0" w:type="dxa"/>
          <w:right w:w="0" w:type="dxa"/>
        </w:tblCellMar>
        <w:tblLook w:val="0000"/>
      </w:tblPr>
      <w:tblGrid>
        <w:gridCol w:w="630"/>
        <w:gridCol w:w="964"/>
        <w:gridCol w:w="1644"/>
        <w:gridCol w:w="624"/>
        <w:gridCol w:w="1644"/>
        <w:gridCol w:w="624"/>
        <w:gridCol w:w="1644"/>
        <w:gridCol w:w="624"/>
      </w:tblGrid>
      <w:tr w:rsidR="00465736" w:rsidRPr="00C758AA" w:rsidTr="00A82751">
        <w:tc>
          <w:tcPr>
            <w:tcW w:w="630" w:type="dxa"/>
            <w:shd w:val="clear" w:color="auto" w:fill="D9D9D9"/>
          </w:tcPr>
          <w:p w:rsidR="00465736" w:rsidRPr="00C758AA" w:rsidRDefault="00465736" w:rsidP="00987279">
            <w:pPr>
              <w:pStyle w:val="Huisstijl-Kopje"/>
              <w:spacing w:line="240" w:lineRule="auto"/>
            </w:pPr>
            <w:bookmarkStart w:id="9" w:name="tblVersie" w:colFirst="0" w:colLast="8"/>
            <w:r w:rsidRPr="00C758AA">
              <w:t>Versie</w:t>
            </w:r>
          </w:p>
        </w:tc>
        <w:tc>
          <w:tcPr>
            <w:tcW w:w="964" w:type="dxa"/>
            <w:shd w:val="clear" w:color="auto" w:fill="D9D9D9"/>
          </w:tcPr>
          <w:p w:rsidR="00465736" w:rsidRPr="00C758AA" w:rsidRDefault="00465736" w:rsidP="00987279">
            <w:pPr>
              <w:pStyle w:val="Huisstijl-Kopje"/>
              <w:spacing w:line="240" w:lineRule="auto"/>
            </w:pPr>
            <w:r w:rsidRPr="00C758AA">
              <w:t>Datum</w:t>
            </w:r>
          </w:p>
        </w:tc>
        <w:tc>
          <w:tcPr>
            <w:tcW w:w="1644" w:type="dxa"/>
            <w:shd w:val="clear" w:color="auto" w:fill="D9D9D9"/>
          </w:tcPr>
          <w:p w:rsidR="00465736" w:rsidRPr="00C758AA" w:rsidRDefault="00465736" w:rsidP="00987279">
            <w:pPr>
              <w:pStyle w:val="Huisstijl-Kopje"/>
              <w:spacing w:line="240" w:lineRule="auto"/>
            </w:pPr>
            <w:r w:rsidRPr="00C758AA">
              <w:t>Auteur</w:t>
            </w:r>
          </w:p>
        </w:tc>
        <w:tc>
          <w:tcPr>
            <w:tcW w:w="624" w:type="dxa"/>
            <w:shd w:val="clear" w:color="auto" w:fill="D9D9D9"/>
          </w:tcPr>
          <w:p w:rsidR="00465736" w:rsidRPr="00C758AA" w:rsidRDefault="00465736" w:rsidP="00987279">
            <w:pPr>
              <w:pStyle w:val="Huisstijl-Kopje"/>
              <w:spacing w:line="240" w:lineRule="auto"/>
            </w:pPr>
            <w:r w:rsidRPr="00C758AA">
              <w:rPr>
                <w:szCs w:val="18"/>
              </w:rPr>
              <w:t>Paraaf</w:t>
            </w:r>
          </w:p>
        </w:tc>
        <w:tc>
          <w:tcPr>
            <w:tcW w:w="1644" w:type="dxa"/>
            <w:shd w:val="clear" w:color="auto" w:fill="D9D9D9"/>
          </w:tcPr>
          <w:p w:rsidR="00465736" w:rsidRPr="00C758AA" w:rsidRDefault="00465736" w:rsidP="00987279">
            <w:pPr>
              <w:pStyle w:val="Huisstijl-Kopje"/>
              <w:spacing w:line="240" w:lineRule="auto"/>
            </w:pPr>
            <w:r w:rsidRPr="00C758AA">
              <w:t>Review</w:t>
            </w:r>
          </w:p>
        </w:tc>
        <w:tc>
          <w:tcPr>
            <w:tcW w:w="624" w:type="dxa"/>
            <w:shd w:val="clear" w:color="auto" w:fill="D9D9D9"/>
          </w:tcPr>
          <w:p w:rsidR="00465736" w:rsidRPr="00C758AA" w:rsidRDefault="00465736" w:rsidP="00987279">
            <w:pPr>
              <w:pStyle w:val="Huisstijl-Kopje"/>
              <w:spacing w:line="240" w:lineRule="auto"/>
              <w:rPr>
                <w:szCs w:val="18"/>
              </w:rPr>
            </w:pPr>
            <w:r w:rsidRPr="00C758AA">
              <w:rPr>
                <w:szCs w:val="18"/>
              </w:rPr>
              <w:t>Paraaf</w:t>
            </w:r>
          </w:p>
        </w:tc>
        <w:tc>
          <w:tcPr>
            <w:tcW w:w="1644" w:type="dxa"/>
            <w:shd w:val="clear" w:color="auto" w:fill="D9D9D9"/>
          </w:tcPr>
          <w:p w:rsidR="00465736" w:rsidRPr="00C758AA" w:rsidRDefault="00465736" w:rsidP="00987279">
            <w:pPr>
              <w:pStyle w:val="Huisstijl-Kopje"/>
              <w:spacing w:line="240" w:lineRule="auto"/>
              <w:rPr>
                <w:szCs w:val="18"/>
              </w:rPr>
            </w:pPr>
            <w:r>
              <w:rPr>
                <w:szCs w:val="18"/>
              </w:rPr>
              <w:t>Goedkeuring</w:t>
            </w:r>
          </w:p>
        </w:tc>
        <w:tc>
          <w:tcPr>
            <w:tcW w:w="624" w:type="dxa"/>
            <w:shd w:val="clear" w:color="auto" w:fill="D9D9D9"/>
          </w:tcPr>
          <w:p w:rsidR="00465736" w:rsidRPr="00C758AA" w:rsidRDefault="00465736" w:rsidP="00987279">
            <w:pPr>
              <w:pStyle w:val="Huisstijl-Kopje"/>
              <w:spacing w:line="240" w:lineRule="auto"/>
            </w:pPr>
            <w:r w:rsidRPr="00C758AA">
              <w:rPr>
                <w:szCs w:val="18"/>
              </w:rPr>
              <w:t>Paraaf</w:t>
            </w:r>
          </w:p>
        </w:tc>
      </w:tr>
      <w:tr w:rsidR="00465736" w:rsidRPr="00CC2021" w:rsidTr="00A82751">
        <w:tc>
          <w:tcPr>
            <w:tcW w:w="630" w:type="dxa"/>
          </w:tcPr>
          <w:p w:rsidR="00465736" w:rsidRPr="00CC2021" w:rsidRDefault="00465736" w:rsidP="00987279">
            <w:pPr>
              <w:pStyle w:val="Huisstijl-TabelStatus"/>
              <w:spacing w:line="240" w:lineRule="auto"/>
            </w:pPr>
            <w:bookmarkStart w:id="10" w:name="bmVersie" w:colFirst="0" w:colLast="0"/>
            <w:bookmarkStart w:id="11" w:name="bmDatum" w:colFirst="1" w:colLast="1"/>
          </w:p>
        </w:tc>
        <w:tc>
          <w:tcPr>
            <w:tcW w:w="964" w:type="dxa"/>
          </w:tcPr>
          <w:p w:rsidR="00465736" w:rsidRPr="00CC2021" w:rsidRDefault="005C1993" w:rsidP="00987279">
            <w:pPr>
              <w:pStyle w:val="Huisstijl-TabelStatus"/>
              <w:spacing w:line="240" w:lineRule="auto"/>
            </w:pPr>
            <w:r>
              <w:t>Apr.</w:t>
            </w:r>
            <w:r w:rsidR="00465736">
              <w:t xml:space="preserve"> 2014</w:t>
            </w:r>
          </w:p>
        </w:tc>
        <w:tc>
          <w:tcPr>
            <w:tcW w:w="1644" w:type="dxa"/>
          </w:tcPr>
          <w:p w:rsidR="00465736" w:rsidRPr="00CC2021" w:rsidRDefault="00465736" w:rsidP="00987279">
            <w:pPr>
              <w:pStyle w:val="Huisstijl-TabelStatus"/>
              <w:spacing w:line="240" w:lineRule="auto"/>
            </w:pPr>
            <w:r>
              <w:t>Nicky Villars</w:t>
            </w:r>
          </w:p>
        </w:tc>
        <w:tc>
          <w:tcPr>
            <w:tcW w:w="624" w:type="dxa"/>
          </w:tcPr>
          <w:p w:rsidR="00465736" w:rsidRPr="00CC2021" w:rsidRDefault="00465736" w:rsidP="00987279">
            <w:pPr>
              <w:pStyle w:val="Huisstijl-TabelStatus"/>
              <w:spacing w:line="240" w:lineRule="auto"/>
            </w:pPr>
          </w:p>
        </w:tc>
        <w:tc>
          <w:tcPr>
            <w:tcW w:w="1644" w:type="dxa"/>
          </w:tcPr>
          <w:p w:rsidR="00465736" w:rsidRPr="00CC2021" w:rsidRDefault="00465736" w:rsidP="00987279">
            <w:pPr>
              <w:pStyle w:val="Huisstijl-TabelStatus"/>
              <w:spacing w:line="240" w:lineRule="auto"/>
            </w:pPr>
            <w:r>
              <w:t>Sharon Tatman</w:t>
            </w:r>
          </w:p>
        </w:tc>
        <w:tc>
          <w:tcPr>
            <w:tcW w:w="624" w:type="dxa"/>
          </w:tcPr>
          <w:p w:rsidR="00465736" w:rsidRPr="00035D1B" w:rsidRDefault="00465736" w:rsidP="00987279">
            <w:pPr>
              <w:pStyle w:val="Huisstijl-TabelStatus"/>
              <w:spacing w:line="240" w:lineRule="auto"/>
            </w:pPr>
          </w:p>
        </w:tc>
        <w:tc>
          <w:tcPr>
            <w:tcW w:w="1644" w:type="dxa"/>
          </w:tcPr>
          <w:p w:rsidR="00465736" w:rsidRPr="00CC2021" w:rsidRDefault="00465736" w:rsidP="00987279">
            <w:pPr>
              <w:pStyle w:val="Huisstijl-TabelStatus"/>
              <w:spacing w:line="240" w:lineRule="auto"/>
            </w:pPr>
            <w:r>
              <w:t>Frank Hoozemans</w:t>
            </w:r>
          </w:p>
        </w:tc>
        <w:tc>
          <w:tcPr>
            <w:tcW w:w="624" w:type="dxa"/>
          </w:tcPr>
          <w:p w:rsidR="00465736" w:rsidRPr="00CC2021" w:rsidRDefault="00465736" w:rsidP="00987279">
            <w:pPr>
              <w:pStyle w:val="Huisstijl-TabelStatus"/>
              <w:spacing w:line="240" w:lineRule="auto"/>
            </w:pPr>
          </w:p>
        </w:tc>
      </w:tr>
      <w:bookmarkEnd w:id="10"/>
      <w:bookmarkEnd w:id="11"/>
      <w:tr w:rsidR="00465736" w:rsidRPr="00E2690E" w:rsidTr="00A82751">
        <w:tc>
          <w:tcPr>
            <w:tcW w:w="630" w:type="dxa"/>
          </w:tcPr>
          <w:p w:rsidR="00465736" w:rsidRPr="00E2690E" w:rsidRDefault="00465736" w:rsidP="00987279">
            <w:pPr>
              <w:pStyle w:val="Huisstijl-TabelStatus"/>
              <w:spacing w:line="240" w:lineRule="auto"/>
            </w:pPr>
          </w:p>
        </w:tc>
        <w:tc>
          <w:tcPr>
            <w:tcW w:w="964" w:type="dxa"/>
          </w:tcPr>
          <w:p w:rsidR="00465736" w:rsidRPr="00E2690E" w:rsidRDefault="00465736" w:rsidP="00987279">
            <w:pPr>
              <w:pStyle w:val="Huisstijl-TabelStatus"/>
              <w:spacing w:line="240" w:lineRule="auto"/>
            </w:pPr>
          </w:p>
        </w:tc>
        <w:tc>
          <w:tcPr>
            <w:tcW w:w="1644" w:type="dxa"/>
          </w:tcPr>
          <w:p w:rsidR="00465736" w:rsidRPr="00E2690E" w:rsidRDefault="00465736" w:rsidP="00987279">
            <w:pPr>
              <w:pStyle w:val="Huisstijl-TabelStatus"/>
              <w:spacing w:line="240" w:lineRule="auto"/>
            </w:pPr>
            <w:r>
              <w:t>Myra van der Meulen</w:t>
            </w:r>
          </w:p>
        </w:tc>
        <w:tc>
          <w:tcPr>
            <w:tcW w:w="624" w:type="dxa"/>
          </w:tcPr>
          <w:p w:rsidR="00465736" w:rsidRPr="00E2690E" w:rsidRDefault="00465736" w:rsidP="00987279">
            <w:pPr>
              <w:pStyle w:val="Huisstijl-TabelStatus"/>
              <w:spacing w:line="240" w:lineRule="auto"/>
            </w:pPr>
          </w:p>
        </w:tc>
        <w:tc>
          <w:tcPr>
            <w:tcW w:w="1644" w:type="dxa"/>
          </w:tcPr>
          <w:p w:rsidR="00465736" w:rsidRPr="00E2690E" w:rsidRDefault="00465736" w:rsidP="00987279">
            <w:pPr>
              <w:pStyle w:val="Huisstijl-TabelStatus"/>
              <w:spacing w:line="240" w:lineRule="auto"/>
            </w:pPr>
          </w:p>
        </w:tc>
        <w:tc>
          <w:tcPr>
            <w:tcW w:w="624" w:type="dxa"/>
          </w:tcPr>
          <w:p w:rsidR="00465736" w:rsidRPr="00035D1B" w:rsidRDefault="00465736" w:rsidP="00987279">
            <w:pPr>
              <w:pStyle w:val="Huisstijl-TabelStatus"/>
              <w:spacing w:line="240" w:lineRule="auto"/>
            </w:pPr>
          </w:p>
        </w:tc>
        <w:tc>
          <w:tcPr>
            <w:tcW w:w="1644" w:type="dxa"/>
          </w:tcPr>
          <w:p w:rsidR="00465736" w:rsidRPr="00E2690E" w:rsidRDefault="00465736" w:rsidP="00987279">
            <w:pPr>
              <w:pStyle w:val="Huisstijl-TabelStatus"/>
              <w:spacing w:line="240" w:lineRule="auto"/>
            </w:pPr>
          </w:p>
        </w:tc>
        <w:tc>
          <w:tcPr>
            <w:tcW w:w="624" w:type="dxa"/>
          </w:tcPr>
          <w:p w:rsidR="00465736" w:rsidRPr="00E2690E" w:rsidRDefault="00465736" w:rsidP="00987279">
            <w:pPr>
              <w:pStyle w:val="Huisstijl-TabelStatus"/>
              <w:spacing w:line="240" w:lineRule="auto"/>
            </w:pPr>
          </w:p>
        </w:tc>
      </w:tr>
      <w:tr w:rsidR="00465736" w:rsidRPr="00E2690E" w:rsidTr="00A82751">
        <w:tc>
          <w:tcPr>
            <w:tcW w:w="630" w:type="dxa"/>
          </w:tcPr>
          <w:p w:rsidR="00465736" w:rsidRPr="00E2690E" w:rsidRDefault="00465736" w:rsidP="00987279">
            <w:pPr>
              <w:pStyle w:val="Huisstijl-TabelStatus"/>
              <w:spacing w:line="240" w:lineRule="auto"/>
            </w:pPr>
          </w:p>
        </w:tc>
        <w:tc>
          <w:tcPr>
            <w:tcW w:w="964" w:type="dxa"/>
          </w:tcPr>
          <w:p w:rsidR="00465736" w:rsidRPr="00E2690E" w:rsidRDefault="00465736" w:rsidP="00987279">
            <w:pPr>
              <w:pStyle w:val="Huisstijl-TabelStatus"/>
              <w:spacing w:line="240" w:lineRule="auto"/>
            </w:pPr>
          </w:p>
        </w:tc>
        <w:tc>
          <w:tcPr>
            <w:tcW w:w="1644" w:type="dxa"/>
          </w:tcPr>
          <w:p w:rsidR="00465736" w:rsidRPr="00E2690E" w:rsidRDefault="00465736" w:rsidP="00987279">
            <w:pPr>
              <w:pStyle w:val="Huisstijl-TabelStatus"/>
              <w:spacing w:line="240" w:lineRule="auto"/>
            </w:pPr>
          </w:p>
        </w:tc>
        <w:tc>
          <w:tcPr>
            <w:tcW w:w="624" w:type="dxa"/>
          </w:tcPr>
          <w:p w:rsidR="00465736" w:rsidRPr="00E2690E" w:rsidRDefault="00465736" w:rsidP="00987279">
            <w:pPr>
              <w:pStyle w:val="Huisstijl-TabelStatus"/>
              <w:spacing w:line="240" w:lineRule="auto"/>
            </w:pPr>
          </w:p>
        </w:tc>
        <w:tc>
          <w:tcPr>
            <w:tcW w:w="1644" w:type="dxa"/>
          </w:tcPr>
          <w:p w:rsidR="00465736" w:rsidRPr="00E2690E" w:rsidRDefault="00465736" w:rsidP="00987279">
            <w:pPr>
              <w:pStyle w:val="Huisstijl-TabelStatus"/>
              <w:spacing w:line="240" w:lineRule="auto"/>
            </w:pPr>
          </w:p>
        </w:tc>
        <w:tc>
          <w:tcPr>
            <w:tcW w:w="624" w:type="dxa"/>
          </w:tcPr>
          <w:p w:rsidR="00465736" w:rsidRPr="00035D1B" w:rsidRDefault="00465736" w:rsidP="00987279">
            <w:pPr>
              <w:pStyle w:val="Huisstijl-TabelStatus"/>
              <w:spacing w:line="240" w:lineRule="auto"/>
            </w:pPr>
          </w:p>
        </w:tc>
        <w:tc>
          <w:tcPr>
            <w:tcW w:w="1644" w:type="dxa"/>
          </w:tcPr>
          <w:p w:rsidR="00465736" w:rsidRPr="00E2690E" w:rsidRDefault="00465736" w:rsidP="00987279">
            <w:pPr>
              <w:pStyle w:val="Huisstijl-TabelStatus"/>
              <w:spacing w:line="240" w:lineRule="auto"/>
            </w:pPr>
          </w:p>
        </w:tc>
        <w:tc>
          <w:tcPr>
            <w:tcW w:w="624" w:type="dxa"/>
          </w:tcPr>
          <w:p w:rsidR="00465736" w:rsidRPr="00E2690E" w:rsidRDefault="00465736" w:rsidP="00987279">
            <w:pPr>
              <w:pStyle w:val="Huisstijl-TabelStatus"/>
              <w:spacing w:line="240" w:lineRule="auto"/>
            </w:pPr>
          </w:p>
        </w:tc>
      </w:tr>
      <w:bookmarkEnd w:id="9"/>
    </w:tbl>
    <w:p w:rsidR="00465736" w:rsidRPr="00C94346" w:rsidRDefault="00465736" w:rsidP="00987279">
      <w:pPr>
        <w:spacing w:line="240" w:lineRule="auto"/>
      </w:pPr>
    </w:p>
    <w:tbl>
      <w:tblPr>
        <w:tblW w:w="8420" w:type="dxa"/>
        <w:tblLayout w:type="fixed"/>
        <w:tblCellMar>
          <w:left w:w="0" w:type="dxa"/>
          <w:right w:w="0" w:type="dxa"/>
        </w:tblCellMar>
        <w:tblLook w:val="0000"/>
      </w:tblPr>
      <w:tblGrid>
        <w:gridCol w:w="8420"/>
      </w:tblGrid>
      <w:tr w:rsidR="00465736" w:rsidTr="00A82751">
        <w:tc>
          <w:tcPr>
            <w:tcW w:w="8420" w:type="dxa"/>
            <w:shd w:val="clear" w:color="auto" w:fill="auto"/>
          </w:tcPr>
          <w:p w:rsidR="005C1993" w:rsidRDefault="005C1993" w:rsidP="00987279">
            <w:pPr>
              <w:pStyle w:val="Huisstijl-Kopje"/>
              <w:spacing w:line="240" w:lineRule="auto"/>
            </w:pPr>
            <w:bookmarkStart w:id="12" w:name="bmStatus" w:colFirst="0" w:colLast="0"/>
            <w:r>
              <w:t>State</w:t>
            </w:r>
          </w:p>
          <w:p w:rsidR="005C1993" w:rsidRDefault="005C1993" w:rsidP="00987279">
            <w:pPr>
              <w:pStyle w:val="Huisstijl-Gegeven"/>
              <w:spacing w:line="240" w:lineRule="auto"/>
            </w:pPr>
            <w:r>
              <w:t>draft</w:t>
            </w:r>
          </w:p>
          <w:p w:rsidR="00465736" w:rsidRDefault="005C1993" w:rsidP="00987279">
            <w:pPr>
              <w:pStyle w:val="Huisstijl-Gegeven"/>
              <w:spacing w:line="240" w:lineRule="auto"/>
            </w:pPr>
            <w:r>
              <w:t>This is a draft report, intended for discussion purposes only. No part of this report may be relied upon by either principals or third parties.</w:t>
            </w:r>
          </w:p>
        </w:tc>
      </w:tr>
      <w:bookmarkEnd w:id="12"/>
    </w:tbl>
    <w:p w:rsidR="00465736" w:rsidRDefault="00465736" w:rsidP="00987279">
      <w:pPr>
        <w:spacing w:line="240" w:lineRule="auto"/>
      </w:pPr>
    </w:p>
    <w:p w:rsidR="00A45B92" w:rsidRDefault="00A45B92" w:rsidP="00987279">
      <w:pPr>
        <w:spacing w:line="240" w:lineRule="auto"/>
      </w:pPr>
    </w:p>
    <w:p w:rsidR="00A2242F" w:rsidRDefault="00A2242F" w:rsidP="00987279">
      <w:pPr>
        <w:spacing w:line="240" w:lineRule="auto"/>
        <w:sectPr w:rsidR="00A2242F" w:rsidSect="005C1993">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2552" w:right="1094" w:bottom="1077" w:left="2098" w:header="822" w:footer="198" w:gutter="0"/>
          <w:paperSrc w:first="1" w:other="1"/>
          <w:cols w:space="708"/>
          <w:docGrid w:linePitch="360"/>
        </w:sectPr>
      </w:pPr>
    </w:p>
    <w:p w:rsidR="00465736" w:rsidRPr="00013D53" w:rsidRDefault="008254DE" w:rsidP="00987279">
      <w:pPr>
        <w:pStyle w:val="Huisstijl-TitelInhoud"/>
        <w:spacing w:before="0" w:after="0" w:line="240" w:lineRule="auto"/>
      </w:pPr>
      <w:bookmarkStart w:id="20" w:name="bmTOC"/>
      <w:bookmarkEnd w:id="20"/>
      <w:r>
        <w:lastRenderedPageBreak/>
        <w:t>Contents</w:t>
      </w:r>
    </w:p>
    <w:p w:rsidR="006F2D89" w:rsidRDefault="008135ED">
      <w:pPr>
        <w:pStyle w:val="TOC1"/>
        <w:rPr>
          <w:rFonts w:asciiTheme="minorHAnsi" w:eastAsiaTheme="minorEastAsia" w:hAnsiTheme="minorHAnsi" w:cstheme="minorBidi"/>
          <w:b w:val="0"/>
          <w:noProof/>
          <w:sz w:val="22"/>
          <w:szCs w:val="22"/>
          <w:lang w:eastAsia="zh-CN"/>
        </w:rPr>
      </w:pPr>
      <w:r w:rsidRPr="008135ED">
        <w:fldChar w:fldCharType="begin"/>
      </w:r>
      <w:r w:rsidR="00465736" w:rsidRPr="006E16AF">
        <w:instrText xml:space="preserve"> TOC \t "Heading 1;1;Heading 2;2;Heading 3;3" </w:instrText>
      </w:r>
      <w:r w:rsidRPr="008135ED">
        <w:fldChar w:fldCharType="separate"/>
      </w:r>
      <w:r w:rsidR="006F2D89">
        <w:rPr>
          <w:noProof/>
        </w:rPr>
        <w:t>1</w:t>
      </w:r>
      <w:r w:rsidR="006F2D89">
        <w:rPr>
          <w:rFonts w:asciiTheme="minorHAnsi" w:eastAsiaTheme="minorEastAsia" w:hAnsiTheme="minorHAnsi" w:cstheme="minorBidi"/>
          <w:b w:val="0"/>
          <w:noProof/>
          <w:sz w:val="22"/>
          <w:szCs w:val="22"/>
          <w:lang w:eastAsia="zh-CN"/>
        </w:rPr>
        <w:tab/>
      </w:r>
      <w:r w:rsidR="006F2D89">
        <w:rPr>
          <w:noProof/>
        </w:rPr>
        <w:t>Introduction</w:t>
      </w:r>
      <w:r w:rsidR="006F2D89">
        <w:rPr>
          <w:noProof/>
        </w:rPr>
        <w:tab/>
      </w:r>
      <w:r>
        <w:rPr>
          <w:noProof/>
        </w:rPr>
        <w:fldChar w:fldCharType="begin"/>
      </w:r>
      <w:r w:rsidR="006F2D89">
        <w:rPr>
          <w:noProof/>
        </w:rPr>
        <w:instrText xml:space="preserve"> PAGEREF _Toc384815494 \h </w:instrText>
      </w:r>
      <w:r>
        <w:rPr>
          <w:noProof/>
        </w:rPr>
      </w:r>
      <w:r>
        <w:rPr>
          <w:noProof/>
        </w:rPr>
        <w:fldChar w:fldCharType="separate"/>
      </w:r>
      <w:r w:rsidR="003461A2">
        <w:rPr>
          <w:noProof/>
        </w:rPr>
        <w:t>1</w:t>
      </w:r>
      <w:r>
        <w:rPr>
          <w:noProof/>
        </w:rPr>
        <w:fldChar w:fldCharType="end"/>
      </w:r>
    </w:p>
    <w:p w:rsidR="006F2D89" w:rsidRDefault="006F2D89">
      <w:pPr>
        <w:pStyle w:val="TOC2"/>
        <w:rPr>
          <w:rFonts w:asciiTheme="minorHAnsi" w:eastAsiaTheme="minorEastAsia" w:hAnsiTheme="minorHAnsi" w:cstheme="minorBidi"/>
          <w:noProof/>
          <w:sz w:val="22"/>
          <w:szCs w:val="22"/>
          <w:lang w:eastAsia="zh-CN"/>
        </w:rPr>
      </w:pPr>
      <w:r>
        <w:rPr>
          <w:noProof/>
        </w:rPr>
        <w:t>1.1</w:t>
      </w:r>
      <w:r>
        <w:rPr>
          <w:rFonts w:asciiTheme="minorHAnsi" w:eastAsiaTheme="minorEastAsia" w:hAnsiTheme="minorHAnsi" w:cstheme="minorBidi"/>
          <w:noProof/>
          <w:sz w:val="22"/>
          <w:szCs w:val="22"/>
          <w:lang w:eastAsia="zh-CN"/>
        </w:rPr>
        <w:tab/>
      </w:r>
      <w:r>
        <w:rPr>
          <w:noProof/>
        </w:rPr>
        <w:t>Background</w:t>
      </w:r>
      <w:r>
        <w:rPr>
          <w:noProof/>
        </w:rPr>
        <w:tab/>
      </w:r>
      <w:r w:rsidR="008135ED">
        <w:rPr>
          <w:noProof/>
        </w:rPr>
        <w:fldChar w:fldCharType="begin"/>
      </w:r>
      <w:r>
        <w:rPr>
          <w:noProof/>
        </w:rPr>
        <w:instrText xml:space="preserve"> PAGEREF _Toc384815495 \h </w:instrText>
      </w:r>
      <w:r w:rsidR="008135ED">
        <w:rPr>
          <w:noProof/>
        </w:rPr>
      </w:r>
      <w:r w:rsidR="008135ED">
        <w:rPr>
          <w:noProof/>
        </w:rPr>
        <w:fldChar w:fldCharType="separate"/>
      </w:r>
      <w:r w:rsidR="003461A2">
        <w:rPr>
          <w:noProof/>
        </w:rPr>
        <w:t>1</w:t>
      </w:r>
      <w:r w:rsidR="008135ED">
        <w:rPr>
          <w:noProof/>
        </w:rPr>
        <w:fldChar w:fldCharType="end"/>
      </w:r>
    </w:p>
    <w:p w:rsidR="006F2D89" w:rsidRDefault="006F2D89">
      <w:pPr>
        <w:pStyle w:val="TOC2"/>
        <w:rPr>
          <w:rFonts w:asciiTheme="minorHAnsi" w:eastAsiaTheme="minorEastAsia" w:hAnsiTheme="minorHAnsi" w:cstheme="minorBidi"/>
          <w:noProof/>
          <w:sz w:val="22"/>
          <w:szCs w:val="22"/>
          <w:lang w:eastAsia="zh-CN"/>
        </w:rPr>
      </w:pPr>
      <w:r>
        <w:rPr>
          <w:noProof/>
        </w:rPr>
        <w:t>1.2</w:t>
      </w:r>
      <w:r>
        <w:rPr>
          <w:rFonts w:asciiTheme="minorHAnsi" w:eastAsiaTheme="minorEastAsia" w:hAnsiTheme="minorHAnsi" w:cstheme="minorBidi"/>
          <w:noProof/>
          <w:sz w:val="22"/>
          <w:szCs w:val="22"/>
          <w:lang w:eastAsia="zh-CN"/>
        </w:rPr>
        <w:tab/>
      </w:r>
      <w:r>
        <w:rPr>
          <w:noProof/>
        </w:rPr>
        <w:t>Objectives</w:t>
      </w:r>
      <w:r>
        <w:rPr>
          <w:noProof/>
        </w:rPr>
        <w:tab/>
      </w:r>
      <w:r w:rsidR="008135ED">
        <w:rPr>
          <w:noProof/>
        </w:rPr>
        <w:fldChar w:fldCharType="begin"/>
      </w:r>
      <w:r>
        <w:rPr>
          <w:noProof/>
        </w:rPr>
        <w:instrText xml:space="preserve"> PAGEREF _Toc384815496 \h </w:instrText>
      </w:r>
      <w:r w:rsidR="008135ED">
        <w:rPr>
          <w:noProof/>
        </w:rPr>
      </w:r>
      <w:r w:rsidR="008135ED">
        <w:rPr>
          <w:noProof/>
        </w:rPr>
        <w:fldChar w:fldCharType="separate"/>
      </w:r>
      <w:r w:rsidR="003461A2">
        <w:rPr>
          <w:noProof/>
        </w:rPr>
        <w:t>2</w:t>
      </w:r>
      <w:r w:rsidR="008135ED">
        <w:rPr>
          <w:noProof/>
        </w:rPr>
        <w:fldChar w:fldCharType="end"/>
      </w:r>
    </w:p>
    <w:p w:rsidR="006F2D89" w:rsidRDefault="006F2D89">
      <w:pPr>
        <w:pStyle w:val="TOC2"/>
        <w:rPr>
          <w:rFonts w:asciiTheme="minorHAnsi" w:eastAsiaTheme="minorEastAsia" w:hAnsiTheme="minorHAnsi" w:cstheme="minorBidi"/>
          <w:noProof/>
          <w:sz w:val="22"/>
          <w:szCs w:val="22"/>
          <w:lang w:eastAsia="zh-CN"/>
        </w:rPr>
      </w:pPr>
      <w:r w:rsidRPr="001307D8">
        <w:rPr>
          <w:noProof/>
          <w:lang w:val="en-US"/>
        </w:rPr>
        <w:t>1.3</w:t>
      </w:r>
      <w:r>
        <w:rPr>
          <w:rFonts w:asciiTheme="minorHAnsi" w:eastAsiaTheme="minorEastAsia" w:hAnsiTheme="minorHAnsi" w:cstheme="minorBidi"/>
          <w:noProof/>
          <w:sz w:val="22"/>
          <w:szCs w:val="22"/>
          <w:lang w:eastAsia="zh-CN"/>
        </w:rPr>
        <w:tab/>
      </w:r>
      <w:r w:rsidRPr="001307D8">
        <w:rPr>
          <w:noProof/>
          <w:lang w:val="en-US"/>
        </w:rPr>
        <w:t>Methods</w:t>
      </w:r>
      <w:r>
        <w:rPr>
          <w:noProof/>
        </w:rPr>
        <w:tab/>
      </w:r>
      <w:r w:rsidR="008135ED">
        <w:rPr>
          <w:noProof/>
        </w:rPr>
        <w:fldChar w:fldCharType="begin"/>
      </w:r>
      <w:r>
        <w:rPr>
          <w:noProof/>
        </w:rPr>
        <w:instrText xml:space="preserve"> PAGEREF _Toc384815497 \h </w:instrText>
      </w:r>
      <w:r w:rsidR="008135ED">
        <w:rPr>
          <w:noProof/>
        </w:rPr>
      </w:r>
      <w:r w:rsidR="008135ED">
        <w:rPr>
          <w:noProof/>
        </w:rPr>
        <w:fldChar w:fldCharType="separate"/>
      </w:r>
      <w:r w:rsidR="003461A2">
        <w:rPr>
          <w:noProof/>
        </w:rPr>
        <w:t>2</w:t>
      </w:r>
      <w:r w:rsidR="008135ED">
        <w:rPr>
          <w:noProof/>
        </w:rPr>
        <w:fldChar w:fldCharType="end"/>
      </w:r>
    </w:p>
    <w:p w:rsidR="006F2D89" w:rsidRDefault="006F2D89">
      <w:pPr>
        <w:pStyle w:val="TOC1"/>
        <w:rPr>
          <w:rFonts w:asciiTheme="minorHAnsi" w:eastAsiaTheme="minorEastAsia" w:hAnsiTheme="minorHAnsi" w:cstheme="minorBidi"/>
          <w:b w:val="0"/>
          <w:noProof/>
          <w:sz w:val="22"/>
          <w:szCs w:val="22"/>
          <w:lang w:eastAsia="zh-CN"/>
        </w:rPr>
      </w:pPr>
      <w:r>
        <w:rPr>
          <w:noProof/>
        </w:rPr>
        <w:t>2</w:t>
      </w:r>
      <w:r>
        <w:rPr>
          <w:rFonts w:asciiTheme="minorHAnsi" w:eastAsiaTheme="minorEastAsia" w:hAnsiTheme="minorHAnsi" w:cstheme="minorBidi"/>
          <w:b w:val="0"/>
          <w:noProof/>
          <w:sz w:val="22"/>
          <w:szCs w:val="22"/>
          <w:lang w:eastAsia="zh-CN"/>
        </w:rPr>
        <w:tab/>
      </w:r>
      <w:r w:rsidR="001A173D">
        <w:rPr>
          <w:noProof/>
          <w:lang w:val="en-US"/>
        </w:rPr>
        <w:t>RSC and EEA</w:t>
      </w:r>
      <w:r w:rsidRPr="001307D8">
        <w:rPr>
          <w:noProof/>
          <w:lang w:val="en-US"/>
        </w:rPr>
        <w:t xml:space="preserve"> data holdings and data flows related to eutrophication</w:t>
      </w:r>
      <w:r>
        <w:rPr>
          <w:noProof/>
        </w:rPr>
        <w:tab/>
      </w:r>
      <w:r w:rsidR="00EB4C48">
        <w:rPr>
          <w:noProof/>
        </w:rPr>
        <w:t>5</w:t>
      </w:r>
    </w:p>
    <w:p w:rsidR="006F2D89" w:rsidRDefault="006F2D89">
      <w:pPr>
        <w:pStyle w:val="TOC2"/>
        <w:rPr>
          <w:rFonts w:asciiTheme="minorHAnsi" w:eastAsiaTheme="minorEastAsia" w:hAnsiTheme="minorHAnsi" w:cstheme="minorBidi"/>
          <w:noProof/>
          <w:sz w:val="22"/>
          <w:szCs w:val="22"/>
          <w:lang w:eastAsia="zh-CN"/>
        </w:rPr>
      </w:pPr>
      <w:r>
        <w:rPr>
          <w:noProof/>
        </w:rPr>
        <w:t>2.1</w:t>
      </w:r>
      <w:r>
        <w:rPr>
          <w:rFonts w:asciiTheme="minorHAnsi" w:eastAsiaTheme="minorEastAsia" w:hAnsiTheme="minorHAnsi" w:cstheme="minorBidi"/>
          <w:noProof/>
          <w:sz w:val="22"/>
          <w:szCs w:val="22"/>
          <w:lang w:eastAsia="zh-CN"/>
        </w:rPr>
        <w:tab/>
      </w:r>
      <w:r>
        <w:rPr>
          <w:noProof/>
        </w:rPr>
        <w:t>RSCs eutrophication indicators in relation  to MSFD and EEA indicators</w:t>
      </w:r>
      <w:r>
        <w:rPr>
          <w:noProof/>
        </w:rPr>
        <w:tab/>
      </w:r>
      <w:r w:rsidR="00EB4C48">
        <w:rPr>
          <w:noProof/>
        </w:rPr>
        <w:t>5</w:t>
      </w:r>
    </w:p>
    <w:p w:rsidR="006F2D89" w:rsidRDefault="006F2D89">
      <w:pPr>
        <w:pStyle w:val="TOC2"/>
        <w:rPr>
          <w:rFonts w:asciiTheme="minorHAnsi" w:eastAsiaTheme="minorEastAsia" w:hAnsiTheme="minorHAnsi" w:cstheme="minorBidi"/>
          <w:noProof/>
          <w:sz w:val="22"/>
          <w:szCs w:val="22"/>
          <w:lang w:eastAsia="zh-CN"/>
        </w:rPr>
      </w:pPr>
      <w:r w:rsidRPr="001307D8">
        <w:rPr>
          <w:noProof/>
          <w:lang w:val="en-US"/>
        </w:rPr>
        <w:t>2.2</w:t>
      </w:r>
      <w:r>
        <w:rPr>
          <w:rFonts w:asciiTheme="minorHAnsi" w:eastAsiaTheme="minorEastAsia" w:hAnsiTheme="minorHAnsi" w:cstheme="minorBidi"/>
          <w:noProof/>
          <w:sz w:val="22"/>
          <w:szCs w:val="22"/>
          <w:lang w:eastAsia="zh-CN"/>
        </w:rPr>
        <w:tab/>
      </w:r>
      <w:r w:rsidRPr="001307D8">
        <w:rPr>
          <w:noProof/>
          <w:lang w:val="en-US"/>
        </w:rPr>
        <w:t>RSCs methodologies for eutrophication indicators and assessment tools</w:t>
      </w:r>
      <w:r>
        <w:rPr>
          <w:noProof/>
        </w:rPr>
        <w:tab/>
      </w:r>
      <w:r w:rsidR="00EB4C48">
        <w:rPr>
          <w:noProof/>
        </w:rPr>
        <w:t>11</w:t>
      </w:r>
    </w:p>
    <w:p w:rsidR="006F2D89" w:rsidRDefault="006F2D89">
      <w:pPr>
        <w:pStyle w:val="TOC2"/>
        <w:rPr>
          <w:rFonts w:asciiTheme="minorHAnsi" w:eastAsiaTheme="minorEastAsia" w:hAnsiTheme="minorHAnsi" w:cstheme="minorBidi"/>
          <w:noProof/>
          <w:sz w:val="22"/>
          <w:szCs w:val="22"/>
          <w:lang w:eastAsia="zh-CN"/>
        </w:rPr>
      </w:pPr>
      <w:r w:rsidRPr="001307D8">
        <w:rPr>
          <w:noProof/>
          <w:lang w:val="en-US"/>
        </w:rPr>
        <w:t>2.3</w:t>
      </w:r>
      <w:r>
        <w:rPr>
          <w:rFonts w:asciiTheme="minorHAnsi" w:eastAsiaTheme="minorEastAsia" w:hAnsiTheme="minorHAnsi" w:cstheme="minorBidi"/>
          <w:noProof/>
          <w:sz w:val="22"/>
          <w:szCs w:val="22"/>
          <w:lang w:eastAsia="zh-CN"/>
        </w:rPr>
        <w:tab/>
      </w:r>
      <w:r w:rsidRPr="001307D8">
        <w:rPr>
          <w:noProof/>
          <w:lang w:val="en-US"/>
        </w:rPr>
        <w:t>RSCs data streams analysis for identifying eutrophication indicators</w:t>
      </w:r>
      <w:r>
        <w:rPr>
          <w:noProof/>
        </w:rPr>
        <w:tab/>
      </w:r>
      <w:r w:rsidR="00EB4C48">
        <w:rPr>
          <w:noProof/>
        </w:rPr>
        <w:t>25</w:t>
      </w:r>
    </w:p>
    <w:p w:rsidR="006F2D89" w:rsidRDefault="006F2D89">
      <w:pPr>
        <w:pStyle w:val="TOC2"/>
        <w:rPr>
          <w:rFonts w:asciiTheme="minorHAnsi" w:eastAsiaTheme="minorEastAsia" w:hAnsiTheme="minorHAnsi" w:cstheme="minorBidi"/>
          <w:noProof/>
          <w:sz w:val="22"/>
          <w:szCs w:val="22"/>
          <w:lang w:eastAsia="zh-CN"/>
        </w:rPr>
      </w:pPr>
      <w:r w:rsidRPr="001307D8">
        <w:rPr>
          <w:noProof/>
          <w:lang w:val="en-US"/>
        </w:rPr>
        <w:t>2.4</w:t>
      </w:r>
      <w:r>
        <w:rPr>
          <w:rFonts w:asciiTheme="minorHAnsi" w:eastAsiaTheme="minorEastAsia" w:hAnsiTheme="minorHAnsi" w:cstheme="minorBidi"/>
          <w:noProof/>
          <w:sz w:val="22"/>
          <w:szCs w:val="22"/>
          <w:lang w:eastAsia="zh-CN"/>
        </w:rPr>
        <w:tab/>
      </w:r>
      <w:r w:rsidRPr="001307D8">
        <w:rPr>
          <w:noProof/>
          <w:lang w:val="en-US"/>
        </w:rPr>
        <w:t>Categorization of RSCs eutrophication indicators according to the DPSIR approach</w:t>
      </w:r>
      <w:r>
        <w:rPr>
          <w:noProof/>
        </w:rPr>
        <w:tab/>
      </w:r>
      <w:r w:rsidR="00EB4C48">
        <w:rPr>
          <w:noProof/>
        </w:rPr>
        <w:t>35</w:t>
      </w:r>
    </w:p>
    <w:p w:rsidR="006F2D89" w:rsidRDefault="006F2D89">
      <w:pPr>
        <w:pStyle w:val="TOC1"/>
        <w:rPr>
          <w:rFonts w:asciiTheme="minorHAnsi" w:eastAsiaTheme="minorEastAsia" w:hAnsiTheme="minorHAnsi" w:cstheme="minorBidi"/>
          <w:b w:val="0"/>
          <w:noProof/>
          <w:sz w:val="22"/>
          <w:szCs w:val="22"/>
          <w:lang w:eastAsia="zh-CN"/>
        </w:rPr>
      </w:pPr>
      <w:r w:rsidRPr="001307D8">
        <w:rPr>
          <w:noProof/>
          <w:lang w:val="en-US"/>
        </w:rPr>
        <w:t>3</w:t>
      </w:r>
      <w:r>
        <w:rPr>
          <w:rFonts w:asciiTheme="minorHAnsi" w:eastAsiaTheme="minorEastAsia" w:hAnsiTheme="minorHAnsi" w:cstheme="minorBidi"/>
          <w:b w:val="0"/>
          <w:noProof/>
          <w:sz w:val="22"/>
          <w:szCs w:val="22"/>
          <w:lang w:eastAsia="zh-CN"/>
        </w:rPr>
        <w:tab/>
      </w:r>
      <w:r w:rsidR="001A173D">
        <w:rPr>
          <w:noProof/>
          <w:lang w:val="en-US"/>
        </w:rPr>
        <w:t xml:space="preserve">RSC and EEA </w:t>
      </w:r>
      <w:r w:rsidRPr="001307D8">
        <w:rPr>
          <w:noProof/>
          <w:lang w:val="en-US"/>
        </w:rPr>
        <w:t>data holdings and data flows related to hazardous substances</w:t>
      </w:r>
      <w:r>
        <w:rPr>
          <w:noProof/>
        </w:rPr>
        <w:tab/>
      </w:r>
      <w:r w:rsidR="008135ED">
        <w:rPr>
          <w:noProof/>
        </w:rPr>
        <w:fldChar w:fldCharType="begin"/>
      </w:r>
      <w:r>
        <w:rPr>
          <w:noProof/>
        </w:rPr>
        <w:instrText xml:space="preserve"> PAGEREF _Toc384815503 \h </w:instrText>
      </w:r>
      <w:r w:rsidR="008135ED">
        <w:rPr>
          <w:noProof/>
        </w:rPr>
      </w:r>
      <w:r w:rsidR="008135ED">
        <w:rPr>
          <w:noProof/>
        </w:rPr>
        <w:fldChar w:fldCharType="separate"/>
      </w:r>
      <w:r w:rsidR="003461A2">
        <w:rPr>
          <w:noProof/>
        </w:rPr>
        <w:t>3</w:t>
      </w:r>
      <w:r w:rsidR="00EB4C48">
        <w:rPr>
          <w:noProof/>
        </w:rPr>
        <w:t>7</w:t>
      </w:r>
      <w:r w:rsidR="008135ED">
        <w:rPr>
          <w:noProof/>
        </w:rPr>
        <w:fldChar w:fldCharType="end"/>
      </w:r>
    </w:p>
    <w:p w:rsidR="006F2D89" w:rsidRDefault="006F2D89">
      <w:pPr>
        <w:pStyle w:val="TOC2"/>
        <w:rPr>
          <w:rFonts w:asciiTheme="minorHAnsi" w:eastAsiaTheme="minorEastAsia" w:hAnsiTheme="minorHAnsi" w:cstheme="minorBidi"/>
          <w:noProof/>
          <w:sz w:val="22"/>
          <w:szCs w:val="22"/>
          <w:lang w:eastAsia="zh-CN"/>
        </w:rPr>
      </w:pPr>
      <w:r w:rsidRPr="001307D8">
        <w:rPr>
          <w:noProof/>
          <w:lang w:val="en-US"/>
        </w:rPr>
        <w:t>3.1</w:t>
      </w:r>
      <w:r>
        <w:rPr>
          <w:rFonts w:asciiTheme="minorHAnsi" w:eastAsiaTheme="minorEastAsia" w:hAnsiTheme="minorHAnsi" w:cstheme="minorBidi"/>
          <w:noProof/>
          <w:sz w:val="22"/>
          <w:szCs w:val="22"/>
          <w:lang w:eastAsia="zh-CN"/>
        </w:rPr>
        <w:tab/>
      </w:r>
      <w:r w:rsidRPr="001307D8">
        <w:rPr>
          <w:noProof/>
          <w:lang w:val="en-US"/>
        </w:rPr>
        <w:t>RSCs hazardous substances indicators in relation to MSFD  and EEA indicators</w:t>
      </w:r>
      <w:r>
        <w:rPr>
          <w:noProof/>
        </w:rPr>
        <w:tab/>
      </w:r>
      <w:r w:rsidR="008135ED">
        <w:rPr>
          <w:noProof/>
        </w:rPr>
        <w:fldChar w:fldCharType="begin"/>
      </w:r>
      <w:r>
        <w:rPr>
          <w:noProof/>
        </w:rPr>
        <w:instrText xml:space="preserve"> PAGEREF _Toc384815504 \h </w:instrText>
      </w:r>
      <w:r w:rsidR="008135ED">
        <w:rPr>
          <w:noProof/>
        </w:rPr>
      </w:r>
      <w:r w:rsidR="008135ED">
        <w:rPr>
          <w:noProof/>
        </w:rPr>
        <w:fldChar w:fldCharType="separate"/>
      </w:r>
      <w:r w:rsidR="003461A2">
        <w:rPr>
          <w:noProof/>
        </w:rPr>
        <w:t>3</w:t>
      </w:r>
      <w:r w:rsidR="00EB4C48">
        <w:rPr>
          <w:noProof/>
        </w:rPr>
        <w:t>7</w:t>
      </w:r>
      <w:r w:rsidR="008135ED">
        <w:rPr>
          <w:noProof/>
        </w:rPr>
        <w:fldChar w:fldCharType="end"/>
      </w:r>
    </w:p>
    <w:p w:rsidR="006666A7" w:rsidRDefault="006F2D89" w:rsidP="006666A7">
      <w:pPr>
        <w:pStyle w:val="TOC2"/>
        <w:rPr>
          <w:rFonts w:asciiTheme="minorHAnsi" w:eastAsiaTheme="minorEastAsia" w:hAnsiTheme="minorHAnsi" w:cstheme="minorBidi"/>
          <w:noProof/>
          <w:sz w:val="22"/>
          <w:szCs w:val="22"/>
          <w:lang w:eastAsia="zh-CN"/>
        </w:rPr>
      </w:pPr>
      <w:r w:rsidRPr="001307D8">
        <w:rPr>
          <w:noProof/>
          <w:lang w:val="en-US"/>
        </w:rPr>
        <w:t>3.2</w:t>
      </w:r>
      <w:r>
        <w:rPr>
          <w:rFonts w:asciiTheme="minorHAnsi" w:eastAsiaTheme="minorEastAsia" w:hAnsiTheme="minorHAnsi" w:cstheme="minorBidi"/>
          <w:noProof/>
          <w:sz w:val="22"/>
          <w:szCs w:val="22"/>
          <w:lang w:eastAsia="zh-CN"/>
        </w:rPr>
        <w:tab/>
      </w:r>
      <w:r w:rsidRPr="001307D8">
        <w:rPr>
          <w:noProof/>
          <w:lang w:val="en-US"/>
        </w:rPr>
        <w:t>RSCs methodologies for hazardous substances indicators and assessment tools</w:t>
      </w:r>
      <w:r w:rsidR="006666A7">
        <w:rPr>
          <w:noProof/>
          <w:lang w:val="en-US"/>
        </w:rPr>
        <w:tab/>
      </w:r>
      <w:r w:rsidR="00EB4C48">
        <w:rPr>
          <w:noProof/>
        </w:rPr>
        <w:t>48</w:t>
      </w:r>
    </w:p>
    <w:p w:rsidR="006666A7" w:rsidRDefault="006666A7" w:rsidP="006666A7">
      <w:pPr>
        <w:pStyle w:val="TOC2"/>
        <w:rPr>
          <w:rFonts w:asciiTheme="minorHAnsi" w:eastAsiaTheme="minorEastAsia" w:hAnsiTheme="minorHAnsi" w:cstheme="minorBidi"/>
          <w:noProof/>
          <w:sz w:val="22"/>
          <w:szCs w:val="22"/>
          <w:lang w:eastAsia="zh-CN"/>
        </w:rPr>
      </w:pPr>
      <w:r>
        <w:rPr>
          <w:noProof/>
          <w:lang w:val="en-US"/>
        </w:rPr>
        <w:t>3.3</w:t>
      </w:r>
      <w:r>
        <w:rPr>
          <w:rFonts w:asciiTheme="minorHAnsi" w:eastAsiaTheme="minorEastAsia" w:hAnsiTheme="minorHAnsi" w:cstheme="minorBidi"/>
          <w:noProof/>
          <w:sz w:val="22"/>
          <w:szCs w:val="22"/>
          <w:lang w:eastAsia="zh-CN"/>
        </w:rPr>
        <w:tab/>
      </w:r>
      <w:r w:rsidRPr="001307D8">
        <w:rPr>
          <w:noProof/>
          <w:lang w:val="en-US"/>
        </w:rPr>
        <w:t>RSCs data streams analysis for identifying eutrophication indicators</w:t>
      </w:r>
      <w:r>
        <w:rPr>
          <w:noProof/>
        </w:rPr>
        <w:tab/>
      </w:r>
      <w:r w:rsidR="008D4822">
        <w:rPr>
          <w:noProof/>
        </w:rPr>
        <w:t>5</w:t>
      </w:r>
      <w:r w:rsidR="00EB4C48">
        <w:rPr>
          <w:noProof/>
        </w:rPr>
        <w:t>6</w:t>
      </w:r>
    </w:p>
    <w:p w:rsidR="006F2D89" w:rsidRDefault="006F2D89">
      <w:pPr>
        <w:pStyle w:val="TOC2"/>
        <w:rPr>
          <w:rFonts w:asciiTheme="minorHAnsi" w:eastAsiaTheme="minorEastAsia" w:hAnsiTheme="minorHAnsi" w:cstheme="minorBidi"/>
          <w:noProof/>
          <w:sz w:val="22"/>
          <w:szCs w:val="22"/>
          <w:lang w:eastAsia="zh-CN"/>
        </w:rPr>
      </w:pPr>
      <w:r w:rsidRPr="006666A7">
        <w:rPr>
          <w:noProof/>
          <w:lang w:val="en-US"/>
        </w:rPr>
        <w:t>3.</w:t>
      </w:r>
      <w:r w:rsidR="006666A7" w:rsidRPr="006666A7">
        <w:rPr>
          <w:noProof/>
          <w:lang w:val="en-US"/>
        </w:rPr>
        <w:t>4</w:t>
      </w:r>
      <w:r>
        <w:rPr>
          <w:rFonts w:asciiTheme="minorHAnsi" w:eastAsiaTheme="minorEastAsia" w:hAnsiTheme="minorHAnsi" w:cstheme="minorBidi"/>
          <w:noProof/>
          <w:sz w:val="22"/>
          <w:szCs w:val="22"/>
          <w:lang w:eastAsia="zh-CN"/>
        </w:rPr>
        <w:tab/>
      </w:r>
      <w:r w:rsidR="006666A7" w:rsidRPr="001307D8">
        <w:rPr>
          <w:noProof/>
          <w:lang w:val="en-US"/>
        </w:rPr>
        <w:t xml:space="preserve">Categorization of RSCs </w:t>
      </w:r>
      <w:r w:rsidR="006666A7">
        <w:rPr>
          <w:noProof/>
          <w:lang w:val="en-US"/>
        </w:rPr>
        <w:t>hazardous substances</w:t>
      </w:r>
      <w:r w:rsidR="006666A7" w:rsidRPr="001307D8">
        <w:rPr>
          <w:noProof/>
          <w:lang w:val="en-US"/>
        </w:rPr>
        <w:t xml:space="preserve"> indicators according to the DPSIR approach</w:t>
      </w:r>
      <w:r>
        <w:rPr>
          <w:noProof/>
        </w:rPr>
        <w:tab/>
      </w:r>
      <w:r w:rsidR="00EB4C48">
        <w:rPr>
          <w:noProof/>
        </w:rPr>
        <w:t>70</w:t>
      </w:r>
    </w:p>
    <w:p w:rsidR="006F2D89" w:rsidRDefault="006F2D89">
      <w:pPr>
        <w:pStyle w:val="TOC1"/>
        <w:rPr>
          <w:rFonts w:asciiTheme="minorHAnsi" w:eastAsiaTheme="minorEastAsia" w:hAnsiTheme="minorHAnsi" w:cstheme="minorBidi"/>
          <w:b w:val="0"/>
          <w:noProof/>
          <w:sz w:val="22"/>
          <w:szCs w:val="22"/>
          <w:lang w:eastAsia="zh-CN"/>
        </w:rPr>
      </w:pPr>
      <w:r>
        <w:rPr>
          <w:noProof/>
        </w:rPr>
        <w:t>4</w:t>
      </w:r>
      <w:r>
        <w:rPr>
          <w:rFonts w:asciiTheme="minorHAnsi" w:eastAsiaTheme="minorEastAsia" w:hAnsiTheme="minorHAnsi" w:cstheme="minorBidi"/>
          <w:b w:val="0"/>
          <w:noProof/>
          <w:sz w:val="22"/>
          <w:szCs w:val="22"/>
          <w:lang w:eastAsia="zh-CN"/>
        </w:rPr>
        <w:tab/>
      </w:r>
      <w:r>
        <w:rPr>
          <w:noProof/>
        </w:rPr>
        <w:t>Summary</w:t>
      </w:r>
      <w:r>
        <w:rPr>
          <w:noProof/>
        </w:rPr>
        <w:tab/>
      </w:r>
      <w:r w:rsidR="00EB4C48">
        <w:rPr>
          <w:noProof/>
        </w:rPr>
        <w:t>75</w:t>
      </w:r>
    </w:p>
    <w:p w:rsidR="006F2D89" w:rsidRDefault="006F2D89">
      <w:pPr>
        <w:pStyle w:val="TOC1"/>
        <w:rPr>
          <w:rFonts w:asciiTheme="minorHAnsi" w:eastAsiaTheme="minorEastAsia" w:hAnsiTheme="minorHAnsi" w:cstheme="minorBidi"/>
          <w:b w:val="0"/>
          <w:noProof/>
          <w:sz w:val="22"/>
          <w:szCs w:val="22"/>
          <w:lang w:eastAsia="zh-CN"/>
        </w:rPr>
      </w:pPr>
      <w:r>
        <w:rPr>
          <w:noProof/>
        </w:rPr>
        <w:t>5</w:t>
      </w:r>
      <w:r>
        <w:rPr>
          <w:rFonts w:asciiTheme="minorHAnsi" w:eastAsiaTheme="minorEastAsia" w:hAnsiTheme="minorHAnsi" w:cstheme="minorBidi"/>
          <w:b w:val="0"/>
          <w:noProof/>
          <w:sz w:val="22"/>
          <w:szCs w:val="22"/>
          <w:lang w:eastAsia="zh-CN"/>
        </w:rPr>
        <w:tab/>
      </w:r>
      <w:r w:rsidRPr="001307D8">
        <w:rPr>
          <w:noProof/>
          <w:lang w:val="en-US"/>
        </w:rPr>
        <w:t>Following steps to complete the inventory</w:t>
      </w:r>
      <w:r>
        <w:rPr>
          <w:noProof/>
        </w:rPr>
        <w:tab/>
      </w:r>
      <w:r w:rsidR="008135ED">
        <w:rPr>
          <w:noProof/>
        </w:rPr>
        <w:fldChar w:fldCharType="begin"/>
      </w:r>
      <w:r>
        <w:rPr>
          <w:noProof/>
        </w:rPr>
        <w:instrText xml:space="preserve"> PAGEREF _Toc384815508 \h </w:instrText>
      </w:r>
      <w:r w:rsidR="008135ED">
        <w:rPr>
          <w:noProof/>
        </w:rPr>
      </w:r>
      <w:r w:rsidR="008135ED">
        <w:rPr>
          <w:noProof/>
        </w:rPr>
        <w:fldChar w:fldCharType="separate"/>
      </w:r>
      <w:r w:rsidR="008D4822">
        <w:rPr>
          <w:noProof/>
        </w:rPr>
        <w:t>7</w:t>
      </w:r>
      <w:r w:rsidR="00EB4C48">
        <w:rPr>
          <w:noProof/>
        </w:rPr>
        <w:t>7</w:t>
      </w:r>
      <w:r w:rsidR="008135ED">
        <w:rPr>
          <w:noProof/>
        </w:rPr>
        <w:fldChar w:fldCharType="end"/>
      </w:r>
    </w:p>
    <w:p w:rsidR="006F2D89" w:rsidRDefault="006F2D89">
      <w:pPr>
        <w:pStyle w:val="TOC1"/>
        <w:rPr>
          <w:rFonts w:asciiTheme="minorHAnsi" w:eastAsiaTheme="minorEastAsia" w:hAnsiTheme="minorHAnsi" w:cstheme="minorBidi"/>
          <w:b w:val="0"/>
          <w:noProof/>
          <w:sz w:val="22"/>
          <w:szCs w:val="22"/>
          <w:lang w:eastAsia="zh-CN"/>
        </w:rPr>
      </w:pPr>
      <w:r>
        <w:rPr>
          <w:noProof/>
        </w:rPr>
        <w:t>6</w:t>
      </w:r>
      <w:r>
        <w:rPr>
          <w:rFonts w:asciiTheme="minorHAnsi" w:eastAsiaTheme="minorEastAsia" w:hAnsiTheme="minorHAnsi" w:cstheme="minorBidi"/>
          <w:b w:val="0"/>
          <w:noProof/>
          <w:sz w:val="22"/>
          <w:szCs w:val="22"/>
          <w:lang w:eastAsia="zh-CN"/>
        </w:rPr>
        <w:tab/>
      </w:r>
      <w:r>
        <w:rPr>
          <w:noProof/>
        </w:rPr>
        <w:t>References</w:t>
      </w:r>
      <w:r>
        <w:rPr>
          <w:noProof/>
        </w:rPr>
        <w:tab/>
      </w:r>
      <w:r w:rsidR="00EB4C48">
        <w:rPr>
          <w:noProof/>
        </w:rPr>
        <w:t>79</w:t>
      </w:r>
    </w:p>
    <w:p w:rsidR="00465736" w:rsidRDefault="008135ED" w:rsidP="00987279">
      <w:pPr>
        <w:spacing w:line="240" w:lineRule="auto"/>
      </w:pPr>
      <w:r w:rsidRPr="006E16AF">
        <w:fldChar w:fldCharType="end"/>
      </w:r>
    </w:p>
    <w:p w:rsidR="00987279" w:rsidRPr="006F2D89" w:rsidRDefault="00987279" w:rsidP="00987279">
      <w:pPr>
        <w:pStyle w:val="AppendixTOC"/>
        <w:spacing w:before="0"/>
        <w:rPr>
          <w:lang w:val="en-GB"/>
        </w:rPr>
      </w:pPr>
      <w:bookmarkStart w:id="21" w:name="bmAppTOC"/>
      <w:bookmarkEnd w:id="21"/>
      <w:r w:rsidRPr="006F2D89">
        <w:rPr>
          <w:lang w:val="en-GB"/>
        </w:rPr>
        <w:t>Appendices</w:t>
      </w:r>
    </w:p>
    <w:p w:rsidR="006F2D89" w:rsidRDefault="008135ED">
      <w:pPr>
        <w:pStyle w:val="TOC6"/>
        <w:rPr>
          <w:rFonts w:asciiTheme="minorHAnsi" w:eastAsiaTheme="minorEastAsia" w:hAnsiTheme="minorHAnsi" w:cstheme="minorBidi"/>
          <w:b w:val="0"/>
          <w:noProof/>
          <w:sz w:val="22"/>
          <w:szCs w:val="22"/>
          <w:lang w:eastAsia="zh-CN"/>
        </w:rPr>
      </w:pPr>
      <w:r w:rsidRPr="008135ED">
        <w:rPr>
          <w:szCs w:val="22"/>
        </w:rPr>
        <w:fldChar w:fldCharType="begin"/>
      </w:r>
      <w:r w:rsidR="00987279" w:rsidRPr="006110E1">
        <w:rPr>
          <w:szCs w:val="22"/>
          <w:lang w:val="en-US"/>
        </w:rPr>
        <w:instrText xml:space="preserve"> TOC \o "6-</w:instrText>
      </w:r>
      <w:r w:rsidR="00987279">
        <w:rPr>
          <w:szCs w:val="22"/>
          <w:lang w:val="en-US"/>
        </w:rPr>
        <w:instrText>8</w:instrText>
      </w:r>
      <w:r w:rsidRPr="008135ED">
        <w:rPr>
          <w:szCs w:val="22"/>
        </w:rPr>
        <w:fldChar w:fldCharType="separate"/>
      </w:r>
      <w:r w:rsidR="006F2D89">
        <w:rPr>
          <w:noProof/>
        </w:rPr>
        <w:t>A</w:t>
      </w:r>
      <w:r w:rsidR="006F2D89">
        <w:rPr>
          <w:rFonts w:asciiTheme="minorHAnsi" w:eastAsiaTheme="minorEastAsia" w:hAnsiTheme="minorHAnsi" w:cstheme="minorBidi"/>
          <w:b w:val="0"/>
          <w:noProof/>
          <w:sz w:val="22"/>
          <w:szCs w:val="22"/>
          <w:lang w:eastAsia="zh-CN"/>
        </w:rPr>
        <w:tab/>
      </w:r>
      <w:r w:rsidR="006F2D89">
        <w:rPr>
          <w:noProof/>
        </w:rPr>
        <w:t xml:space="preserve">Inventory of RSCs </w:t>
      </w:r>
      <w:r w:rsidR="008254DE">
        <w:rPr>
          <w:noProof/>
        </w:rPr>
        <w:t xml:space="preserve">data streams on eutrophication </w:t>
      </w:r>
      <w:r w:rsidR="006F2D89">
        <w:rPr>
          <w:noProof/>
        </w:rPr>
        <w:tab/>
      </w:r>
      <w:r>
        <w:rPr>
          <w:noProof/>
        </w:rPr>
        <w:fldChar w:fldCharType="begin"/>
      </w:r>
      <w:r w:rsidR="006F2D89">
        <w:rPr>
          <w:noProof/>
        </w:rPr>
        <w:instrText xml:space="preserve"> PAGEREF _Toc384815510 \h </w:instrText>
      </w:r>
      <w:r>
        <w:rPr>
          <w:noProof/>
        </w:rPr>
      </w:r>
      <w:r>
        <w:rPr>
          <w:noProof/>
        </w:rPr>
        <w:fldChar w:fldCharType="separate"/>
      </w:r>
      <w:r w:rsidR="003461A2">
        <w:rPr>
          <w:noProof/>
        </w:rPr>
        <w:t>A-1</w:t>
      </w:r>
      <w:r>
        <w:rPr>
          <w:noProof/>
        </w:rPr>
        <w:fldChar w:fldCharType="end"/>
      </w:r>
    </w:p>
    <w:p w:rsidR="008254DE" w:rsidRDefault="008135ED" w:rsidP="008254DE">
      <w:pPr>
        <w:pStyle w:val="TOC6"/>
        <w:rPr>
          <w:rFonts w:asciiTheme="minorHAnsi" w:eastAsiaTheme="minorEastAsia" w:hAnsiTheme="minorHAnsi" w:cstheme="minorBidi"/>
          <w:b w:val="0"/>
          <w:noProof/>
          <w:sz w:val="22"/>
          <w:szCs w:val="22"/>
          <w:lang w:eastAsia="zh-CN"/>
        </w:rPr>
      </w:pPr>
      <w:r>
        <w:fldChar w:fldCharType="end"/>
      </w:r>
      <w:r w:rsidR="008254DE">
        <w:rPr>
          <w:noProof/>
        </w:rPr>
        <w:t>B</w:t>
      </w:r>
      <w:r w:rsidR="008254DE">
        <w:rPr>
          <w:rFonts w:asciiTheme="minorHAnsi" w:eastAsiaTheme="minorEastAsia" w:hAnsiTheme="minorHAnsi" w:cstheme="minorBidi"/>
          <w:b w:val="0"/>
          <w:noProof/>
          <w:sz w:val="22"/>
          <w:szCs w:val="22"/>
          <w:lang w:eastAsia="zh-CN"/>
        </w:rPr>
        <w:tab/>
      </w:r>
      <w:r w:rsidR="008254DE">
        <w:rPr>
          <w:noProof/>
        </w:rPr>
        <w:t>Inventory of RSCs data streams on hazardous substances</w:t>
      </w:r>
      <w:r w:rsidR="008254DE">
        <w:rPr>
          <w:noProof/>
        </w:rPr>
        <w:tab/>
        <w:t>A-2</w:t>
      </w:r>
    </w:p>
    <w:p w:rsidR="00987279" w:rsidRDefault="00987279" w:rsidP="00987279">
      <w:pPr>
        <w:spacing w:line="240" w:lineRule="auto"/>
      </w:pPr>
    </w:p>
    <w:p w:rsidR="00987279" w:rsidRPr="006E16AF" w:rsidRDefault="00987279" w:rsidP="00987279">
      <w:pPr>
        <w:spacing w:line="240" w:lineRule="auto"/>
      </w:pPr>
    </w:p>
    <w:p w:rsidR="00880F74" w:rsidRDefault="00880F74" w:rsidP="00987279">
      <w:pPr>
        <w:spacing w:line="240" w:lineRule="auto"/>
      </w:pPr>
    </w:p>
    <w:p w:rsidR="004C33FD" w:rsidRDefault="004C33FD" w:rsidP="00987279">
      <w:pPr>
        <w:spacing w:line="240" w:lineRule="auto"/>
      </w:pPr>
    </w:p>
    <w:p w:rsidR="007D6712" w:rsidRDefault="007D6712" w:rsidP="00987279">
      <w:pPr>
        <w:spacing w:line="240" w:lineRule="auto"/>
        <w:sectPr w:rsidR="007D6712" w:rsidSect="005C1993">
          <w:headerReference w:type="even" r:id="rId18"/>
          <w:headerReference w:type="default" r:id="rId19"/>
          <w:footerReference w:type="even" r:id="rId20"/>
          <w:footerReference w:type="default" r:id="rId21"/>
          <w:type w:val="oddPage"/>
          <w:pgSz w:w="11906" w:h="16838" w:code="9"/>
          <w:pgMar w:top="2552" w:right="1094" w:bottom="1077" w:left="2098" w:header="822" w:footer="198" w:gutter="0"/>
          <w:paperSrc w:first="1" w:other="1"/>
          <w:pgNumType w:fmt="lowerRoman" w:start="1"/>
          <w:cols w:space="708"/>
          <w:docGrid w:linePitch="360"/>
        </w:sectPr>
      </w:pPr>
    </w:p>
    <w:p w:rsidR="00465736" w:rsidRDefault="000C47B4" w:rsidP="00987279">
      <w:pPr>
        <w:pStyle w:val="Heading1"/>
        <w:keepLines w:val="0"/>
        <w:spacing w:before="0" w:after="0"/>
      </w:pPr>
      <w:bookmarkStart w:id="29" w:name="bmChap1"/>
      <w:bookmarkStart w:id="30" w:name="_Toc384815494"/>
      <w:bookmarkEnd w:id="29"/>
      <w:r>
        <w:lastRenderedPageBreak/>
        <w:t>Introduction</w:t>
      </w:r>
      <w:bookmarkEnd w:id="30"/>
    </w:p>
    <w:p w:rsidR="006F2D89" w:rsidRPr="006F2D89" w:rsidRDefault="006F2D89" w:rsidP="006F2D89"/>
    <w:p w:rsidR="00465736" w:rsidRDefault="000C47B4" w:rsidP="00987279">
      <w:pPr>
        <w:pStyle w:val="Heading2"/>
        <w:spacing w:before="0" w:line="240" w:lineRule="auto"/>
      </w:pPr>
      <w:bookmarkStart w:id="31" w:name="_Toc384815495"/>
      <w:r>
        <w:t>Background</w:t>
      </w:r>
      <w:bookmarkEnd w:id="31"/>
    </w:p>
    <w:p w:rsidR="000C47B4" w:rsidRDefault="000C47B4" w:rsidP="00987279">
      <w:pPr>
        <w:spacing w:line="240" w:lineRule="auto"/>
        <w:rPr>
          <w:lang w:val="en-US"/>
        </w:rPr>
      </w:pPr>
      <w:r w:rsidRPr="000C47B4">
        <w:rPr>
          <w:lang w:val="en-US"/>
        </w:rPr>
        <w:t>The Marine Strategy Framework Directive (MSFD, 2008/56/EC) “establishes a framework within which Member States shall take the necessary measures to achieve or maintain good environmental status in the marine environment by 2020 at the latest</w:t>
      </w:r>
      <w:r w:rsidR="00580600" w:rsidRPr="000C47B4">
        <w:rPr>
          <w:lang w:val="en-US"/>
        </w:rPr>
        <w:t>” [</w:t>
      </w:r>
      <w:r w:rsidRPr="000C47B4">
        <w:rPr>
          <w:lang w:val="en-US"/>
        </w:rPr>
        <w:t>Art1(1)]. For that purpose the Member States have to develop Marine Strategies which apply an ecosystem-</w:t>
      </w:r>
      <w:bookmarkStart w:id="32" w:name="_GoBack"/>
      <w:bookmarkEnd w:id="32"/>
      <w:r w:rsidRPr="000C47B4">
        <w:rPr>
          <w:lang w:val="en-US"/>
        </w:rPr>
        <w:t>based approach to the management of human activities. In addition, the MSFD is to “contribute to coherence between, and aim to ensure the integration of environmental concerns into, the different policies, agreements and legislative measures which have an impact on the marine environment” [</w:t>
      </w:r>
      <w:r w:rsidR="00580600" w:rsidRPr="000C47B4">
        <w:rPr>
          <w:lang w:val="en-US"/>
        </w:rPr>
        <w:t>Art1 (</w:t>
      </w:r>
      <w:r w:rsidRPr="000C47B4">
        <w:rPr>
          <w:lang w:val="en-US"/>
        </w:rPr>
        <w:t>4)]. Such policies would include Community legislation and International Conventions.</w:t>
      </w:r>
    </w:p>
    <w:p w:rsidR="000C47B4" w:rsidRPr="000C47B4" w:rsidRDefault="000C47B4" w:rsidP="00987279">
      <w:pPr>
        <w:spacing w:line="240" w:lineRule="auto"/>
        <w:rPr>
          <w:lang w:val="en-US"/>
        </w:rPr>
      </w:pPr>
    </w:p>
    <w:p w:rsidR="000C47B4" w:rsidRDefault="000C47B4" w:rsidP="00987279">
      <w:pPr>
        <w:spacing w:line="240" w:lineRule="auto"/>
        <w:rPr>
          <w:lang w:val="en-US"/>
        </w:rPr>
      </w:pPr>
      <w:r w:rsidRPr="000C47B4">
        <w:rPr>
          <w:lang w:val="en-US"/>
        </w:rPr>
        <w:t>The MSFD places a range of requirements on Member States, through the preparation of marine strategies, to assess the state of the marine environment, its pressures, environmental impacts and uses, and to establish monitoring programmes, environmental targets and measures in order to achieve good environmental status (GES). The directive requires Member States to cooperate within and across Europe's regional seas, including via the Regional Sea Conventions (RSC), in order to achieve the objectives of the directive in a consistent and coordinated manner.</w:t>
      </w:r>
    </w:p>
    <w:p w:rsidR="000C47B4" w:rsidRPr="000C47B4" w:rsidRDefault="000C47B4" w:rsidP="00987279">
      <w:pPr>
        <w:spacing w:line="240" w:lineRule="auto"/>
        <w:rPr>
          <w:lang w:val="en-US"/>
        </w:rPr>
      </w:pPr>
    </w:p>
    <w:p w:rsidR="000C47B4" w:rsidRPr="00CC657B" w:rsidRDefault="000C47B4" w:rsidP="00987279">
      <w:pPr>
        <w:spacing w:line="240" w:lineRule="auto"/>
        <w:rPr>
          <w:lang w:val="en-US"/>
        </w:rPr>
      </w:pPr>
      <w:r w:rsidRPr="000C47B4">
        <w:rPr>
          <w:lang w:val="en-US"/>
        </w:rPr>
        <w:t>The need to integrate information systems across policies in order to support policy implementation has been outlined at the 9th meeting of WG DIKE in the document “Integration and streamlining of marine reporting and data” (DIKE_9-2014-05). The document points out that in order to fully benefit from the reported information across all relevant policies and to ensure its preparation, reporting and access are as efficient as possible, it is necessary to more systematically review current reporting processes.</w:t>
      </w:r>
      <w:r w:rsidR="00C93C6D" w:rsidRPr="000C47B4" w:rsidDel="00C93C6D">
        <w:rPr>
          <w:lang w:val="en-US"/>
        </w:rPr>
        <w:t xml:space="preserve"> </w:t>
      </w:r>
      <w:r w:rsidRPr="000C47B4">
        <w:rPr>
          <w:lang w:val="en-US"/>
        </w:rPr>
        <w:t xml:space="preserve"> </w:t>
      </w:r>
    </w:p>
    <w:p w:rsidR="000C47B4" w:rsidRPr="000C47B4" w:rsidRDefault="000C47B4" w:rsidP="00987279">
      <w:pPr>
        <w:spacing w:line="240" w:lineRule="auto"/>
        <w:rPr>
          <w:lang w:val="en-US"/>
        </w:rPr>
      </w:pPr>
    </w:p>
    <w:p w:rsidR="000C47B4" w:rsidRDefault="000C47B4" w:rsidP="00987279">
      <w:pPr>
        <w:spacing w:line="240" w:lineRule="auto"/>
        <w:rPr>
          <w:lang w:val="en-US"/>
        </w:rPr>
      </w:pPr>
      <w:r w:rsidRPr="000C47B4">
        <w:rPr>
          <w:lang w:val="en-US"/>
        </w:rPr>
        <w:t>A review of the links between MSFD reporting requirements and reporting under other EU Directives and international agreements such as the Regional Sea Conventions (RSCs) has been undertaken by MRAG, UNEP-WCMC, URS (2013). This review focused on reporting requirements but whether or not Member States (MS) or Contracting parties (CP) are fulfilling their obligations was not investigated. As regards RSCs, the review did not include some aspects relevant to the MSFD reporting framework, such as objectives, assessments and targets that are undertaken collectively by each Convention rather than by each MS (as Contracting Party) as a reporting requirement.</w:t>
      </w:r>
    </w:p>
    <w:p w:rsidR="000C47B4" w:rsidRPr="000C47B4" w:rsidRDefault="000C47B4" w:rsidP="00987279">
      <w:pPr>
        <w:spacing w:line="240" w:lineRule="auto"/>
        <w:rPr>
          <w:lang w:val="en-US"/>
        </w:rPr>
      </w:pPr>
    </w:p>
    <w:p w:rsidR="000C47B4" w:rsidRDefault="000C47B4" w:rsidP="00987279">
      <w:pPr>
        <w:spacing w:line="240" w:lineRule="auto"/>
        <w:rPr>
          <w:lang w:val="en-US"/>
        </w:rPr>
      </w:pPr>
      <w:r w:rsidRPr="000C47B4">
        <w:rPr>
          <w:lang w:val="en-US"/>
        </w:rPr>
        <w:t>The Service Contract “Development of a shared data and information system between the EU and the Regional Sea Conventions” is examining the data and information holdings within each of the four Regional Sea Conventions</w:t>
      </w:r>
      <w:r w:rsidR="00F15E0D">
        <w:rPr>
          <w:lang w:val="en-US"/>
        </w:rPr>
        <w:t xml:space="preserve"> as well as the EEA, with the aim of characterizing the present information flow processes in place across Europe</w:t>
      </w:r>
      <w:r w:rsidRPr="000C47B4">
        <w:rPr>
          <w:lang w:val="en-US"/>
        </w:rPr>
        <w:t>,</w:t>
      </w:r>
      <w:r w:rsidR="00B04FA5">
        <w:rPr>
          <w:lang w:val="en-US"/>
        </w:rPr>
        <w:t xml:space="preserve"> in the light of their ability to support the MSFD and WFD objectives.</w:t>
      </w:r>
      <w:r w:rsidRPr="000C47B4">
        <w:rPr>
          <w:lang w:val="en-US"/>
        </w:rPr>
        <w:t xml:space="preserve">  </w:t>
      </w:r>
      <w:r w:rsidR="00B04FA5">
        <w:rPr>
          <w:lang w:val="en-US"/>
        </w:rPr>
        <w:t>Hence the work includes</w:t>
      </w:r>
      <w:r w:rsidRPr="000C47B4">
        <w:rPr>
          <w:lang w:val="en-US"/>
        </w:rPr>
        <w:t xml:space="preserve"> information developed by each Convention</w:t>
      </w:r>
      <w:r w:rsidR="00B04FA5">
        <w:rPr>
          <w:lang w:val="en-US"/>
        </w:rPr>
        <w:t xml:space="preserve"> and EEA</w:t>
      </w:r>
      <w:r w:rsidRPr="000C47B4">
        <w:rPr>
          <w:lang w:val="en-US"/>
        </w:rPr>
        <w:t xml:space="preserve">, with a view to identifying those data and information </w:t>
      </w:r>
      <w:r w:rsidR="00F15E0D">
        <w:rPr>
          <w:lang w:val="en-US"/>
        </w:rPr>
        <w:t xml:space="preserve">streams </w:t>
      </w:r>
      <w:r w:rsidRPr="000C47B4">
        <w:rPr>
          <w:lang w:val="en-US"/>
        </w:rPr>
        <w:t>of most relevance to both regional and MSFD needs (e.g. contributing to common indicator assessments).</w:t>
      </w:r>
    </w:p>
    <w:p w:rsidR="000C47B4" w:rsidRPr="000C47B4" w:rsidRDefault="000C47B4" w:rsidP="00987279">
      <w:pPr>
        <w:spacing w:line="240" w:lineRule="auto"/>
        <w:rPr>
          <w:lang w:val="en-US"/>
        </w:rPr>
      </w:pPr>
    </w:p>
    <w:p w:rsidR="000C47B4" w:rsidRPr="000C47B4" w:rsidRDefault="000C47B4" w:rsidP="00987279">
      <w:pPr>
        <w:spacing w:line="240" w:lineRule="auto"/>
        <w:rPr>
          <w:lang w:val="en-US"/>
        </w:rPr>
      </w:pPr>
      <w:r w:rsidRPr="000C47B4">
        <w:rPr>
          <w:lang w:val="en-US"/>
        </w:rPr>
        <w:t>The four Regional Sea Conventions which cover EU marine regions or sub-regions are:</w:t>
      </w:r>
    </w:p>
    <w:p w:rsidR="000C47B4" w:rsidRPr="000C47B4" w:rsidRDefault="000C47B4" w:rsidP="00987279">
      <w:pPr>
        <w:pStyle w:val="ListParagraph"/>
        <w:numPr>
          <w:ilvl w:val="0"/>
          <w:numId w:val="21"/>
        </w:numPr>
        <w:spacing w:line="240" w:lineRule="auto"/>
        <w:rPr>
          <w:lang w:val="en-US"/>
        </w:rPr>
      </w:pPr>
      <w:r w:rsidRPr="000C47B4">
        <w:rPr>
          <w:lang w:val="en-US"/>
        </w:rPr>
        <w:t>The Convention for the Protection of the Marine Environment in the North-East Atlantic of 1992 (further to earlier versions of 1972 and 1974) – the OSPAR Convention (OSPAR);</w:t>
      </w:r>
    </w:p>
    <w:p w:rsidR="000C47B4" w:rsidRDefault="000C47B4" w:rsidP="00987279">
      <w:pPr>
        <w:pStyle w:val="ListParagraph"/>
        <w:numPr>
          <w:ilvl w:val="0"/>
          <w:numId w:val="21"/>
        </w:numPr>
        <w:spacing w:line="240" w:lineRule="auto"/>
        <w:rPr>
          <w:lang w:val="en-US"/>
        </w:rPr>
      </w:pPr>
      <w:r w:rsidRPr="000C47B4">
        <w:rPr>
          <w:lang w:val="en-US"/>
        </w:rPr>
        <w:t>The Convention on the Protection of the Marine Environment in the Baltic Sea Area of 1992 (further to the earlier version of 1974) – the Helsinki Convention (HELCOM);</w:t>
      </w:r>
    </w:p>
    <w:p w:rsidR="000C47B4" w:rsidRDefault="000C47B4" w:rsidP="00987279">
      <w:pPr>
        <w:pStyle w:val="ListParagraph"/>
        <w:numPr>
          <w:ilvl w:val="0"/>
          <w:numId w:val="21"/>
        </w:numPr>
        <w:spacing w:line="240" w:lineRule="auto"/>
        <w:rPr>
          <w:lang w:val="en-US"/>
        </w:rPr>
      </w:pPr>
      <w:r w:rsidRPr="000C47B4">
        <w:rPr>
          <w:lang w:val="en-US"/>
        </w:rPr>
        <w:lastRenderedPageBreak/>
        <w:t>The Convention for the Protection of Marine Environment and the Coastal Region of the Mediterranean of 1995 (further to the earlier version of 1976) – the Barcelona Convention, implemented by UNEP/MAP;</w:t>
      </w:r>
    </w:p>
    <w:p w:rsidR="000C47B4" w:rsidRDefault="000C47B4" w:rsidP="00987279">
      <w:pPr>
        <w:pStyle w:val="ListParagraph"/>
        <w:numPr>
          <w:ilvl w:val="0"/>
          <w:numId w:val="21"/>
        </w:numPr>
        <w:spacing w:line="240" w:lineRule="auto"/>
        <w:rPr>
          <w:lang w:val="en-US"/>
        </w:rPr>
      </w:pPr>
      <w:r w:rsidRPr="000C47B4">
        <w:rPr>
          <w:lang w:val="en-US"/>
        </w:rPr>
        <w:t>The Convention for the Protection of the Black Sea of 1992 – the Bucharest Convention, implemented by the Black Sea Commission (BSC).</w:t>
      </w:r>
    </w:p>
    <w:p w:rsidR="00B04FA5" w:rsidRDefault="00B04FA5" w:rsidP="00987279">
      <w:pPr>
        <w:pStyle w:val="ListParagraph"/>
        <w:numPr>
          <w:ilvl w:val="0"/>
          <w:numId w:val="21"/>
        </w:numPr>
        <w:spacing w:line="240" w:lineRule="auto"/>
        <w:rPr>
          <w:lang w:val="en-US"/>
        </w:rPr>
      </w:pPr>
      <w:r>
        <w:rPr>
          <w:lang w:val="en-US"/>
        </w:rPr>
        <w:t>Together with the Eionet, EEA manages and updates the WISE-SoE data flows and has developed three pan European indicators: CSI 021 (nutrients), CSI 023 (chl-a) and MAR 001 (Hazardous substances in biota</w:t>
      </w:r>
      <w:r w:rsidR="00C93C6D">
        <w:rPr>
          <w:lang w:val="en-US"/>
        </w:rPr>
        <w:t>)</w:t>
      </w:r>
      <w:r>
        <w:rPr>
          <w:lang w:val="en-US"/>
        </w:rPr>
        <w:t xml:space="preserve"> which are regularly updated. </w:t>
      </w:r>
    </w:p>
    <w:p w:rsidR="006F2D89" w:rsidRPr="000C47B4" w:rsidRDefault="006F2D89" w:rsidP="006F2D89">
      <w:pPr>
        <w:pStyle w:val="ListParagraph"/>
        <w:spacing w:line="240" w:lineRule="auto"/>
        <w:rPr>
          <w:lang w:val="en-US"/>
        </w:rPr>
      </w:pPr>
    </w:p>
    <w:p w:rsidR="00FB3C01" w:rsidRDefault="000C47B4" w:rsidP="00987279">
      <w:pPr>
        <w:pStyle w:val="Heading2"/>
        <w:spacing w:before="0" w:line="240" w:lineRule="auto"/>
      </w:pPr>
      <w:bookmarkStart w:id="33" w:name="_Toc384815496"/>
      <w:r>
        <w:t>Objectives</w:t>
      </w:r>
      <w:bookmarkEnd w:id="33"/>
    </w:p>
    <w:p w:rsidR="000C47B4" w:rsidRDefault="000C47B4" w:rsidP="00987279">
      <w:pPr>
        <w:spacing w:line="240" w:lineRule="auto"/>
        <w:rPr>
          <w:lang w:val="en-US"/>
        </w:rPr>
      </w:pPr>
      <w:r w:rsidRPr="000C47B4">
        <w:rPr>
          <w:lang w:val="en-US"/>
        </w:rPr>
        <w:t>This report is part of Deliverable 2 ‘Review and analysis of RSC information systems’ of the Service Contract ‘Development of a shared data and information system between the EU and the Regional Sea Conventions‘ The objectives mentioned in the Service Request with respect to Deliverable 2 are:</w:t>
      </w:r>
    </w:p>
    <w:p w:rsidR="000C47B4" w:rsidRPr="000C47B4" w:rsidRDefault="000C47B4" w:rsidP="00987279">
      <w:pPr>
        <w:spacing w:line="240" w:lineRule="auto"/>
        <w:rPr>
          <w:lang w:val="en-US"/>
        </w:rPr>
      </w:pPr>
    </w:p>
    <w:p w:rsidR="000C47B4" w:rsidRPr="000C47B4" w:rsidRDefault="000C47B4" w:rsidP="00987279">
      <w:pPr>
        <w:spacing w:line="240" w:lineRule="auto"/>
        <w:rPr>
          <w:lang w:val="en-US"/>
        </w:rPr>
      </w:pPr>
      <w:r w:rsidRPr="000C47B4">
        <w:rPr>
          <w:lang w:val="en-US"/>
        </w:rPr>
        <w:t>a. Review the existing and anticipated data and information flows from MSs (as Contracting Parties) to RSCs (or developed directly by/within the RSCs) and assess their potential to contribute to MSFD implementation needs;</w:t>
      </w:r>
    </w:p>
    <w:p w:rsidR="000C47B4" w:rsidRDefault="000C47B4" w:rsidP="00987279">
      <w:pPr>
        <w:spacing w:line="240" w:lineRule="auto"/>
        <w:rPr>
          <w:lang w:val="en-US"/>
        </w:rPr>
      </w:pPr>
    </w:p>
    <w:p w:rsidR="000C47B4" w:rsidRDefault="000C47B4" w:rsidP="00987279">
      <w:pPr>
        <w:spacing w:line="240" w:lineRule="auto"/>
        <w:rPr>
          <w:lang w:val="en-US"/>
        </w:rPr>
      </w:pPr>
      <w:r w:rsidRPr="000C47B4">
        <w:rPr>
          <w:lang w:val="en-US"/>
        </w:rPr>
        <w:t>b. Review the processes and systems for acquiring, managing and making available these data and information and identify where these could be improved, including how these data and information flows could be streamlined and harmonised between the MSs, the RSCs and the EU/EEA in the context of MSFD and other relevant marine policies;</w:t>
      </w:r>
    </w:p>
    <w:p w:rsidR="000C47B4" w:rsidRPr="000C47B4" w:rsidRDefault="000C47B4" w:rsidP="00987279">
      <w:pPr>
        <w:spacing w:line="240" w:lineRule="auto"/>
        <w:rPr>
          <w:lang w:val="en-US"/>
        </w:rPr>
      </w:pPr>
    </w:p>
    <w:p w:rsidR="000C47B4" w:rsidRPr="000C47B4" w:rsidRDefault="000C47B4" w:rsidP="00CE5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r w:rsidRPr="000C47B4">
        <w:rPr>
          <w:lang w:val="en-US"/>
        </w:rPr>
        <w:t>This report presents a review of the data and information holdings within each of the four RSCs, as well as the respective flow processes and management systems for the topics eutrophi</w:t>
      </w:r>
      <w:r w:rsidR="00CE50D7">
        <w:rPr>
          <w:lang w:val="en-US"/>
        </w:rPr>
        <w:t xml:space="preserve">cation and hazardous substances with the view to </w:t>
      </w:r>
      <w:r w:rsidR="0030508C">
        <w:rPr>
          <w:lang w:val="en-US"/>
        </w:rPr>
        <w:t>clarify</w:t>
      </w:r>
      <w:r w:rsidR="00CE50D7">
        <w:rPr>
          <w:lang w:val="en-US"/>
        </w:rPr>
        <w:t xml:space="preserve"> </w:t>
      </w:r>
      <w:r w:rsidR="00CE50D7" w:rsidRPr="00C97373">
        <w:rPr>
          <w:lang w:val="en-US"/>
        </w:rPr>
        <w:t>to what extent RSC activities can support EU policies; in particular the</w:t>
      </w:r>
      <w:r w:rsidR="00CE50D7">
        <w:rPr>
          <w:lang w:val="en-US"/>
        </w:rPr>
        <w:t xml:space="preserve"> </w:t>
      </w:r>
      <w:r w:rsidR="00CE50D7" w:rsidRPr="00C97373">
        <w:rPr>
          <w:lang w:val="en-US"/>
        </w:rPr>
        <w:t>MSFD and the WFD</w:t>
      </w:r>
      <w:r w:rsidR="00CE50D7">
        <w:rPr>
          <w:lang w:val="en-US"/>
        </w:rPr>
        <w:t xml:space="preserve">. </w:t>
      </w:r>
      <w:r w:rsidRPr="000C47B4">
        <w:rPr>
          <w:lang w:val="en-US"/>
        </w:rPr>
        <w:t>The review addresses the following aspects:</w:t>
      </w:r>
    </w:p>
    <w:p w:rsidR="000C47B4" w:rsidRDefault="000C47B4" w:rsidP="00987279">
      <w:pPr>
        <w:pStyle w:val="ListParagraph"/>
        <w:numPr>
          <w:ilvl w:val="0"/>
          <w:numId w:val="22"/>
        </w:numPr>
        <w:spacing w:line="240" w:lineRule="auto"/>
        <w:rPr>
          <w:lang w:val="en-US"/>
        </w:rPr>
      </w:pPr>
      <w:r w:rsidRPr="000C47B4">
        <w:rPr>
          <w:lang w:val="en-US"/>
        </w:rPr>
        <w:t>Content including data, data products, status assessments etc with focus on indicators</w:t>
      </w:r>
      <w:r>
        <w:rPr>
          <w:lang w:val="en-US"/>
        </w:rPr>
        <w:t>.</w:t>
      </w:r>
    </w:p>
    <w:p w:rsidR="000C47B4" w:rsidRDefault="000C47B4" w:rsidP="00987279">
      <w:pPr>
        <w:pStyle w:val="ListParagraph"/>
        <w:numPr>
          <w:ilvl w:val="0"/>
          <w:numId w:val="22"/>
        </w:numPr>
        <w:spacing w:line="240" w:lineRule="auto"/>
        <w:rPr>
          <w:lang w:val="en-US"/>
        </w:rPr>
      </w:pPr>
      <w:r w:rsidRPr="000C47B4">
        <w:rPr>
          <w:lang w:val="en-US"/>
        </w:rPr>
        <w:t>Processes. Who provides the data and how is information flowing and managed</w:t>
      </w:r>
      <w:r>
        <w:rPr>
          <w:lang w:val="en-US"/>
        </w:rPr>
        <w:t>.</w:t>
      </w:r>
    </w:p>
    <w:p w:rsidR="006F2D89" w:rsidRDefault="006F2D89" w:rsidP="006F2D89">
      <w:pPr>
        <w:spacing w:line="240" w:lineRule="auto"/>
        <w:rPr>
          <w:lang w:val="en-US"/>
        </w:rPr>
      </w:pPr>
    </w:p>
    <w:p w:rsidR="00CE50D7" w:rsidRDefault="00CE50D7" w:rsidP="006F2D89">
      <w:pPr>
        <w:spacing w:line="240" w:lineRule="auto"/>
        <w:rPr>
          <w:lang w:val="en-US"/>
        </w:rPr>
      </w:pPr>
    </w:p>
    <w:p w:rsidR="00CE50D7" w:rsidRPr="006F2D89" w:rsidRDefault="00CE50D7" w:rsidP="006F2D89">
      <w:pPr>
        <w:spacing w:line="240" w:lineRule="auto"/>
        <w:rPr>
          <w:lang w:val="en-US"/>
        </w:rPr>
      </w:pPr>
    </w:p>
    <w:p w:rsidR="000C47B4" w:rsidRPr="000C47B4" w:rsidRDefault="000C47B4" w:rsidP="00987279">
      <w:pPr>
        <w:pStyle w:val="Heading2"/>
        <w:spacing w:before="0" w:line="240" w:lineRule="auto"/>
        <w:rPr>
          <w:lang w:val="en-US"/>
        </w:rPr>
      </w:pPr>
      <w:bookmarkStart w:id="34" w:name="_Toc384815497"/>
      <w:r w:rsidRPr="000C47B4">
        <w:rPr>
          <w:lang w:val="en-US"/>
        </w:rPr>
        <w:t>Methods</w:t>
      </w:r>
      <w:bookmarkEnd w:id="34"/>
    </w:p>
    <w:p w:rsidR="00A60C9C" w:rsidRDefault="000C47B4" w:rsidP="00987279">
      <w:pPr>
        <w:spacing w:line="240" w:lineRule="auto"/>
        <w:rPr>
          <w:lang w:val="en-US"/>
        </w:rPr>
      </w:pPr>
      <w:r w:rsidRPr="000C47B4">
        <w:rPr>
          <w:lang w:val="en-US"/>
        </w:rPr>
        <w:t xml:space="preserve">Information was collected from the web sites of the RSCs and direct communication to the RSCs Secretariats. Meetings with the RSCs were held: Deltares and </w:t>
      </w:r>
      <w:r w:rsidR="00C512FB" w:rsidRPr="000C47B4">
        <w:rPr>
          <w:lang w:val="en-US"/>
        </w:rPr>
        <w:t>A</w:t>
      </w:r>
      <w:r w:rsidR="00C512FB">
        <w:rPr>
          <w:lang w:val="en-US"/>
        </w:rPr>
        <w:t>ZTI</w:t>
      </w:r>
      <w:r w:rsidR="00C512FB" w:rsidRPr="000C47B4">
        <w:rPr>
          <w:lang w:val="en-US"/>
        </w:rPr>
        <w:t xml:space="preserve"> </w:t>
      </w:r>
      <w:r w:rsidRPr="000C47B4">
        <w:rPr>
          <w:lang w:val="en-US"/>
        </w:rPr>
        <w:t>met with OSPAR on Feb 5-6; SYKE and Deltares met with HELCOM on March 4</w:t>
      </w:r>
      <w:r w:rsidR="00234AE5">
        <w:rPr>
          <w:lang w:val="en-US"/>
        </w:rPr>
        <w:t>;</w:t>
      </w:r>
      <w:r w:rsidRPr="000C47B4">
        <w:rPr>
          <w:lang w:val="en-US"/>
        </w:rPr>
        <w:t xml:space="preserve"> HCMR </w:t>
      </w:r>
      <w:r w:rsidR="00C512FB">
        <w:rPr>
          <w:lang w:val="en-US"/>
        </w:rPr>
        <w:t xml:space="preserve">held brief </w:t>
      </w:r>
      <w:r w:rsidRPr="000C47B4">
        <w:rPr>
          <w:lang w:val="en-US"/>
        </w:rPr>
        <w:t>me</w:t>
      </w:r>
      <w:r w:rsidR="00C512FB">
        <w:rPr>
          <w:lang w:val="en-US"/>
        </w:rPr>
        <w:t>e</w:t>
      </w:r>
      <w:r w:rsidRPr="000C47B4">
        <w:rPr>
          <w:lang w:val="en-US"/>
        </w:rPr>
        <w:t>t</w:t>
      </w:r>
      <w:r w:rsidR="00C512FB">
        <w:rPr>
          <w:lang w:val="en-US"/>
        </w:rPr>
        <w:t>ings</w:t>
      </w:r>
      <w:r w:rsidRPr="000C47B4">
        <w:rPr>
          <w:lang w:val="en-US"/>
        </w:rPr>
        <w:t xml:space="preserve"> with UNEP/MAP </w:t>
      </w:r>
      <w:r w:rsidR="00C512FB">
        <w:rPr>
          <w:lang w:val="en-US"/>
        </w:rPr>
        <w:t xml:space="preserve">and BSC </w:t>
      </w:r>
      <w:r w:rsidRPr="000C47B4">
        <w:rPr>
          <w:lang w:val="en-US"/>
        </w:rPr>
        <w:t>on January 2</w:t>
      </w:r>
      <w:r w:rsidR="00547675">
        <w:rPr>
          <w:lang w:val="en-US"/>
        </w:rPr>
        <w:t>8</w:t>
      </w:r>
      <w:r w:rsidR="00234AE5">
        <w:rPr>
          <w:lang w:val="en-US"/>
        </w:rPr>
        <w:t xml:space="preserve"> followed by email communications</w:t>
      </w:r>
      <w:r w:rsidR="00A60C9C">
        <w:rPr>
          <w:lang w:val="en-US"/>
        </w:rPr>
        <w:t>.</w:t>
      </w:r>
    </w:p>
    <w:p w:rsidR="000C47B4" w:rsidRPr="000C47B4" w:rsidRDefault="000C47B4" w:rsidP="00987279">
      <w:pPr>
        <w:spacing w:line="240" w:lineRule="auto"/>
        <w:rPr>
          <w:lang w:val="en-US"/>
        </w:rPr>
      </w:pPr>
      <w:r w:rsidRPr="000C47B4">
        <w:rPr>
          <w:lang w:val="en-US"/>
        </w:rPr>
        <w:t>Two inventories were conducted:</w:t>
      </w:r>
    </w:p>
    <w:p w:rsidR="000C47B4" w:rsidRDefault="000C47B4" w:rsidP="00987279">
      <w:pPr>
        <w:pStyle w:val="ListParagraph"/>
        <w:numPr>
          <w:ilvl w:val="0"/>
          <w:numId w:val="23"/>
        </w:numPr>
        <w:spacing w:line="240" w:lineRule="auto"/>
        <w:rPr>
          <w:lang w:val="en-US"/>
        </w:rPr>
      </w:pPr>
      <w:r w:rsidRPr="000C47B4">
        <w:rPr>
          <w:lang w:val="en-US"/>
        </w:rPr>
        <w:t xml:space="preserve">one on data, data products, status assessments, targets, measures etc and </w:t>
      </w:r>
    </w:p>
    <w:p w:rsidR="000C47B4" w:rsidRPr="000C47B4" w:rsidRDefault="000C47B4" w:rsidP="00987279">
      <w:pPr>
        <w:pStyle w:val="ListParagraph"/>
        <w:numPr>
          <w:ilvl w:val="0"/>
          <w:numId w:val="23"/>
        </w:numPr>
        <w:spacing w:line="240" w:lineRule="auto"/>
        <w:rPr>
          <w:lang w:val="en-US"/>
        </w:rPr>
      </w:pPr>
      <w:r w:rsidRPr="000C47B4">
        <w:rPr>
          <w:lang w:val="en-US"/>
        </w:rPr>
        <w:t>one on data flows within the Regions relevant to eutrophication and hazardous substances.</w:t>
      </w:r>
    </w:p>
    <w:p w:rsidR="000C47B4" w:rsidRPr="00D40B9B" w:rsidRDefault="000C47B4" w:rsidP="00987279">
      <w:pPr>
        <w:spacing w:line="240" w:lineRule="auto"/>
        <w:rPr>
          <w:lang w:val="en-US"/>
        </w:rPr>
      </w:pPr>
      <w:r w:rsidRPr="000C47B4">
        <w:rPr>
          <w:lang w:val="en-US"/>
        </w:rPr>
        <w:t xml:space="preserve">The information included in the inventories was used to provide an overview of the indicators established or proposed by each RSC, what they are used for and on which </w:t>
      </w:r>
      <w:r w:rsidR="005A59EB" w:rsidRPr="000C47B4">
        <w:rPr>
          <w:lang w:val="en-US"/>
        </w:rPr>
        <w:t>methodol</w:t>
      </w:r>
      <w:r w:rsidR="005A59EB">
        <w:rPr>
          <w:lang w:val="en-US"/>
        </w:rPr>
        <w:t xml:space="preserve">ogies and data </w:t>
      </w:r>
      <w:r w:rsidR="005A59EB" w:rsidRPr="000C47B4">
        <w:rPr>
          <w:lang w:val="en-US"/>
        </w:rPr>
        <w:t>they</w:t>
      </w:r>
      <w:r w:rsidR="005A59EB">
        <w:rPr>
          <w:lang w:val="en-US"/>
        </w:rPr>
        <w:t xml:space="preserve"> are based. </w:t>
      </w:r>
      <w:r w:rsidRPr="000C47B4">
        <w:rPr>
          <w:lang w:val="en-US"/>
        </w:rPr>
        <w:t>The RSCs indicators were assessed in terms of relevance to the MSFD indicators, as well as to EEA indicators</w:t>
      </w:r>
      <w:r w:rsidRPr="00D40B9B">
        <w:rPr>
          <w:lang w:val="en-US"/>
        </w:rPr>
        <w:t>.</w:t>
      </w:r>
      <w:r w:rsidR="005A59EB" w:rsidRPr="00D40B9B">
        <w:rPr>
          <w:lang w:val="en-US"/>
        </w:rPr>
        <w:t xml:space="preserve"> Emphasis was given on the data flows that can produce MSFD and RSCs indicators. </w:t>
      </w:r>
      <w:r w:rsidR="000048E5" w:rsidRPr="00D40B9B">
        <w:rPr>
          <w:lang w:val="en-US"/>
        </w:rPr>
        <w:t xml:space="preserve">Thus existing RSCs data flows were </w:t>
      </w:r>
      <w:r w:rsidR="0069001A" w:rsidRPr="00D40B9B">
        <w:rPr>
          <w:lang w:val="en-US"/>
        </w:rPr>
        <w:t>assessed in comparison to</w:t>
      </w:r>
      <w:r w:rsidR="00FD567B" w:rsidRPr="00D40B9B">
        <w:rPr>
          <w:lang w:val="en-US"/>
        </w:rPr>
        <w:t xml:space="preserve"> parameters </w:t>
      </w:r>
      <w:r w:rsidR="0069001A" w:rsidRPr="00D40B9B">
        <w:rPr>
          <w:lang w:val="en-US"/>
        </w:rPr>
        <w:t xml:space="preserve">reported by the MS </w:t>
      </w:r>
      <w:r w:rsidR="00FD567B" w:rsidRPr="00D40B9B">
        <w:rPr>
          <w:lang w:val="en-US"/>
        </w:rPr>
        <w:t>under articles 8, 9 and 10 of the MSFD</w:t>
      </w:r>
      <w:r w:rsidR="0069001A" w:rsidRPr="00D40B9B">
        <w:rPr>
          <w:lang w:val="en-US"/>
        </w:rPr>
        <w:t xml:space="preserve"> using the results of the </w:t>
      </w:r>
      <w:r w:rsidR="000048E5" w:rsidRPr="00D40B9B">
        <w:rPr>
          <w:lang w:val="en-US"/>
        </w:rPr>
        <w:t xml:space="preserve">“In-Depth Assessment of the EU Member States’ Submissions for the </w:t>
      </w:r>
      <w:r w:rsidR="000048E5" w:rsidRPr="00D40B9B">
        <w:rPr>
          <w:lang w:val="en-US"/>
        </w:rPr>
        <w:lastRenderedPageBreak/>
        <w:t xml:space="preserve">Marine Strategy Framework Directive under articles 8, 9 and 10” undertaken by </w:t>
      </w:r>
      <w:r w:rsidR="0069001A" w:rsidRPr="00D40B9B">
        <w:rPr>
          <w:lang w:val="en-US"/>
        </w:rPr>
        <w:t xml:space="preserve">the </w:t>
      </w:r>
      <w:r w:rsidR="000048E5" w:rsidRPr="00D40B9B">
        <w:rPr>
          <w:lang w:val="en-US"/>
        </w:rPr>
        <w:t>Joint Research Centre (JRC)</w:t>
      </w:r>
      <w:r w:rsidR="0069001A" w:rsidRPr="00D40B9B">
        <w:rPr>
          <w:lang w:val="en-US"/>
        </w:rPr>
        <w:t xml:space="preserve"> (Palialexis et. al, 2014)</w:t>
      </w:r>
      <w:r w:rsidR="000048E5" w:rsidRPr="00D40B9B">
        <w:rPr>
          <w:lang w:val="en-US"/>
        </w:rPr>
        <w:t>.</w:t>
      </w:r>
    </w:p>
    <w:p w:rsidR="000C47B4" w:rsidRPr="000C47B4" w:rsidRDefault="000C47B4" w:rsidP="00987279">
      <w:pPr>
        <w:spacing w:line="240" w:lineRule="auto"/>
        <w:rPr>
          <w:lang w:val="en-US"/>
        </w:rPr>
      </w:pPr>
      <w:r w:rsidRPr="00D40B9B">
        <w:rPr>
          <w:lang w:val="en-US"/>
        </w:rPr>
        <w:t>Furthermore, the inventories are going to be used as input in the Information Flow Scheme that is currently in development under Task 3 of the project.</w:t>
      </w:r>
    </w:p>
    <w:p w:rsidR="007B0777" w:rsidRDefault="007B0777" w:rsidP="00987279">
      <w:pPr>
        <w:spacing w:line="240" w:lineRule="auto"/>
        <w:jc w:val="left"/>
        <w:sectPr w:rsidR="007B0777" w:rsidSect="005C1993">
          <w:headerReference w:type="even" r:id="rId22"/>
          <w:headerReference w:type="default" r:id="rId23"/>
          <w:footerReference w:type="even" r:id="rId24"/>
          <w:footerReference w:type="default" r:id="rId25"/>
          <w:type w:val="oddPage"/>
          <w:pgSz w:w="11906" w:h="16838" w:code="9"/>
          <w:pgMar w:top="2552" w:right="1094" w:bottom="1077" w:left="2098" w:header="822" w:footer="199" w:gutter="0"/>
          <w:paperSrc w:first="1" w:other="1"/>
          <w:pgNumType w:start="1"/>
          <w:cols w:space="708"/>
          <w:docGrid w:linePitch="360"/>
        </w:sectPr>
      </w:pPr>
    </w:p>
    <w:p w:rsidR="007B0777" w:rsidRDefault="007B0777" w:rsidP="00987279">
      <w:pPr>
        <w:pStyle w:val="Heading1"/>
        <w:spacing w:before="0" w:after="0"/>
        <w:rPr>
          <w:szCs w:val="21"/>
          <w:lang w:val="en-US"/>
        </w:rPr>
      </w:pPr>
      <w:bookmarkStart w:id="43" w:name="_Toc384815498"/>
      <w:r w:rsidRPr="007B0777">
        <w:rPr>
          <w:szCs w:val="21"/>
          <w:lang w:val="en-US"/>
        </w:rPr>
        <w:lastRenderedPageBreak/>
        <w:t>RSC</w:t>
      </w:r>
      <w:r w:rsidR="00B04FA5">
        <w:rPr>
          <w:szCs w:val="21"/>
          <w:lang w:val="en-US"/>
        </w:rPr>
        <w:t xml:space="preserve"> and EEA</w:t>
      </w:r>
      <w:r w:rsidRPr="007B0777">
        <w:rPr>
          <w:szCs w:val="21"/>
          <w:lang w:val="en-US"/>
        </w:rPr>
        <w:t xml:space="preserve"> data holdings and data flows related to eutrophication</w:t>
      </w:r>
      <w:bookmarkEnd w:id="43"/>
    </w:p>
    <w:p w:rsidR="006F2D89" w:rsidRPr="006F2D89" w:rsidRDefault="006F2D89" w:rsidP="006F2D89">
      <w:pPr>
        <w:rPr>
          <w:lang w:val="en-US"/>
        </w:rPr>
      </w:pPr>
    </w:p>
    <w:p w:rsidR="007B0777" w:rsidRPr="007B0777" w:rsidRDefault="007B0777" w:rsidP="00987279">
      <w:pPr>
        <w:pStyle w:val="Heading2"/>
        <w:spacing w:before="0" w:line="240" w:lineRule="auto"/>
      </w:pPr>
      <w:bookmarkStart w:id="44" w:name="_Toc384815499"/>
      <w:r w:rsidRPr="007B0777">
        <w:t>RSCs eutroph</w:t>
      </w:r>
      <w:r w:rsidR="006F2D89">
        <w:t xml:space="preserve">ication indicators in relation </w:t>
      </w:r>
      <w:r w:rsidRPr="007B0777">
        <w:t>to MSFD and EEA indicators</w:t>
      </w:r>
      <w:bookmarkEnd w:id="44"/>
    </w:p>
    <w:p w:rsidR="007B0777" w:rsidRDefault="008C7D8E" w:rsidP="00987279">
      <w:pPr>
        <w:spacing w:line="240" w:lineRule="auto"/>
      </w:pPr>
      <w:r w:rsidRPr="007B0777">
        <w:t xml:space="preserve">RSCs have adopted (HELCOM, OSPAR) or are in the process of adopting (UNEP/MAP, BSC) key indicators for eutrophication </w:t>
      </w:r>
      <w:r w:rsidR="007B0777" w:rsidRPr="007B0777">
        <w:t xml:space="preserve">covering objectives set by their </w:t>
      </w:r>
      <w:r w:rsidR="007B0777" w:rsidRPr="000F7BA6">
        <w:t xml:space="preserve">strategies. Table </w:t>
      </w:r>
      <w:r w:rsidR="000F7BA6" w:rsidRPr="000F7BA6">
        <w:t>2.</w:t>
      </w:r>
      <w:r w:rsidR="007B0777" w:rsidRPr="000F7BA6">
        <w:t>1 presents the objectives of the four RSCs in parallel to the corresponding criteria of MSFD for the GES Descriptor 5 Eutrophication. RSCs indicators for eutrophication as well as relevant MSFD and EEA indicators are shown in Table 2</w:t>
      </w:r>
      <w:r w:rsidR="000F7BA6" w:rsidRPr="000F7BA6">
        <w:t>.2</w:t>
      </w:r>
      <w:r w:rsidR="007B0777" w:rsidRPr="000F7BA6">
        <w:t>.</w:t>
      </w:r>
      <w:r w:rsidR="007B0777" w:rsidRPr="007B0777">
        <w:t xml:space="preserve"> </w:t>
      </w:r>
    </w:p>
    <w:p w:rsidR="007B0777" w:rsidRPr="007B0777" w:rsidRDefault="007B0777" w:rsidP="00987279">
      <w:pPr>
        <w:spacing w:line="240" w:lineRule="auto"/>
      </w:pPr>
    </w:p>
    <w:p w:rsidR="007B0777" w:rsidRDefault="007B0777" w:rsidP="00987279">
      <w:pPr>
        <w:spacing w:line="240" w:lineRule="auto"/>
      </w:pPr>
      <w:r w:rsidRPr="007B0777">
        <w:t xml:space="preserve">Commission Decision 2010/477/EU requires assessments of eutrophication in marine waters to combine information on nutrient levels and those direct effects and indirect effects that are closely linked to nutrient enrichment. The Decision sets out eight indicators to describe those three criteria. Nutrient inputs are not included in the list of indicators for D5 in the COM Decision 210/477/EU as such but </w:t>
      </w:r>
      <w:r w:rsidR="00547675">
        <w:t xml:space="preserve">article 8 on initial assessments and </w:t>
      </w:r>
      <w:r w:rsidRPr="007B0777">
        <w:t xml:space="preserve">annex III of the MSFD specifies the importance of locating the sources of the nutrient inputs determining the level of eutrophication. </w:t>
      </w:r>
    </w:p>
    <w:p w:rsidR="007B0777" w:rsidRPr="007B0777" w:rsidRDefault="007B0777" w:rsidP="00987279">
      <w:pPr>
        <w:spacing w:line="240" w:lineRule="auto"/>
      </w:pPr>
    </w:p>
    <w:p w:rsidR="007B0777" w:rsidRDefault="007B0777" w:rsidP="00987279">
      <w:pPr>
        <w:spacing w:line="240" w:lineRule="auto"/>
      </w:pPr>
      <w:r w:rsidRPr="007B0777">
        <w:t>The HELCOM eutrophication core indicators have been selected on the basis of the HELCOM ecological objectives and the MSFD criteria for eutrophication (HELCOM, 2013a). The five eutrophication core indicators cover four of the five HELCOM ecological objectives and all three MSFD criteria of the Qualitative Descriptor 5. The recent thematic assessment of eutrophication in the Baltic Sea also utilised two biodiversity core indicators, namely the multimetric faunal indices and the macrophyte depth distribution, which in the Baltic Sea have a strong response to eutrophication. These indicators cover the eutrophication status; HELCOM assesses the inputs of nutrients (water- and airborne nutrient loads, point sources) trough a separate parallel process, pollution load compilation, PLC (HELCOM 2011). Inputs of nutrients have been included in the HELCOM first thematic assessment of eutrophication (HELCOM 2009). Pressure core indicator addressing nutrient inputs to the Baltic Sea are currently under development.</w:t>
      </w:r>
    </w:p>
    <w:p w:rsidR="007B0777" w:rsidRPr="007B0777" w:rsidRDefault="007B0777" w:rsidP="00987279">
      <w:pPr>
        <w:spacing w:line="240" w:lineRule="auto"/>
      </w:pPr>
    </w:p>
    <w:p w:rsidR="007B0777" w:rsidRDefault="007B0777" w:rsidP="00987279">
      <w:pPr>
        <w:spacing w:line="240" w:lineRule="auto"/>
      </w:pPr>
      <w:r w:rsidRPr="007B0777">
        <w:t>OSPAR has adopted a first set of common indicators including those that are contributing to Eutrophication indicators “Nutrients Levels”, “Direct Enrichment Effects” and “Indirect Enrichment Effects” based on the Common Procedure for the Identification of the Eutrophication Status of the OSPAR Maritime Area</w:t>
      </w:r>
      <w:r w:rsidRPr="007322D6">
        <w:rPr>
          <w:vertAlign w:val="superscript"/>
        </w:rPr>
        <w:footnoteReference w:id="2"/>
      </w:r>
      <w:r w:rsidRPr="007B0777">
        <w:t>. The assessment is based on a two-step analysis starting with a “screening procedure”. All areas not being identified as non-problem areas with regard to eutrophication through the Screening Procedure are subject to the Comprehensive Procedure which comprises a checklist of qualitative parameters for a holistic assessment, integrating further supporting parameters into the total assessment. There is a large overlap between the data needs for the OSPAR assessment, and the requirements for the MSFD</w:t>
      </w:r>
      <w:r w:rsidRPr="007322D6">
        <w:rPr>
          <w:vertAlign w:val="superscript"/>
        </w:rPr>
        <w:footnoteReference w:id="3"/>
      </w:r>
      <w:r w:rsidRPr="007B0777">
        <w:t xml:space="preserve"> and therefore a great potential for streamlining of data and information flows. Potentially additional parameters that can be used in the comprehensive procedure which are not included in the EEA and MSFD eutrophication assessments include for example transboundary transport of nutrients and changes in ecosystem structure. </w:t>
      </w:r>
    </w:p>
    <w:p w:rsidR="00A60C9C" w:rsidRPr="007B0777" w:rsidRDefault="00A60C9C" w:rsidP="00987279">
      <w:pPr>
        <w:spacing w:line="240" w:lineRule="auto"/>
      </w:pPr>
    </w:p>
    <w:p w:rsidR="007B0777" w:rsidRDefault="007B0777" w:rsidP="00987279">
      <w:pPr>
        <w:spacing w:line="240" w:lineRule="auto"/>
      </w:pPr>
      <w:r w:rsidRPr="007B0777">
        <w:lastRenderedPageBreak/>
        <w:t xml:space="preserve">UNEP/MAP is in the process of adopting common indicators for eutrophication that is addressed by Ecological Objective 5 of the Ecosystem Approach (UNEP/MAP, 2012a). The common indicators have been proposed by the Secretariat taking into account practices of other RSCs and on the basis of experience already gained by the Contracting Parties through their regular MED POL (Programme for the Assessment and Control of Marine Pollution in the Mediterranean Region) monitoring activities as well as the experience gained by EU Mediterranean countries through their implementation of EU Directives such as the Marine Strategy Framework Directive and the Water Framework Directive. In the latest Integrated Correspondence Groups of GES and Targets meeting (UNEP/MAP, 2014a) two operational objectives and two indicators were proposed by UNEP/MAP Secretariat that cover two of the MSFD criteria (5.1. nutrient levels and 5.2 direct effects). </w:t>
      </w:r>
    </w:p>
    <w:p w:rsidR="007B0777" w:rsidRPr="007B0777" w:rsidRDefault="007B0777" w:rsidP="00987279">
      <w:pPr>
        <w:spacing w:line="240" w:lineRule="auto"/>
      </w:pPr>
    </w:p>
    <w:p w:rsidR="007B0777" w:rsidRDefault="007B0777" w:rsidP="00987279">
      <w:pPr>
        <w:spacing w:line="240" w:lineRule="auto"/>
      </w:pPr>
      <w:r w:rsidRPr="007B0777">
        <w:t>Under the Bucharest Convention, eutrophication is addressed in the Strategic Action Plan for the Rehabilitation and Protection of the Black Sea (BSSAP) 2009 by the Ecosystem Quality Objective3 (EcoQO3): Reduce eutrophication. BSC in the implementation of BSIMAP (Black Sea Integrated Monitoring and Assessment Program) used four indicators for eutrophication that cover the three MSFD criteria (BSC, 2010). An indicator on input of nutrients from point sources was also applied.  Additional indicators relevant to MSFD indicators 5.2.3, 5.2.4 and 5.2.1 were considered and adopted by the CBD AG (Advisory Group on Conservation of Biodiversity) in 2013 but further work is needed in this direction (personal communication with BSC Secretariat).</w:t>
      </w:r>
    </w:p>
    <w:p w:rsidR="007B0777" w:rsidRPr="007B0777" w:rsidRDefault="007B0777" w:rsidP="00987279">
      <w:pPr>
        <w:spacing w:line="240" w:lineRule="auto"/>
      </w:pPr>
    </w:p>
    <w:p w:rsidR="00353D3D" w:rsidRPr="007B0777" w:rsidRDefault="007B0777" w:rsidP="00DB2061">
      <w:pPr>
        <w:spacing w:line="240" w:lineRule="auto"/>
      </w:pPr>
      <w:r w:rsidRPr="007B0777">
        <w:t xml:space="preserve">All RSCs use indicators </w:t>
      </w:r>
      <w:r w:rsidR="00353D3D">
        <w:t>similar</w:t>
      </w:r>
      <w:r w:rsidRPr="007B0777">
        <w:t xml:space="preserve"> to the two EEA eutrophication indicators CSI021 and CSI023.</w:t>
      </w:r>
      <w:r w:rsidR="00DB2061">
        <w:t xml:space="preserve"> These indicators address the key policy questions 1) Are nutrient concentrations in our surface waters decreasing? and 2) Is eutrophication in European surface waters decreasing?</w:t>
      </w:r>
    </w:p>
    <w:p w:rsidR="00A16165" w:rsidRDefault="00A16165" w:rsidP="00D33BDF">
      <w:pPr>
        <w:spacing w:line="240" w:lineRule="auto"/>
      </w:pPr>
      <w:r>
        <w:t xml:space="preserve">Indicator </w:t>
      </w:r>
      <w:r w:rsidR="007322D6">
        <w:t>CSIO21-</w:t>
      </w:r>
      <w:r>
        <w:t xml:space="preserve"> Nutrients in transitional, coastal and marine waters</w:t>
      </w:r>
      <w:r w:rsidR="007322D6">
        <w:t xml:space="preserve"> </w:t>
      </w:r>
      <w:r>
        <w:t xml:space="preserve">shows </w:t>
      </w:r>
      <w:r w:rsidR="00D55936">
        <w:t xml:space="preserve">annual winter concentrations, </w:t>
      </w:r>
      <w:r>
        <w:t>classification of concentration levels (i</w:t>
      </w:r>
      <w:r w:rsidR="00D55936">
        <w:t xml:space="preserve">.e. low, moderate, high) and </w:t>
      </w:r>
      <w:r>
        <w:t xml:space="preserve">trends in winter </w:t>
      </w:r>
      <w:r w:rsidR="00D55936">
        <w:t xml:space="preserve">nutrient concentrations </w:t>
      </w:r>
      <w:r>
        <w:t>in the regional seas of Europe</w:t>
      </w:r>
      <w:r w:rsidR="007322D6">
        <w:t>.</w:t>
      </w:r>
      <w:r w:rsidR="00AF31F8">
        <w:t xml:space="preserve"> </w:t>
      </w:r>
    </w:p>
    <w:p w:rsidR="00AF31F8" w:rsidRDefault="007322D6" w:rsidP="00AF31F8">
      <w:pPr>
        <w:spacing w:line="240" w:lineRule="auto"/>
      </w:pPr>
      <w:r>
        <w:t xml:space="preserve">Indicator CSIO23- </w:t>
      </w:r>
      <w:r w:rsidR="00D33BDF" w:rsidRPr="00D33BDF">
        <w:t>Chlorophyll in transitional, coastal and marine waters</w:t>
      </w:r>
      <w:r>
        <w:t xml:space="preserve"> </w:t>
      </w:r>
      <w:r w:rsidR="00D33BDF">
        <w:t xml:space="preserve">shows  </w:t>
      </w:r>
      <w:r w:rsidR="00D55936">
        <w:t>a</w:t>
      </w:r>
      <w:r w:rsidR="00D33BDF">
        <w:t>nnual mean</w:t>
      </w:r>
      <w:r w:rsidR="00D55936">
        <w:t xml:space="preserve"> summer surface concentrations, </w:t>
      </w:r>
      <w:r w:rsidR="00D33BDF">
        <w:t xml:space="preserve"> classification of concentration levels (i.e. low, moderate, high) and trends in mean summer surface concentrations of chlorophyll-a in the regional seas of Europe</w:t>
      </w:r>
      <w:r>
        <w:t xml:space="preserve">. </w:t>
      </w:r>
      <w:r w:rsidR="00AF31F8">
        <w:t xml:space="preserve"> </w:t>
      </w:r>
    </w:p>
    <w:p w:rsidR="00D55936" w:rsidRDefault="00D55936" w:rsidP="00AF31F8">
      <w:pPr>
        <w:spacing w:line="240" w:lineRule="auto"/>
      </w:pPr>
      <w:r w:rsidRPr="00D55936">
        <w:t xml:space="preserve">The used regional and </w:t>
      </w:r>
      <w:r w:rsidR="00580600" w:rsidRPr="00D55936">
        <w:t>sub regional</w:t>
      </w:r>
      <w:r w:rsidRPr="00D55936">
        <w:t xml:space="preserve"> seas of Europe are in line with the geographical regions and sub-regions specified</w:t>
      </w:r>
      <w:r>
        <w:t xml:space="preserve"> in the MSFD.</w:t>
      </w:r>
    </w:p>
    <w:p w:rsidR="00D33BDF" w:rsidRDefault="00D33BDF" w:rsidP="00D33BDF">
      <w:pPr>
        <w:spacing w:line="240" w:lineRule="auto"/>
      </w:pPr>
      <w:r>
        <w:t xml:space="preserve">. </w:t>
      </w:r>
    </w:p>
    <w:p w:rsidR="007B0777" w:rsidRDefault="007B0777" w:rsidP="00987279">
      <w:pPr>
        <w:spacing w:line="240" w:lineRule="auto"/>
        <w:sectPr w:rsidR="007B0777" w:rsidSect="007B0777">
          <w:type w:val="oddPage"/>
          <w:pgSz w:w="11906" w:h="16838" w:code="9"/>
          <w:pgMar w:top="2552" w:right="1094" w:bottom="1077" w:left="2098" w:header="822" w:footer="199" w:gutter="0"/>
          <w:paperSrc w:first="1" w:other="1"/>
          <w:cols w:space="708"/>
          <w:docGrid w:linePitch="360"/>
        </w:sectPr>
      </w:pPr>
    </w:p>
    <w:p w:rsidR="00A82751" w:rsidRPr="00F2534A" w:rsidRDefault="006F2D89" w:rsidP="006F2D89">
      <w:pPr>
        <w:pStyle w:val="Caption"/>
        <w:rPr>
          <w:lang w:val="en-US"/>
        </w:rPr>
      </w:pPr>
      <w:r>
        <w:lastRenderedPageBreak/>
        <w:t xml:space="preserve">Table </w:t>
      </w:r>
      <w:r w:rsidR="008135ED">
        <w:fldChar w:fldCharType="begin"/>
      </w:r>
      <w:r w:rsidR="004B48B8">
        <w:instrText xml:space="preserve"> STYLEREF 1 \s </w:instrText>
      </w:r>
      <w:r w:rsidR="008135ED">
        <w:fldChar w:fldCharType="separate"/>
      </w:r>
      <w:r w:rsidR="003461A2">
        <w:rPr>
          <w:noProof/>
        </w:rPr>
        <w:t>2</w:t>
      </w:r>
      <w:r w:rsidR="008135ED">
        <w:fldChar w:fldCharType="end"/>
      </w:r>
      <w:r w:rsidR="004B48B8">
        <w:t>.</w:t>
      </w:r>
      <w:r w:rsidR="008135ED">
        <w:fldChar w:fldCharType="begin"/>
      </w:r>
      <w:r w:rsidR="004B48B8">
        <w:instrText xml:space="preserve"> SEQ Table \* ARABIC \s 1 </w:instrText>
      </w:r>
      <w:r w:rsidR="008135ED">
        <w:fldChar w:fldCharType="separate"/>
      </w:r>
      <w:r w:rsidR="003461A2">
        <w:rPr>
          <w:noProof/>
        </w:rPr>
        <w:t>1</w:t>
      </w:r>
      <w:r w:rsidR="008135ED">
        <w:fldChar w:fldCharType="end"/>
      </w:r>
      <w:r>
        <w:tab/>
      </w:r>
      <w:r w:rsidR="00A82751" w:rsidRPr="00F2534A">
        <w:t xml:space="preserve">Eutrophication </w:t>
      </w:r>
      <w:r w:rsidR="00A82751" w:rsidRPr="00F2534A">
        <w:rPr>
          <w:lang w:val="en-US"/>
        </w:rPr>
        <w:t>objectives of the four RSCs</w:t>
      </w:r>
      <w:r w:rsidR="00A16165">
        <w:rPr>
          <w:lang w:val="en-US"/>
        </w:rPr>
        <w:t xml:space="preserve"> and policy questions of the </w:t>
      </w:r>
      <w:r w:rsidR="00580600">
        <w:rPr>
          <w:lang w:val="en-US"/>
        </w:rPr>
        <w:t xml:space="preserve">EEA </w:t>
      </w:r>
      <w:r w:rsidR="00580600" w:rsidRPr="00F2534A">
        <w:rPr>
          <w:lang w:val="en-US"/>
        </w:rPr>
        <w:t>in</w:t>
      </w:r>
      <w:r w:rsidR="00A82751" w:rsidRPr="00F2534A">
        <w:rPr>
          <w:lang w:val="en-US"/>
        </w:rPr>
        <w:t xml:space="preserve"> parallel to the corresponding criteria of MSFD for the GES Descriptor D5</w:t>
      </w:r>
      <w:r w:rsidR="00697E0F">
        <w:rPr>
          <w:lang w:val="en-US"/>
        </w:rPr>
        <w:t xml:space="preserve"> </w:t>
      </w:r>
    </w:p>
    <w:tbl>
      <w:tblPr>
        <w:tblpPr w:leftFromText="181" w:rightFromText="181" w:vertAnchor="text" w:horzAnchor="margin" w:tblpY="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3"/>
        <w:gridCol w:w="3175"/>
        <w:gridCol w:w="1741"/>
        <w:gridCol w:w="2742"/>
        <w:gridCol w:w="1606"/>
        <w:gridCol w:w="1735"/>
      </w:tblGrid>
      <w:tr w:rsidR="00697E0F" w:rsidRPr="00A82751" w:rsidTr="001A173D">
        <w:trPr>
          <w:trHeight w:val="427"/>
        </w:trPr>
        <w:tc>
          <w:tcPr>
            <w:tcW w:w="0" w:type="auto"/>
            <w:shd w:val="clear" w:color="auto" w:fill="D9D9D9" w:themeFill="background1" w:themeFillShade="D9"/>
          </w:tcPr>
          <w:p w:rsidR="00697E0F" w:rsidRPr="00A82751" w:rsidRDefault="00697E0F" w:rsidP="00987279">
            <w:pPr>
              <w:autoSpaceDE w:val="0"/>
              <w:autoSpaceDN w:val="0"/>
              <w:adjustRightInd w:val="0"/>
              <w:spacing w:line="240" w:lineRule="auto"/>
              <w:jc w:val="center"/>
              <w:rPr>
                <w:b/>
                <w:bCs/>
                <w:color w:val="000000"/>
                <w:sz w:val="18"/>
                <w:szCs w:val="18"/>
              </w:rPr>
            </w:pPr>
            <w:r w:rsidRPr="00A82751">
              <w:rPr>
                <w:b/>
                <w:bCs/>
                <w:color w:val="000000"/>
                <w:sz w:val="18"/>
                <w:szCs w:val="18"/>
              </w:rPr>
              <w:t>ΜSFD</w:t>
            </w:r>
          </w:p>
        </w:tc>
        <w:tc>
          <w:tcPr>
            <w:tcW w:w="0" w:type="auto"/>
            <w:shd w:val="clear" w:color="auto" w:fill="D9D9D9" w:themeFill="background1" w:themeFillShade="D9"/>
          </w:tcPr>
          <w:p w:rsidR="00697E0F" w:rsidRPr="00A82751" w:rsidRDefault="00697E0F" w:rsidP="00987279">
            <w:pPr>
              <w:autoSpaceDE w:val="0"/>
              <w:autoSpaceDN w:val="0"/>
              <w:adjustRightInd w:val="0"/>
              <w:spacing w:line="240" w:lineRule="auto"/>
              <w:jc w:val="center"/>
              <w:rPr>
                <w:b/>
                <w:bCs/>
                <w:color w:val="000000"/>
                <w:sz w:val="18"/>
                <w:szCs w:val="18"/>
              </w:rPr>
            </w:pPr>
            <w:r w:rsidRPr="00A82751">
              <w:rPr>
                <w:b/>
                <w:bCs/>
                <w:color w:val="000000"/>
                <w:sz w:val="18"/>
                <w:szCs w:val="18"/>
              </w:rPr>
              <w:t>OSPAR</w:t>
            </w:r>
          </w:p>
        </w:tc>
        <w:tc>
          <w:tcPr>
            <w:tcW w:w="0" w:type="auto"/>
            <w:shd w:val="clear" w:color="auto" w:fill="D9D9D9" w:themeFill="background1" w:themeFillShade="D9"/>
          </w:tcPr>
          <w:p w:rsidR="00697E0F" w:rsidRPr="00A82751" w:rsidRDefault="00697E0F" w:rsidP="00987279">
            <w:pPr>
              <w:autoSpaceDE w:val="0"/>
              <w:autoSpaceDN w:val="0"/>
              <w:adjustRightInd w:val="0"/>
              <w:spacing w:line="240" w:lineRule="auto"/>
              <w:jc w:val="center"/>
              <w:rPr>
                <w:b/>
                <w:bCs/>
                <w:color w:val="000000"/>
                <w:sz w:val="18"/>
                <w:szCs w:val="18"/>
              </w:rPr>
            </w:pPr>
            <w:r w:rsidRPr="00A82751">
              <w:rPr>
                <w:b/>
                <w:bCs/>
                <w:color w:val="000000"/>
                <w:sz w:val="18"/>
                <w:szCs w:val="18"/>
              </w:rPr>
              <w:t>HELCOM</w:t>
            </w:r>
          </w:p>
        </w:tc>
        <w:tc>
          <w:tcPr>
            <w:tcW w:w="0" w:type="auto"/>
            <w:shd w:val="clear" w:color="auto" w:fill="D9D9D9" w:themeFill="background1" w:themeFillShade="D9"/>
          </w:tcPr>
          <w:p w:rsidR="00697E0F" w:rsidRPr="00A82751" w:rsidRDefault="00697E0F" w:rsidP="00987279">
            <w:pPr>
              <w:autoSpaceDE w:val="0"/>
              <w:autoSpaceDN w:val="0"/>
              <w:adjustRightInd w:val="0"/>
              <w:spacing w:line="240" w:lineRule="auto"/>
              <w:jc w:val="center"/>
              <w:rPr>
                <w:b/>
                <w:bCs/>
                <w:color w:val="000000"/>
                <w:sz w:val="18"/>
                <w:szCs w:val="18"/>
              </w:rPr>
            </w:pPr>
            <w:r w:rsidRPr="00A82751">
              <w:rPr>
                <w:b/>
                <w:bCs/>
                <w:color w:val="000000"/>
                <w:sz w:val="18"/>
                <w:szCs w:val="18"/>
              </w:rPr>
              <w:t>UNEP/MAP</w:t>
            </w:r>
          </w:p>
        </w:tc>
        <w:tc>
          <w:tcPr>
            <w:tcW w:w="0" w:type="auto"/>
            <w:shd w:val="clear" w:color="auto" w:fill="D9D9D9" w:themeFill="background1" w:themeFillShade="D9"/>
          </w:tcPr>
          <w:p w:rsidR="00697E0F" w:rsidRPr="00A82751" w:rsidRDefault="00697E0F" w:rsidP="00987279">
            <w:pPr>
              <w:autoSpaceDE w:val="0"/>
              <w:autoSpaceDN w:val="0"/>
              <w:adjustRightInd w:val="0"/>
              <w:spacing w:line="240" w:lineRule="auto"/>
              <w:jc w:val="center"/>
              <w:rPr>
                <w:b/>
                <w:bCs/>
                <w:color w:val="000000"/>
                <w:sz w:val="18"/>
                <w:szCs w:val="18"/>
                <w:lang w:val="en-US"/>
              </w:rPr>
            </w:pPr>
            <w:r w:rsidRPr="00A82751">
              <w:rPr>
                <w:b/>
                <w:bCs/>
                <w:color w:val="000000"/>
                <w:sz w:val="18"/>
                <w:szCs w:val="18"/>
                <w:lang w:val="en-US"/>
              </w:rPr>
              <w:t>BSC</w:t>
            </w:r>
          </w:p>
        </w:tc>
        <w:tc>
          <w:tcPr>
            <w:tcW w:w="0" w:type="auto"/>
            <w:shd w:val="clear" w:color="auto" w:fill="D9D9D9" w:themeFill="background1" w:themeFillShade="D9"/>
          </w:tcPr>
          <w:p w:rsidR="00697E0F" w:rsidRPr="00A82751" w:rsidRDefault="00697E0F" w:rsidP="00987279">
            <w:pPr>
              <w:autoSpaceDE w:val="0"/>
              <w:autoSpaceDN w:val="0"/>
              <w:adjustRightInd w:val="0"/>
              <w:spacing w:line="240" w:lineRule="auto"/>
              <w:jc w:val="center"/>
              <w:rPr>
                <w:b/>
                <w:bCs/>
                <w:color w:val="000000"/>
                <w:sz w:val="18"/>
                <w:szCs w:val="18"/>
                <w:lang w:val="en-US"/>
              </w:rPr>
            </w:pPr>
            <w:r>
              <w:rPr>
                <w:b/>
                <w:bCs/>
                <w:color w:val="000000"/>
                <w:sz w:val="18"/>
                <w:szCs w:val="18"/>
                <w:lang w:val="en-US"/>
              </w:rPr>
              <w:t>E</w:t>
            </w:r>
            <w:r w:rsidR="00D33BDF">
              <w:rPr>
                <w:b/>
                <w:bCs/>
                <w:color w:val="000000"/>
                <w:sz w:val="18"/>
                <w:szCs w:val="18"/>
                <w:lang w:val="en-US"/>
              </w:rPr>
              <w:t>EA</w:t>
            </w:r>
          </w:p>
        </w:tc>
      </w:tr>
      <w:tr w:rsidR="00697E0F" w:rsidRPr="00A82751" w:rsidTr="001A173D">
        <w:trPr>
          <w:trHeight w:val="326"/>
        </w:trPr>
        <w:tc>
          <w:tcPr>
            <w:tcW w:w="0" w:type="auto"/>
            <w:shd w:val="solid" w:color="FFFFFF" w:fill="auto"/>
          </w:tcPr>
          <w:p w:rsidR="00697E0F" w:rsidRPr="00A82751" w:rsidRDefault="00697E0F" w:rsidP="00987279">
            <w:pPr>
              <w:autoSpaceDE w:val="0"/>
              <w:autoSpaceDN w:val="0"/>
              <w:adjustRightInd w:val="0"/>
              <w:spacing w:line="240" w:lineRule="auto"/>
              <w:rPr>
                <w:bCs/>
                <w:color w:val="000000"/>
                <w:sz w:val="18"/>
                <w:szCs w:val="18"/>
                <w:lang w:val="en-US"/>
              </w:rPr>
            </w:pPr>
            <w:r w:rsidRPr="00A82751">
              <w:rPr>
                <w:b/>
                <w:bCs/>
                <w:color w:val="000000"/>
                <w:sz w:val="18"/>
                <w:szCs w:val="18"/>
                <w:lang w:val="en-US"/>
              </w:rPr>
              <w:t>D5:</w:t>
            </w:r>
            <w:r w:rsidRPr="00A82751">
              <w:rPr>
                <w:bCs/>
                <w:color w:val="000000"/>
                <w:sz w:val="18"/>
                <w:szCs w:val="18"/>
                <w:lang w:val="en-US"/>
              </w:rPr>
              <w:t xml:space="preserve"> Human</w:t>
            </w:r>
            <w:r w:rsidRPr="00A82751">
              <w:rPr>
                <w:rFonts w:ascii="Cambria Math" w:hAnsi="Cambria Math" w:cs="Cambria Math"/>
                <w:bCs/>
                <w:color w:val="000000"/>
                <w:sz w:val="18"/>
                <w:szCs w:val="18"/>
                <w:lang w:val="en-US"/>
              </w:rPr>
              <w:t>‐</w:t>
            </w:r>
            <w:r w:rsidRPr="00A82751">
              <w:rPr>
                <w:bCs/>
                <w:color w:val="000000"/>
                <w:sz w:val="18"/>
                <w:szCs w:val="18"/>
                <w:lang w:val="en-US"/>
              </w:rPr>
              <w:t>induced eutrophication is minimised, especially adverse effects thereof, such as losses in biodiversity, ecosystem degradation, harmful algae blooms and oxygen deficiency in bottom waters.</w:t>
            </w:r>
          </w:p>
        </w:tc>
        <w:tc>
          <w:tcPr>
            <w:tcW w:w="0" w:type="auto"/>
            <w:shd w:val="solid" w:color="FFFFFF" w:fill="auto"/>
          </w:tcPr>
          <w:p w:rsidR="00697E0F" w:rsidRPr="00A82751" w:rsidRDefault="00697E0F" w:rsidP="00987279">
            <w:pPr>
              <w:autoSpaceDE w:val="0"/>
              <w:autoSpaceDN w:val="0"/>
              <w:adjustRightInd w:val="0"/>
              <w:spacing w:line="240" w:lineRule="auto"/>
              <w:rPr>
                <w:bCs/>
                <w:color w:val="000000"/>
                <w:sz w:val="18"/>
                <w:szCs w:val="18"/>
                <w:lang w:val="en-US"/>
              </w:rPr>
            </w:pPr>
            <w:r w:rsidRPr="00A82751">
              <w:rPr>
                <w:b/>
                <w:bCs/>
                <w:color w:val="000000"/>
                <w:sz w:val="18"/>
                <w:szCs w:val="18"/>
                <w:lang w:val="en-US"/>
              </w:rPr>
              <w:t>Strategic objective</w:t>
            </w:r>
            <w:r w:rsidRPr="00A82751">
              <w:rPr>
                <w:bCs/>
                <w:color w:val="000000"/>
                <w:sz w:val="18"/>
                <w:szCs w:val="18"/>
                <w:lang w:val="en-US"/>
              </w:rPr>
              <w:t>: To combat eutrophication in the OSPAR maritime area, with the ultimate aim to achieve and maintain a healthy marine environment where anthropogenic eutrophication does not occur.</w:t>
            </w:r>
          </w:p>
        </w:tc>
        <w:tc>
          <w:tcPr>
            <w:tcW w:w="0" w:type="auto"/>
            <w:shd w:val="solid" w:color="FFFFFF" w:fill="auto"/>
          </w:tcPr>
          <w:p w:rsidR="00697E0F" w:rsidRPr="00A82751" w:rsidRDefault="00697E0F" w:rsidP="00987279">
            <w:pPr>
              <w:autoSpaceDE w:val="0"/>
              <w:autoSpaceDN w:val="0"/>
              <w:adjustRightInd w:val="0"/>
              <w:spacing w:line="240" w:lineRule="auto"/>
              <w:rPr>
                <w:bCs/>
                <w:color w:val="000000"/>
                <w:sz w:val="18"/>
                <w:szCs w:val="18"/>
                <w:lang w:val="en-US"/>
              </w:rPr>
            </w:pPr>
            <w:r w:rsidRPr="00A82751">
              <w:rPr>
                <w:b/>
                <w:bCs/>
                <w:color w:val="000000"/>
                <w:sz w:val="18"/>
                <w:szCs w:val="18"/>
                <w:lang w:val="en-US"/>
              </w:rPr>
              <w:t>Strategic goal</w:t>
            </w:r>
            <w:r w:rsidRPr="00A82751">
              <w:rPr>
                <w:bCs/>
                <w:color w:val="000000"/>
                <w:sz w:val="18"/>
                <w:szCs w:val="18"/>
                <w:lang w:val="en-US"/>
              </w:rPr>
              <w:t>: A Baltic Sea unaffected by eutrophication</w:t>
            </w:r>
          </w:p>
        </w:tc>
        <w:tc>
          <w:tcPr>
            <w:tcW w:w="0" w:type="auto"/>
            <w:shd w:val="solid" w:color="FFFFFF" w:fill="auto"/>
          </w:tcPr>
          <w:p w:rsidR="00697E0F" w:rsidRPr="00A82751" w:rsidRDefault="00697E0F" w:rsidP="00987279">
            <w:pPr>
              <w:autoSpaceDE w:val="0"/>
              <w:autoSpaceDN w:val="0"/>
              <w:adjustRightInd w:val="0"/>
              <w:spacing w:line="240" w:lineRule="auto"/>
              <w:rPr>
                <w:bCs/>
                <w:color w:val="000000"/>
                <w:sz w:val="18"/>
                <w:szCs w:val="18"/>
                <w:lang w:val="en-US"/>
              </w:rPr>
            </w:pPr>
            <w:r w:rsidRPr="00A82751">
              <w:rPr>
                <w:b/>
                <w:bCs/>
                <w:color w:val="000000"/>
                <w:sz w:val="18"/>
                <w:szCs w:val="18"/>
                <w:lang w:val="en-US"/>
              </w:rPr>
              <w:t>EQ5</w:t>
            </w:r>
            <w:r w:rsidRPr="00A82751">
              <w:rPr>
                <w:bCs/>
                <w:color w:val="000000"/>
                <w:sz w:val="18"/>
                <w:szCs w:val="18"/>
                <w:lang w:val="en-US"/>
              </w:rPr>
              <w:t>: Human-induced eutrophication is prevented, especially adverse effects thereof, such as losses in biodiversity, ecosystem degradation, harmful algal blooms, and oxygen deficiency in bottom waters</w:t>
            </w:r>
          </w:p>
        </w:tc>
        <w:tc>
          <w:tcPr>
            <w:tcW w:w="0" w:type="auto"/>
            <w:shd w:val="solid" w:color="FFFFFF" w:fill="auto"/>
          </w:tcPr>
          <w:p w:rsidR="00697E0F" w:rsidRPr="00A82751" w:rsidRDefault="00697E0F" w:rsidP="00987279">
            <w:pPr>
              <w:autoSpaceDE w:val="0"/>
              <w:autoSpaceDN w:val="0"/>
              <w:adjustRightInd w:val="0"/>
              <w:spacing w:line="240" w:lineRule="auto"/>
              <w:rPr>
                <w:bCs/>
                <w:color w:val="000000"/>
                <w:sz w:val="18"/>
                <w:szCs w:val="18"/>
                <w:lang w:val="en-US"/>
              </w:rPr>
            </w:pPr>
            <w:r w:rsidRPr="00A82751">
              <w:rPr>
                <w:b/>
                <w:bCs/>
                <w:color w:val="000000"/>
                <w:sz w:val="18"/>
                <w:szCs w:val="18"/>
              </w:rPr>
              <w:t>BSSAP 2009</w:t>
            </w:r>
            <w:r w:rsidRPr="00A82751">
              <w:rPr>
                <w:b/>
                <w:bCs/>
                <w:color w:val="000000"/>
                <w:sz w:val="18"/>
                <w:szCs w:val="18"/>
                <w:lang w:val="en-US"/>
              </w:rPr>
              <w:t>-</w:t>
            </w:r>
            <w:r w:rsidRPr="00A82751">
              <w:rPr>
                <w:b/>
                <w:bCs/>
                <w:color w:val="000000"/>
                <w:sz w:val="18"/>
                <w:szCs w:val="18"/>
              </w:rPr>
              <w:t>EcoQO 3</w:t>
            </w:r>
            <w:r w:rsidRPr="00A82751">
              <w:rPr>
                <w:bCs/>
                <w:color w:val="000000"/>
                <w:sz w:val="18"/>
                <w:szCs w:val="18"/>
              </w:rPr>
              <w:t xml:space="preserve">: Reduce eutrophication </w:t>
            </w:r>
            <w:r w:rsidRPr="00A82751">
              <w:rPr>
                <w:bCs/>
                <w:color w:val="000000"/>
                <w:sz w:val="18"/>
                <w:szCs w:val="18"/>
                <w:vertAlign w:val="superscript"/>
                <w:lang w:val="en-US"/>
              </w:rPr>
              <w:t>5</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rPr>
            </w:pPr>
          </w:p>
        </w:tc>
      </w:tr>
      <w:tr w:rsidR="00697E0F" w:rsidRPr="00A82751" w:rsidTr="001A173D">
        <w:trPr>
          <w:trHeight w:val="805"/>
        </w:trPr>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r w:rsidRPr="00A82751">
              <w:rPr>
                <w:b/>
                <w:bCs/>
                <w:color w:val="000000"/>
                <w:sz w:val="18"/>
                <w:szCs w:val="18"/>
              </w:rPr>
              <w:t>Criteria</w:t>
            </w:r>
            <w:r w:rsidRPr="00A82751">
              <w:rPr>
                <w:b/>
                <w:bCs/>
                <w:color w:val="000000"/>
                <w:sz w:val="18"/>
                <w:szCs w:val="18"/>
                <w:vertAlign w:val="superscript"/>
                <w:lang w:val="en-US"/>
              </w:rPr>
              <w:t>1</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r w:rsidRPr="00A82751">
              <w:rPr>
                <w:b/>
                <w:sz w:val="18"/>
                <w:szCs w:val="18"/>
                <w:lang w:val="mt-MT"/>
              </w:rPr>
              <w:t>Ecological Quality Objectives (EcoQO)</w:t>
            </w:r>
            <w:r w:rsidRPr="00A82751">
              <w:rPr>
                <w:b/>
                <w:sz w:val="18"/>
                <w:szCs w:val="18"/>
                <w:vertAlign w:val="superscript"/>
                <w:lang w:val="mt-MT"/>
              </w:rPr>
              <w:t>2</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r w:rsidRPr="00A82751">
              <w:rPr>
                <w:b/>
                <w:bCs/>
                <w:color w:val="000000"/>
                <w:sz w:val="18"/>
                <w:szCs w:val="18"/>
              </w:rPr>
              <w:t>Ecological objectives</w:t>
            </w:r>
            <w:r w:rsidRPr="00A82751">
              <w:rPr>
                <w:b/>
                <w:bCs/>
                <w:color w:val="000000"/>
                <w:sz w:val="18"/>
                <w:szCs w:val="18"/>
                <w:vertAlign w:val="superscript"/>
                <w:lang w:val="en-US"/>
              </w:rPr>
              <w:t>3</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r w:rsidRPr="00A82751">
              <w:rPr>
                <w:b/>
                <w:bCs/>
                <w:color w:val="000000"/>
                <w:sz w:val="18"/>
                <w:szCs w:val="18"/>
                <w:lang w:val="en-US"/>
              </w:rPr>
              <w:t xml:space="preserve">Proposed operational objectives </w:t>
            </w:r>
            <w:r w:rsidRPr="00A82751">
              <w:rPr>
                <w:b/>
                <w:bCs/>
                <w:color w:val="000000"/>
                <w:sz w:val="18"/>
                <w:szCs w:val="18"/>
                <w:vertAlign w:val="superscript"/>
                <w:lang w:val="en-US"/>
              </w:rPr>
              <w:t>4</w:t>
            </w:r>
          </w:p>
          <w:p w:rsidR="00697E0F" w:rsidRPr="00A82751" w:rsidRDefault="00697E0F" w:rsidP="00987279">
            <w:pPr>
              <w:autoSpaceDE w:val="0"/>
              <w:autoSpaceDN w:val="0"/>
              <w:adjustRightInd w:val="0"/>
              <w:spacing w:line="240" w:lineRule="auto"/>
              <w:rPr>
                <w:b/>
                <w:bCs/>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p>
        </w:tc>
        <w:tc>
          <w:tcPr>
            <w:tcW w:w="0" w:type="auto"/>
            <w:shd w:val="solid" w:color="FFFFFF" w:fill="auto"/>
          </w:tcPr>
          <w:p w:rsidR="00697E0F" w:rsidRPr="00A82751" w:rsidRDefault="004E75A6" w:rsidP="004E75A6">
            <w:pPr>
              <w:autoSpaceDE w:val="0"/>
              <w:autoSpaceDN w:val="0"/>
              <w:adjustRightInd w:val="0"/>
              <w:spacing w:line="240" w:lineRule="auto"/>
              <w:rPr>
                <w:b/>
                <w:bCs/>
                <w:color w:val="000000"/>
                <w:sz w:val="18"/>
                <w:szCs w:val="18"/>
                <w:lang w:val="en-US"/>
              </w:rPr>
            </w:pPr>
            <w:r>
              <w:rPr>
                <w:b/>
                <w:bCs/>
                <w:color w:val="000000"/>
                <w:sz w:val="18"/>
                <w:szCs w:val="18"/>
                <w:lang w:val="en-US"/>
              </w:rPr>
              <w:t>Key p</w:t>
            </w:r>
            <w:r w:rsidR="00697E0F">
              <w:rPr>
                <w:b/>
                <w:bCs/>
                <w:color w:val="000000"/>
                <w:sz w:val="18"/>
                <w:szCs w:val="18"/>
                <w:lang w:val="en-US"/>
              </w:rPr>
              <w:t>olicy questions</w:t>
            </w:r>
            <w:r w:rsidR="00D33BDF">
              <w:rPr>
                <w:b/>
                <w:bCs/>
                <w:color w:val="000000"/>
                <w:sz w:val="18"/>
                <w:szCs w:val="18"/>
                <w:vertAlign w:val="superscript"/>
                <w:lang w:val="en-US"/>
              </w:rPr>
              <w:t>6</w:t>
            </w:r>
          </w:p>
        </w:tc>
      </w:tr>
      <w:tr w:rsidR="00697E0F" w:rsidRPr="00A82751" w:rsidTr="001A173D">
        <w:trPr>
          <w:trHeight w:val="1128"/>
        </w:trPr>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rPr>
            </w:pPr>
            <w:r w:rsidRPr="00A82751">
              <w:rPr>
                <w:color w:val="000000"/>
                <w:sz w:val="18"/>
                <w:szCs w:val="18"/>
              </w:rPr>
              <w:t>5.1 Nutrients level</w:t>
            </w:r>
          </w:p>
        </w:tc>
        <w:tc>
          <w:tcPr>
            <w:tcW w:w="0" w:type="auto"/>
            <w:shd w:val="solid" w:color="FFFFFF" w:fill="auto"/>
          </w:tcPr>
          <w:p w:rsidR="00697E0F" w:rsidRPr="00A82751" w:rsidRDefault="00697E0F" w:rsidP="00987279">
            <w:pPr>
              <w:spacing w:line="240" w:lineRule="auto"/>
              <w:rPr>
                <w:sz w:val="18"/>
                <w:szCs w:val="18"/>
                <w:lang w:val="mt-MT"/>
              </w:rPr>
            </w:pPr>
            <w:r w:rsidRPr="00A82751">
              <w:rPr>
                <w:sz w:val="18"/>
                <w:szCs w:val="18"/>
                <w:lang w:val="mt-MT"/>
              </w:rPr>
              <w:t>Winter DIN and/or DIP should remain below elevated levels, defined as concentration &gt; 50% above salinity related and/or region-specific natural background concentrations;</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r w:rsidRPr="00A82751">
              <w:rPr>
                <w:color w:val="000000"/>
                <w:sz w:val="18"/>
                <w:szCs w:val="18"/>
                <w:lang w:val="en-US"/>
              </w:rPr>
              <w:t>Concentrations of nutrients close to natural levels</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r w:rsidRPr="00A82751">
              <w:rPr>
                <w:color w:val="000000"/>
                <w:sz w:val="18"/>
                <w:szCs w:val="18"/>
                <w:lang w:val="en-US"/>
              </w:rPr>
              <w:t>5.1 Human introduction of nutrients in the marine environment is not conducive to eutrophication</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p>
        </w:tc>
        <w:tc>
          <w:tcPr>
            <w:tcW w:w="0" w:type="auto"/>
            <w:shd w:val="solid" w:color="FFFFFF" w:fill="auto"/>
          </w:tcPr>
          <w:p w:rsidR="00697E0F" w:rsidRPr="00DB2061" w:rsidRDefault="00A16165" w:rsidP="00987279">
            <w:pPr>
              <w:autoSpaceDE w:val="0"/>
              <w:autoSpaceDN w:val="0"/>
              <w:adjustRightInd w:val="0"/>
              <w:spacing w:line="240" w:lineRule="auto"/>
              <w:rPr>
                <w:bCs/>
                <w:color w:val="000000"/>
                <w:sz w:val="18"/>
                <w:szCs w:val="18"/>
                <w:lang w:val="en-US"/>
              </w:rPr>
            </w:pPr>
            <w:r w:rsidRPr="00DB2061">
              <w:rPr>
                <w:bCs/>
                <w:color w:val="000000"/>
                <w:sz w:val="18"/>
                <w:szCs w:val="18"/>
                <w:lang w:val="en-US"/>
              </w:rPr>
              <w:t>Are nutrient concentrations in our surface waters decreasing?</w:t>
            </w:r>
          </w:p>
        </w:tc>
      </w:tr>
      <w:tr w:rsidR="00697E0F" w:rsidRPr="00A82751" w:rsidTr="001A173D">
        <w:trPr>
          <w:trHeight w:val="909"/>
        </w:trPr>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r w:rsidRPr="00A82751">
              <w:rPr>
                <w:color w:val="000000"/>
                <w:sz w:val="18"/>
                <w:szCs w:val="18"/>
                <w:lang w:val="en-US"/>
              </w:rPr>
              <w:t>5.2 Direct effects of nutrient enrichment</w:t>
            </w:r>
          </w:p>
        </w:tc>
        <w:tc>
          <w:tcPr>
            <w:tcW w:w="0" w:type="auto"/>
            <w:shd w:val="solid" w:color="FFFFFF" w:fill="auto"/>
          </w:tcPr>
          <w:p w:rsidR="00697E0F" w:rsidRPr="00A82751" w:rsidRDefault="00697E0F" w:rsidP="00987279">
            <w:pPr>
              <w:spacing w:line="240" w:lineRule="auto"/>
              <w:rPr>
                <w:sz w:val="18"/>
                <w:szCs w:val="18"/>
                <w:lang w:val="mt-MT"/>
              </w:rPr>
            </w:pPr>
            <w:r w:rsidRPr="00A82751">
              <w:rPr>
                <w:sz w:val="18"/>
                <w:szCs w:val="18"/>
                <w:lang w:val="mt-MT"/>
              </w:rPr>
              <w:t>Maximum and mean region-specific chlorophyll a concentrations during the growing season should remain below region-specific elevated levels, defined as concentrations &gt; 50% above the spatial (offshore) and/or historical background concentration;</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r w:rsidRPr="00A82751">
              <w:rPr>
                <w:color w:val="000000"/>
                <w:sz w:val="18"/>
                <w:szCs w:val="18"/>
                <w:lang w:val="en-US"/>
              </w:rPr>
              <w:t>5.2 Direct effects of nutrient over-enrichment are prevented</w:t>
            </w:r>
          </w:p>
        </w:tc>
        <w:tc>
          <w:tcPr>
            <w:tcW w:w="0" w:type="auto"/>
            <w:shd w:val="solid" w:color="FFFFFF" w:fill="auto"/>
          </w:tcPr>
          <w:p w:rsidR="00697E0F" w:rsidRPr="00A82751" w:rsidRDefault="00697E0F" w:rsidP="00987279">
            <w:pPr>
              <w:autoSpaceDE w:val="0"/>
              <w:autoSpaceDN w:val="0"/>
              <w:adjustRightInd w:val="0"/>
              <w:spacing w:line="240" w:lineRule="auto"/>
              <w:rPr>
                <w:b/>
                <w:bCs/>
                <w:color w:val="000000"/>
                <w:sz w:val="18"/>
                <w:szCs w:val="18"/>
                <w:lang w:val="en-US"/>
              </w:rPr>
            </w:pPr>
          </w:p>
        </w:tc>
        <w:tc>
          <w:tcPr>
            <w:tcW w:w="0" w:type="auto"/>
            <w:shd w:val="solid" w:color="FFFFFF" w:fill="auto"/>
          </w:tcPr>
          <w:p w:rsidR="00697E0F" w:rsidRPr="00DB2061" w:rsidRDefault="00D33BDF" w:rsidP="00987279">
            <w:pPr>
              <w:autoSpaceDE w:val="0"/>
              <w:autoSpaceDN w:val="0"/>
              <w:adjustRightInd w:val="0"/>
              <w:spacing w:line="240" w:lineRule="auto"/>
              <w:rPr>
                <w:bCs/>
                <w:color w:val="000000"/>
                <w:sz w:val="18"/>
                <w:szCs w:val="18"/>
                <w:lang w:val="en-US"/>
              </w:rPr>
            </w:pPr>
            <w:r w:rsidRPr="00DB2061">
              <w:rPr>
                <w:bCs/>
                <w:color w:val="000000"/>
                <w:sz w:val="18"/>
                <w:szCs w:val="18"/>
                <w:lang w:val="en-US"/>
              </w:rPr>
              <w:t>Is eutrophication in European surface waters decreasing?</w:t>
            </w:r>
          </w:p>
        </w:tc>
      </w:tr>
      <w:tr w:rsidR="00697E0F" w:rsidRPr="00A82751" w:rsidTr="001A173D">
        <w:trPr>
          <w:trHeight w:val="412"/>
        </w:trPr>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spacing w:line="240" w:lineRule="auto"/>
              <w:rPr>
                <w:sz w:val="18"/>
                <w:szCs w:val="18"/>
                <w:lang w:val="mt-MT"/>
              </w:rPr>
            </w:pPr>
            <w:r w:rsidRPr="00A82751">
              <w:rPr>
                <w:sz w:val="18"/>
                <w:szCs w:val="18"/>
                <w:lang w:val="mt-MT"/>
              </w:rPr>
              <w:t>Region/area-specific phytoplankton eutrophication indicator species should remain below respective nuisance and/or toxic elevated levels (and increased bloom duration);</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r w:rsidRPr="00A82751">
              <w:rPr>
                <w:color w:val="000000"/>
                <w:sz w:val="18"/>
                <w:szCs w:val="18"/>
                <w:lang w:val="en-US"/>
              </w:rPr>
              <w:t>Natural level of algal blooms</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r>
      <w:tr w:rsidR="00697E0F" w:rsidRPr="00A82751" w:rsidTr="001A173D">
        <w:trPr>
          <w:trHeight w:val="412"/>
        </w:trPr>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spacing w:line="240" w:lineRule="auto"/>
              <w:rPr>
                <w:sz w:val="18"/>
                <w:szCs w:val="18"/>
                <w:lang w:val="mt-MT"/>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rPr>
            </w:pPr>
            <w:r w:rsidRPr="00A82751">
              <w:rPr>
                <w:color w:val="000000"/>
                <w:sz w:val="18"/>
                <w:szCs w:val="18"/>
              </w:rPr>
              <w:t>Clear water</w:t>
            </w:r>
          </w:p>
        </w:tc>
        <w:tc>
          <w:tcPr>
            <w:tcW w:w="0" w:type="auto"/>
            <w:gridSpan w:val="2"/>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r>
      <w:tr w:rsidR="00697E0F" w:rsidRPr="00A82751" w:rsidTr="001A173D">
        <w:trPr>
          <w:trHeight w:val="843"/>
        </w:trPr>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r w:rsidRPr="00A82751">
              <w:rPr>
                <w:color w:val="000000"/>
                <w:sz w:val="18"/>
                <w:szCs w:val="18"/>
                <w:lang w:val="en-US"/>
              </w:rPr>
              <w:t>5.3 Indirect effects of nutrient enrichment</w:t>
            </w:r>
          </w:p>
        </w:tc>
        <w:tc>
          <w:tcPr>
            <w:tcW w:w="0" w:type="auto"/>
            <w:shd w:val="solid" w:color="FFFFFF" w:fill="auto"/>
          </w:tcPr>
          <w:p w:rsidR="00697E0F" w:rsidRPr="00A82751" w:rsidRDefault="00697E0F" w:rsidP="00987279">
            <w:pPr>
              <w:spacing w:line="240" w:lineRule="auto"/>
              <w:rPr>
                <w:sz w:val="18"/>
                <w:szCs w:val="18"/>
                <w:lang w:val="mt-MT"/>
              </w:rPr>
            </w:pPr>
            <w:r w:rsidRPr="00A82751">
              <w:rPr>
                <w:sz w:val="18"/>
                <w:szCs w:val="18"/>
                <w:lang w:val="mt-MT"/>
              </w:rPr>
              <w:t>Oxygen concentration, decreased as an indirect effect of nutrient enrichment, should remain above regionspecific oxygen deficiency levels, ranging from 4-6 mg oxygen per litre;</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r w:rsidRPr="00A82751">
              <w:rPr>
                <w:color w:val="000000"/>
                <w:sz w:val="18"/>
                <w:szCs w:val="18"/>
              </w:rPr>
              <w:t>Natural oxygen levels</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r>
      <w:tr w:rsidR="00697E0F" w:rsidRPr="00A82751" w:rsidTr="001A173D">
        <w:trPr>
          <w:trHeight w:val="312"/>
        </w:trPr>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spacing w:line="240" w:lineRule="auto"/>
              <w:rPr>
                <w:sz w:val="18"/>
                <w:szCs w:val="18"/>
                <w:lang w:val="mt-MT"/>
              </w:rPr>
            </w:pPr>
            <w:r w:rsidRPr="00A82751">
              <w:rPr>
                <w:sz w:val="18"/>
                <w:szCs w:val="18"/>
                <w:lang w:val="mt-MT"/>
              </w:rPr>
              <w:t>There should be no kills in benthic animal species as a result of oxygen deficiency and/or nuisance/toxic phytoplankton indicator species for eutrophication.</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r w:rsidRPr="00A82751">
              <w:rPr>
                <w:color w:val="000000"/>
                <w:sz w:val="18"/>
                <w:szCs w:val="18"/>
                <w:lang w:val="en-US"/>
              </w:rPr>
              <w:t>Natural distribution and occurrence of plants and animals</w:t>
            </w: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c>
          <w:tcPr>
            <w:tcW w:w="0" w:type="auto"/>
            <w:shd w:val="solid" w:color="FFFFFF" w:fill="auto"/>
          </w:tcPr>
          <w:p w:rsidR="00697E0F" w:rsidRPr="00A82751" w:rsidRDefault="00697E0F" w:rsidP="00987279">
            <w:pPr>
              <w:autoSpaceDE w:val="0"/>
              <w:autoSpaceDN w:val="0"/>
              <w:adjustRightInd w:val="0"/>
              <w:spacing w:line="240" w:lineRule="auto"/>
              <w:rPr>
                <w:color w:val="000000"/>
                <w:sz w:val="18"/>
                <w:szCs w:val="18"/>
                <w:lang w:val="en-US"/>
              </w:rPr>
            </w:pPr>
          </w:p>
        </w:tc>
      </w:tr>
    </w:tbl>
    <w:p w:rsidR="00A82751" w:rsidRPr="00F2534A" w:rsidRDefault="00A82751" w:rsidP="00987279">
      <w:pPr>
        <w:pStyle w:val="ListParagraph"/>
        <w:spacing w:line="240" w:lineRule="auto"/>
        <w:ind w:left="502"/>
        <w:rPr>
          <w:b/>
          <w:szCs w:val="21"/>
        </w:rPr>
      </w:pPr>
    </w:p>
    <w:p w:rsidR="00A82751" w:rsidRPr="006F2D89" w:rsidRDefault="00A82751" w:rsidP="006F2D89">
      <w:pPr>
        <w:pStyle w:val="ListParagraph"/>
        <w:spacing w:line="240" w:lineRule="auto"/>
        <w:ind w:left="0"/>
        <w:rPr>
          <w:b/>
          <w:bCs/>
          <w:color w:val="000000"/>
          <w:sz w:val="16"/>
          <w:szCs w:val="16"/>
          <w:lang w:val="en-US"/>
        </w:rPr>
      </w:pPr>
      <w:r w:rsidRPr="006F2D89">
        <w:rPr>
          <w:b/>
          <w:bCs/>
          <w:color w:val="000000"/>
          <w:sz w:val="16"/>
          <w:szCs w:val="16"/>
          <w:vertAlign w:val="superscript"/>
          <w:lang w:val="en-US"/>
        </w:rPr>
        <w:t>1</w:t>
      </w:r>
      <w:r w:rsidRPr="006F2D89">
        <w:rPr>
          <w:sz w:val="16"/>
          <w:szCs w:val="16"/>
          <w:lang w:val="en-US"/>
        </w:rPr>
        <w:t xml:space="preserve">Commission Decision </w:t>
      </w:r>
      <w:r w:rsidRPr="006F2D89">
        <w:rPr>
          <w:bCs/>
          <w:color w:val="000000"/>
          <w:sz w:val="16"/>
          <w:szCs w:val="16"/>
          <w:lang w:val="en-US"/>
        </w:rPr>
        <w:t>2010/477/EU</w:t>
      </w:r>
    </w:p>
    <w:p w:rsidR="00A82751" w:rsidRPr="006F2D89" w:rsidRDefault="00A82751" w:rsidP="006F2D89">
      <w:pPr>
        <w:pStyle w:val="ListParagraph"/>
        <w:spacing w:line="240" w:lineRule="auto"/>
        <w:ind w:left="0"/>
        <w:rPr>
          <w:sz w:val="16"/>
          <w:szCs w:val="16"/>
          <w:lang w:val="en-US"/>
        </w:rPr>
      </w:pPr>
      <w:r w:rsidRPr="006F2D89">
        <w:rPr>
          <w:sz w:val="16"/>
          <w:szCs w:val="16"/>
          <w:vertAlign w:val="superscript"/>
          <w:lang w:val="mt-MT"/>
        </w:rPr>
        <w:t>2</w:t>
      </w:r>
      <w:r w:rsidR="004842C6">
        <w:rPr>
          <w:sz w:val="16"/>
          <w:szCs w:val="16"/>
          <w:lang w:val="mt-MT"/>
        </w:rPr>
        <w:t>OSPAR, 2009a</w:t>
      </w:r>
    </w:p>
    <w:p w:rsidR="00A82751" w:rsidRPr="006F2D89" w:rsidRDefault="00A82751" w:rsidP="006F2D89">
      <w:pPr>
        <w:pStyle w:val="ListParagraph"/>
        <w:spacing w:line="240" w:lineRule="auto"/>
        <w:ind w:left="0"/>
        <w:rPr>
          <w:sz w:val="16"/>
          <w:szCs w:val="16"/>
          <w:lang w:val="en-US"/>
        </w:rPr>
      </w:pPr>
      <w:r w:rsidRPr="006F2D89">
        <w:rPr>
          <w:sz w:val="16"/>
          <w:szCs w:val="16"/>
          <w:vertAlign w:val="superscript"/>
          <w:lang w:val="en-US"/>
        </w:rPr>
        <w:t>3</w:t>
      </w:r>
      <w:r w:rsidRPr="006F2D89">
        <w:rPr>
          <w:sz w:val="16"/>
          <w:szCs w:val="16"/>
          <w:lang w:val="en-US"/>
        </w:rPr>
        <w:t>HELCOM, 2007</w:t>
      </w:r>
    </w:p>
    <w:p w:rsidR="00A82751" w:rsidRPr="006F2D89" w:rsidRDefault="00A82751" w:rsidP="006F2D89">
      <w:pPr>
        <w:framePr w:hSpace="180" w:wrap="around" w:vAnchor="page" w:hAnchor="margin" w:y="1531"/>
        <w:autoSpaceDE w:val="0"/>
        <w:autoSpaceDN w:val="0"/>
        <w:adjustRightInd w:val="0"/>
        <w:spacing w:line="240" w:lineRule="auto"/>
        <w:rPr>
          <w:b/>
          <w:bCs/>
          <w:color w:val="000000"/>
          <w:sz w:val="16"/>
          <w:szCs w:val="16"/>
          <w:lang w:val="en-US"/>
        </w:rPr>
      </w:pPr>
    </w:p>
    <w:p w:rsidR="00A82751" w:rsidRPr="006F2D89" w:rsidRDefault="00A82751" w:rsidP="006F2D89">
      <w:pPr>
        <w:pStyle w:val="ListParagraph"/>
        <w:spacing w:line="240" w:lineRule="auto"/>
        <w:ind w:left="0"/>
        <w:rPr>
          <w:sz w:val="16"/>
          <w:szCs w:val="16"/>
          <w:lang w:val="en-US"/>
        </w:rPr>
      </w:pPr>
      <w:r w:rsidRPr="006F2D89">
        <w:rPr>
          <w:bCs/>
          <w:color w:val="000000"/>
          <w:sz w:val="16"/>
          <w:szCs w:val="16"/>
          <w:vertAlign w:val="superscript"/>
          <w:lang w:val="en-US"/>
        </w:rPr>
        <w:t>4</w:t>
      </w:r>
      <w:r w:rsidRPr="006F2D89">
        <w:rPr>
          <w:bCs/>
          <w:color w:val="000000"/>
          <w:sz w:val="16"/>
          <w:szCs w:val="16"/>
          <w:lang w:val="en-US"/>
        </w:rPr>
        <w:t>UNEP/MAP, 2014a</w:t>
      </w:r>
    </w:p>
    <w:p w:rsidR="00A82751" w:rsidRDefault="00A82751" w:rsidP="006F2D89">
      <w:pPr>
        <w:pStyle w:val="ListParagraph"/>
        <w:spacing w:line="240" w:lineRule="auto"/>
        <w:ind w:left="0"/>
        <w:rPr>
          <w:sz w:val="16"/>
          <w:szCs w:val="16"/>
          <w:lang w:val="en-US"/>
        </w:rPr>
      </w:pPr>
      <w:r w:rsidRPr="006F2D89">
        <w:rPr>
          <w:sz w:val="16"/>
          <w:szCs w:val="16"/>
          <w:vertAlign w:val="superscript"/>
          <w:lang w:val="en-US"/>
        </w:rPr>
        <w:t>5</w:t>
      </w:r>
      <w:r w:rsidRPr="006F2D89">
        <w:rPr>
          <w:sz w:val="16"/>
          <w:szCs w:val="16"/>
          <w:lang w:val="en-US"/>
        </w:rPr>
        <w:t>BSSAP, 2009</w:t>
      </w:r>
    </w:p>
    <w:p w:rsidR="00D33BDF" w:rsidRPr="00A82751" w:rsidRDefault="00D33BDF" w:rsidP="00D33BDF">
      <w:pPr>
        <w:spacing w:line="240" w:lineRule="auto"/>
        <w:rPr>
          <w:sz w:val="16"/>
          <w:szCs w:val="16"/>
        </w:rPr>
      </w:pPr>
      <w:r w:rsidRPr="00A82751">
        <w:rPr>
          <w:sz w:val="16"/>
          <w:szCs w:val="16"/>
        </w:rPr>
        <w:t>http://www.eea.europa.eu/data-and-maps/indicators/</w:t>
      </w:r>
    </w:p>
    <w:p w:rsidR="00D33BDF" w:rsidRPr="00D33BDF" w:rsidRDefault="00D33BDF" w:rsidP="006F2D89">
      <w:pPr>
        <w:pStyle w:val="ListParagraph"/>
        <w:spacing w:line="240" w:lineRule="auto"/>
        <w:ind w:left="0"/>
        <w:rPr>
          <w:sz w:val="16"/>
          <w:szCs w:val="16"/>
        </w:rPr>
      </w:pPr>
    </w:p>
    <w:p w:rsidR="00A82751" w:rsidRPr="00F2534A" w:rsidRDefault="00A82751" w:rsidP="00987279">
      <w:pPr>
        <w:pStyle w:val="ListParagraph"/>
        <w:spacing w:line="240" w:lineRule="auto"/>
        <w:ind w:left="502"/>
        <w:rPr>
          <w:szCs w:val="21"/>
          <w:lang w:val="en-US"/>
        </w:rPr>
      </w:pPr>
    </w:p>
    <w:p w:rsidR="00A82751" w:rsidRDefault="00A82751" w:rsidP="00987279">
      <w:pPr>
        <w:spacing w:line="240" w:lineRule="auto"/>
        <w:jc w:val="left"/>
        <w:rPr>
          <w:szCs w:val="21"/>
          <w:vertAlign w:val="superscript"/>
          <w:lang w:val="en-US"/>
        </w:rPr>
      </w:pPr>
      <w:r>
        <w:rPr>
          <w:szCs w:val="21"/>
          <w:vertAlign w:val="superscript"/>
          <w:lang w:val="en-US"/>
        </w:rPr>
        <w:br w:type="page"/>
      </w:r>
    </w:p>
    <w:p w:rsidR="006F2D89" w:rsidRPr="006F2D89" w:rsidRDefault="006F2D89" w:rsidP="004F7BA0">
      <w:pPr>
        <w:pStyle w:val="Caption"/>
        <w:rPr>
          <w:lang w:val="en-US"/>
        </w:rPr>
      </w:pPr>
      <w:r>
        <w:lastRenderedPageBreak/>
        <w:t xml:space="preserve">Table </w:t>
      </w:r>
      <w:r w:rsidR="008135ED">
        <w:fldChar w:fldCharType="begin"/>
      </w:r>
      <w:r w:rsidR="004B48B8">
        <w:instrText xml:space="preserve"> STYLEREF 1 \s </w:instrText>
      </w:r>
      <w:r w:rsidR="008135ED">
        <w:fldChar w:fldCharType="separate"/>
      </w:r>
      <w:r w:rsidR="003461A2">
        <w:rPr>
          <w:noProof/>
        </w:rPr>
        <w:t>2</w:t>
      </w:r>
      <w:r w:rsidR="008135ED">
        <w:fldChar w:fldCharType="end"/>
      </w:r>
      <w:r w:rsidR="004B48B8">
        <w:t>.</w:t>
      </w:r>
      <w:r w:rsidR="008135ED">
        <w:fldChar w:fldCharType="begin"/>
      </w:r>
      <w:r w:rsidR="004B48B8">
        <w:instrText xml:space="preserve"> SEQ Table \* ARABIC \s 1 </w:instrText>
      </w:r>
      <w:r w:rsidR="008135ED">
        <w:fldChar w:fldCharType="separate"/>
      </w:r>
      <w:r w:rsidR="003461A2">
        <w:rPr>
          <w:noProof/>
        </w:rPr>
        <w:t>2</w:t>
      </w:r>
      <w:r w:rsidR="008135ED">
        <w:fldChar w:fldCharType="end"/>
      </w:r>
      <w:r>
        <w:tab/>
      </w:r>
      <w:r w:rsidR="00A82751" w:rsidRPr="00F2534A">
        <w:rPr>
          <w:lang w:val="en-US"/>
        </w:rPr>
        <w:t>Eutrophication indicators set by the MSFD, the RCSs and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5"/>
        <w:gridCol w:w="1944"/>
        <w:gridCol w:w="2229"/>
        <w:gridCol w:w="1837"/>
        <w:gridCol w:w="2122"/>
        <w:gridCol w:w="1816"/>
        <w:gridCol w:w="1799"/>
      </w:tblGrid>
      <w:tr w:rsidR="00FC64E6" w:rsidRPr="00A82751" w:rsidTr="00075442">
        <w:trPr>
          <w:trHeight w:val="427"/>
        </w:trPr>
        <w:tc>
          <w:tcPr>
            <w:tcW w:w="2115"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rPr>
              <w:t>Μ</w:t>
            </w:r>
            <w:r w:rsidRPr="00A82751">
              <w:rPr>
                <w:b/>
                <w:bCs/>
                <w:color w:val="000000"/>
                <w:sz w:val="16"/>
                <w:szCs w:val="16"/>
                <w:lang w:val="en-US"/>
              </w:rPr>
              <w:t>SFD</w:t>
            </w:r>
          </w:p>
        </w:tc>
        <w:tc>
          <w:tcPr>
            <w:tcW w:w="1944"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color w:val="000000"/>
                <w:sz w:val="16"/>
                <w:szCs w:val="16"/>
                <w:lang w:val="en-US"/>
              </w:rPr>
            </w:pPr>
            <w:r w:rsidRPr="00A82751">
              <w:rPr>
                <w:b/>
                <w:bCs/>
                <w:color w:val="000000"/>
                <w:sz w:val="16"/>
                <w:szCs w:val="16"/>
                <w:lang w:val="en-US"/>
              </w:rPr>
              <w:t>OSPAR</w:t>
            </w:r>
          </w:p>
        </w:tc>
        <w:tc>
          <w:tcPr>
            <w:tcW w:w="4066" w:type="dxa"/>
            <w:gridSpan w:val="2"/>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HELCOM</w:t>
            </w:r>
          </w:p>
        </w:tc>
        <w:tc>
          <w:tcPr>
            <w:tcW w:w="2122"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UNEP/MAP</w:t>
            </w:r>
          </w:p>
        </w:tc>
        <w:tc>
          <w:tcPr>
            <w:tcW w:w="1816"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BSC</w:t>
            </w:r>
          </w:p>
        </w:tc>
        <w:tc>
          <w:tcPr>
            <w:tcW w:w="1799"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 xml:space="preserve">EEA </w:t>
            </w:r>
          </w:p>
        </w:tc>
      </w:tr>
      <w:tr w:rsidR="00FC64E6" w:rsidRPr="00A82751" w:rsidTr="00FC64E6">
        <w:trPr>
          <w:trHeight w:val="553"/>
        </w:trPr>
        <w:tc>
          <w:tcPr>
            <w:tcW w:w="2115"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Indicators</w:t>
            </w:r>
            <w:r w:rsidRPr="00A82751">
              <w:rPr>
                <w:b/>
                <w:bCs/>
                <w:color w:val="000000"/>
                <w:sz w:val="16"/>
                <w:szCs w:val="16"/>
                <w:vertAlign w:val="superscript"/>
                <w:lang w:val="en-US"/>
              </w:rPr>
              <w:t>1</w:t>
            </w:r>
          </w:p>
        </w:tc>
        <w:tc>
          <w:tcPr>
            <w:tcW w:w="1944"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vertAlign w:val="superscript"/>
                <w:lang w:val="en-US"/>
              </w:rPr>
            </w:pPr>
            <w:r w:rsidRPr="00A82751">
              <w:rPr>
                <w:b/>
                <w:bCs/>
                <w:color w:val="000000"/>
                <w:sz w:val="16"/>
                <w:szCs w:val="16"/>
                <w:lang w:val="en-US"/>
              </w:rPr>
              <w:t>Common indicarors</w:t>
            </w:r>
            <w:r w:rsidRPr="00A82751">
              <w:rPr>
                <w:b/>
                <w:bCs/>
                <w:color w:val="000000"/>
                <w:sz w:val="16"/>
                <w:szCs w:val="16"/>
                <w:vertAlign w:val="superscript"/>
                <w:lang w:val="en-US"/>
              </w:rPr>
              <w:t>2</w:t>
            </w:r>
          </w:p>
        </w:tc>
        <w:tc>
          <w:tcPr>
            <w:tcW w:w="2229"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Core indicators</w:t>
            </w:r>
            <w:r w:rsidRPr="00A82751">
              <w:rPr>
                <w:b/>
                <w:bCs/>
                <w:color w:val="000000"/>
                <w:sz w:val="16"/>
                <w:szCs w:val="16"/>
                <w:vertAlign w:val="superscript"/>
                <w:lang w:val="en-US"/>
              </w:rPr>
              <w:t>3</w:t>
            </w:r>
          </w:p>
        </w:tc>
        <w:tc>
          <w:tcPr>
            <w:tcW w:w="1837"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Pr>
                <w:b/>
                <w:bCs/>
                <w:color w:val="000000"/>
                <w:sz w:val="16"/>
                <w:szCs w:val="16"/>
                <w:lang w:val="en-US"/>
              </w:rPr>
              <w:t>Pre-core indicators</w:t>
            </w:r>
            <w:r w:rsidRPr="00FC64E6">
              <w:rPr>
                <w:b/>
                <w:bCs/>
                <w:color w:val="000000"/>
                <w:sz w:val="16"/>
                <w:szCs w:val="16"/>
                <w:vertAlign w:val="superscript"/>
                <w:lang w:val="en-US"/>
              </w:rPr>
              <w:t>3</w:t>
            </w:r>
          </w:p>
        </w:tc>
        <w:tc>
          <w:tcPr>
            <w:tcW w:w="2122"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Proposed common indicators</w:t>
            </w:r>
            <w:r w:rsidRPr="00A82751">
              <w:rPr>
                <w:b/>
                <w:bCs/>
                <w:color w:val="000000"/>
                <w:sz w:val="16"/>
                <w:szCs w:val="16"/>
                <w:vertAlign w:val="superscript"/>
                <w:lang w:val="en-US"/>
              </w:rPr>
              <w:t>4</w:t>
            </w:r>
          </w:p>
        </w:tc>
        <w:tc>
          <w:tcPr>
            <w:tcW w:w="1816"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bookmarkStart w:id="46" w:name="OLE_LINK1"/>
            <w:r w:rsidRPr="00A82751">
              <w:rPr>
                <w:b/>
                <w:bCs/>
                <w:color w:val="000000"/>
                <w:sz w:val="16"/>
                <w:szCs w:val="16"/>
                <w:lang w:val="en-US"/>
              </w:rPr>
              <w:t xml:space="preserve">Indicators in Diagnostic Report, 2010 </w:t>
            </w:r>
            <w:r w:rsidRPr="00A82751">
              <w:rPr>
                <w:b/>
                <w:bCs/>
                <w:color w:val="000000"/>
                <w:sz w:val="16"/>
                <w:szCs w:val="16"/>
                <w:vertAlign w:val="superscript"/>
                <w:lang w:val="en-US"/>
              </w:rPr>
              <w:t>5</w:t>
            </w:r>
            <w:bookmarkEnd w:id="46"/>
          </w:p>
        </w:tc>
        <w:tc>
          <w:tcPr>
            <w:tcW w:w="1799" w:type="dxa"/>
            <w:shd w:val="clear" w:color="auto" w:fill="D9D9D9" w:themeFill="background1" w:themeFillShade="D9"/>
          </w:tcPr>
          <w:p w:rsidR="00FC64E6" w:rsidRPr="00A82751" w:rsidRDefault="00FC64E6" w:rsidP="00987279">
            <w:pPr>
              <w:autoSpaceDE w:val="0"/>
              <w:autoSpaceDN w:val="0"/>
              <w:adjustRightInd w:val="0"/>
              <w:spacing w:line="240" w:lineRule="auto"/>
              <w:jc w:val="center"/>
              <w:rPr>
                <w:b/>
                <w:bCs/>
                <w:color w:val="000000"/>
                <w:sz w:val="16"/>
                <w:szCs w:val="16"/>
                <w:lang w:val="en-US"/>
              </w:rPr>
            </w:pPr>
            <w:r w:rsidRPr="00A82751">
              <w:rPr>
                <w:b/>
                <w:bCs/>
                <w:color w:val="000000"/>
                <w:sz w:val="16"/>
                <w:szCs w:val="16"/>
                <w:lang w:val="en-US"/>
              </w:rPr>
              <w:t>Indicators</w:t>
            </w:r>
            <w:r w:rsidRPr="00A82751">
              <w:rPr>
                <w:b/>
                <w:bCs/>
                <w:color w:val="000000"/>
                <w:sz w:val="16"/>
                <w:szCs w:val="16"/>
                <w:vertAlign w:val="superscript"/>
                <w:lang w:val="en-US"/>
              </w:rPr>
              <w:t>6</w:t>
            </w:r>
          </w:p>
        </w:tc>
      </w:tr>
      <w:tr w:rsidR="00FC64E6" w:rsidRPr="00A82751" w:rsidTr="00FC64E6">
        <w:trPr>
          <w:trHeight w:val="548"/>
        </w:trPr>
        <w:tc>
          <w:tcPr>
            <w:tcW w:w="2115" w:type="dxa"/>
            <w:vMerge w:val="restart"/>
            <w:shd w:val="solid" w:color="FFFFFF" w:fill="auto"/>
          </w:tcPr>
          <w:p w:rsidR="00FC64E6" w:rsidRPr="00A82751" w:rsidRDefault="00FC64E6" w:rsidP="00987279">
            <w:pPr>
              <w:autoSpaceDE w:val="0"/>
              <w:autoSpaceDN w:val="0"/>
              <w:adjustRightInd w:val="0"/>
              <w:spacing w:line="240" w:lineRule="auto"/>
              <w:jc w:val="center"/>
              <w:rPr>
                <w:b/>
                <w:bCs/>
                <w:color w:val="000000"/>
                <w:sz w:val="16"/>
                <w:szCs w:val="16"/>
                <w:lang w:val="en-US"/>
              </w:rPr>
            </w:pP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Waterborne nutrient inputs</w:t>
            </w:r>
          </w:p>
        </w:tc>
        <w:tc>
          <w:tcPr>
            <w:tcW w:w="2229" w:type="dxa"/>
            <w:vMerge w:val="restart"/>
            <w:shd w:val="solid" w:color="FFFFFF" w:fill="auto"/>
          </w:tcPr>
          <w:p w:rsidR="00FC64E6" w:rsidRPr="00A82751" w:rsidRDefault="00FC64E6" w:rsidP="00987279">
            <w:pPr>
              <w:autoSpaceDE w:val="0"/>
              <w:autoSpaceDN w:val="0"/>
              <w:adjustRightInd w:val="0"/>
              <w:spacing w:line="240" w:lineRule="auto"/>
              <w:rPr>
                <w:bCs/>
                <w:i/>
                <w:color w:val="000000"/>
                <w:sz w:val="16"/>
                <w:szCs w:val="16"/>
              </w:rPr>
            </w:pPr>
          </w:p>
        </w:tc>
        <w:tc>
          <w:tcPr>
            <w:tcW w:w="1837" w:type="dxa"/>
            <w:vMerge w:val="restart"/>
            <w:shd w:val="solid" w:color="FFFFFF" w:fill="auto"/>
          </w:tcPr>
          <w:p w:rsidR="00FC64E6" w:rsidRPr="00964119" w:rsidRDefault="00FC64E6" w:rsidP="00987279">
            <w:pPr>
              <w:autoSpaceDE w:val="0"/>
              <w:autoSpaceDN w:val="0"/>
              <w:adjustRightInd w:val="0"/>
              <w:spacing w:line="240" w:lineRule="auto"/>
              <w:jc w:val="center"/>
              <w:rPr>
                <w:b/>
                <w:bCs/>
                <w:color w:val="000000"/>
                <w:sz w:val="16"/>
                <w:szCs w:val="16"/>
              </w:rPr>
            </w:pPr>
            <w:r w:rsidRPr="00964119">
              <w:rPr>
                <w:bCs/>
                <w:color w:val="000000"/>
                <w:sz w:val="16"/>
                <w:szCs w:val="16"/>
              </w:rPr>
              <w:t>Core indicators of nutrient inputs under development</w:t>
            </w:r>
          </w:p>
        </w:tc>
        <w:tc>
          <w:tcPr>
            <w:tcW w:w="2122" w:type="dxa"/>
            <w:vMerge w:val="restart"/>
            <w:shd w:val="solid" w:color="FFFFFF" w:fill="auto"/>
          </w:tcPr>
          <w:p w:rsidR="00FC64E6" w:rsidRPr="00A82751" w:rsidRDefault="00FC64E6" w:rsidP="00987279">
            <w:pPr>
              <w:autoSpaceDE w:val="0"/>
              <w:autoSpaceDN w:val="0"/>
              <w:adjustRightInd w:val="0"/>
              <w:spacing w:line="240" w:lineRule="auto"/>
              <w:jc w:val="center"/>
              <w:rPr>
                <w:b/>
                <w:bCs/>
                <w:color w:val="000000"/>
                <w:sz w:val="16"/>
                <w:szCs w:val="16"/>
              </w:rPr>
            </w:pPr>
          </w:p>
        </w:tc>
        <w:tc>
          <w:tcPr>
            <w:tcW w:w="1816" w:type="dxa"/>
            <w:vMerge w:val="restart"/>
            <w:shd w:val="solid" w:color="FFFFFF" w:fill="auto"/>
          </w:tcPr>
          <w:p w:rsidR="00FC64E6" w:rsidRPr="00A82751" w:rsidRDefault="00FC64E6" w:rsidP="00987279">
            <w:pPr>
              <w:autoSpaceDE w:val="0"/>
              <w:autoSpaceDN w:val="0"/>
              <w:adjustRightInd w:val="0"/>
              <w:spacing w:line="240" w:lineRule="auto"/>
              <w:rPr>
                <w:b/>
                <w:bCs/>
                <w:sz w:val="16"/>
                <w:szCs w:val="16"/>
                <w:lang w:val="en-US"/>
              </w:rPr>
            </w:pPr>
            <w:r w:rsidRPr="00A82751">
              <w:rPr>
                <w:bCs/>
                <w:sz w:val="16"/>
                <w:szCs w:val="16"/>
                <w:lang w:val="en-US"/>
              </w:rPr>
              <w:t>Inputs of nutrients from direct (point) sources</w:t>
            </w:r>
          </w:p>
        </w:tc>
        <w:tc>
          <w:tcPr>
            <w:tcW w:w="1799" w:type="dxa"/>
            <w:vMerge w:val="restart"/>
            <w:shd w:val="solid" w:color="FFFFFF" w:fill="auto"/>
          </w:tcPr>
          <w:p w:rsidR="00FC64E6" w:rsidRPr="00A82751" w:rsidRDefault="00FC64E6" w:rsidP="00987279">
            <w:pPr>
              <w:autoSpaceDE w:val="0"/>
              <w:autoSpaceDN w:val="0"/>
              <w:adjustRightInd w:val="0"/>
              <w:spacing w:line="240" w:lineRule="auto"/>
              <w:jc w:val="right"/>
              <w:rPr>
                <w:b/>
                <w:bCs/>
                <w:color w:val="000000"/>
                <w:sz w:val="16"/>
                <w:szCs w:val="16"/>
                <w:lang w:val="en-US"/>
              </w:rPr>
            </w:pPr>
          </w:p>
        </w:tc>
      </w:tr>
      <w:tr w:rsidR="00FC64E6" w:rsidRPr="00A82751" w:rsidTr="00FC64E6">
        <w:trPr>
          <w:trHeight w:val="413"/>
        </w:trPr>
        <w:tc>
          <w:tcPr>
            <w:tcW w:w="2115" w:type="dxa"/>
            <w:vMerge/>
            <w:shd w:val="solid" w:color="FFFFFF" w:fill="auto"/>
          </w:tcPr>
          <w:p w:rsidR="00FC64E6" w:rsidRPr="00A82751" w:rsidRDefault="00FC64E6" w:rsidP="00987279">
            <w:pPr>
              <w:autoSpaceDE w:val="0"/>
              <w:autoSpaceDN w:val="0"/>
              <w:adjustRightInd w:val="0"/>
              <w:spacing w:line="240" w:lineRule="auto"/>
              <w:jc w:val="center"/>
              <w:rPr>
                <w:b/>
                <w:bCs/>
                <w:color w:val="000000"/>
                <w:sz w:val="16"/>
                <w:szCs w:val="16"/>
                <w:lang w:val="en-US"/>
              </w:rPr>
            </w:pP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bookmarkStart w:id="47" w:name="OLE_LINK2"/>
            <w:r w:rsidRPr="00A82751">
              <w:rPr>
                <w:color w:val="000000"/>
                <w:sz w:val="16"/>
                <w:szCs w:val="16"/>
              </w:rPr>
              <w:t>Atmospheric nutrient inputs</w:t>
            </w:r>
            <w:bookmarkEnd w:id="47"/>
          </w:p>
        </w:tc>
        <w:tc>
          <w:tcPr>
            <w:tcW w:w="2229" w:type="dxa"/>
            <w:vMerge/>
            <w:shd w:val="solid" w:color="FFFFFF" w:fill="auto"/>
          </w:tcPr>
          <w:p w:rsidR="00FC64E6" w:rsidRPr="00A82751" w:rsidRDefault="00FC64E6" w:rsidP="00987279">
            <w:pPr>
              <w:autoSpaceDE w:val="0"/>
              <w:autoSpaceDN w:val="0"/>
              <w:adjustRightInd w:val="0"/>
              <w:spacing w:line="240" w:lineRule="auto"/>
              <w:rPr>
                <w:b/>
                <w:bCs/>
                <w:color w:val="000000"/>
                <w:sz w:val="16"/>
                <w:szCs w:val="16"/>
              </w:rPr>
            </w:pPr>
          </w:p>
        </w:tc>
        <w:tc>
          <w:tcPr>
            <w:tcW w:w="1837" w:type="dxa"/>
            <w:vMerge/>
            <w:shd w:val="solid" w:color="FFFFFF" w:fill="auto"/>
          </w:tcPr>
          <w:p w:rsidR="00FC64E6" w:rsidRPr="00A82751" w:rsidRDefault="00FC64E6" w:rsidP="00987279">
            <w:pPr>
              <w:autoSpaceDE w:val="0"/>
              <w:autoSpaceDN w:val="0"/>
              <w:adjustRightInd w:val="0"/>
              <w:spacing w:line="240" w:lineRule="auto"/>
              <w:jc w:val="center"/>
              <w:rPr>
                <w:b/>
                <w:bCs/>
                <w:color w:val="000000"/>
                <w:sz w:val="16"/>
                <w:szCs w:val="16"/>
              </w:rPr>
            </w:pPr>
          </w:p>
        </w:tc>
        <w:tc>
          <w:tcPr>
            <w:tcW w:w="2122" w:type="dxa"/>
            <w:vMerge/>
            <w:shd w:val="solid" w:color="FFFFFF" w:fill="auto"/>
          </w:tcPr>
          <w:p w:rsidR="00FC64E6" w:rsidRPr="00A82751" w:rsidRDefault="00FC64E6" w:rsidP="00987279">
            <w:pPr>
              <w:autoSpaceDE w:val="0"/>
              <w:autoSpaceDN w:val="0"/>
              <w:adjustRightInd w:val="0"/>
              <w:spacing w:line="240" w:lineRule="auto"/>
              <w:jc w:val="center"/>
              <w:rPr>
                <w:b/>
                <w:bCs/>
                <w:color w:val="000000"/>
                <w:sz w:val="16"/>
                <w:szCs w:val="16"/>
              </w:rPr>
            </w:pPr>
          </w:p>
        </w:tc>
        <w:tc>
          <w:tcPr>
            <w:tcW w:w="1816" w:type="dxa"/>
            <w:vMerge/>
            <w:shd w:val="solid" w:color="FFFFFF" w:fill="auto"/>
          </w:tcPr>
          <w:p w:rsidR="00FC64E6" w:rsidRPr="00A82751" w:rsidRDefault="00FC64E6" w:rsidP="00987279">
            <w:pPr>
              <w:autoSpaceDE w:val="0"/>
              <w:autoSpaceDN w:val="0"/>
              <w:adjustRightInd w:val="0"/>
              <w:spacing w:line="240" w:lineRule="auto"/>
              <w:rPr>
                <w:b/>
                <w:bCs/>
                <w:color w:val="000000"/>
                <w:sz w:val="16"/>
                <w:szCs w:val="16"/>
              </w:rPr>
            </w:pPr>
          </w:p>
        </w:tc>
        <w:tc>
          <w:tcPr>
            <w:tcW w:w="1799" w:type="dxa"/>
            <w:vMerge/>
            <w:shd w:val="solid" w:color="FFFFFF" w:fill="auto"/>
          </w:tcPr>
          <w:p w:rsidR="00FC64E6" w:rsidRPr="00A82751" w:rsidRDefault="00FC64E6" w:rsidP="00987279">
            <w:pPr>
              <w:autoSpaceDE w:val="0"/>
              <w:autoSpaceDN w:val="0"/>
              <w:adjustRightInd w:val="0"/>
              <w:spacing w:line="240" w:lineRule="auto"/>
              <w:jc w:val="right"/>
              <w:rPr>
                <w:b/>
                <w:bCs/>
                <w:color w:val="000000"/>
                <w:sz w:val="16"/>
                <w:szCs w:val="16"/>
              </w:rPr>
            </w:pPr>
          </w:p>
        </w:tc>
      </w:tr>
      <w:tr w:rsidR="00FC64E6" w:rsidRPr="00A82751" w:rsidTr="00FC64E6">
        <w:trPr>
          <w:trHeight w:val="664"/>
        </w:trPr>
        <w:tc>
          <w:tcPr>
            <w:tcW w:w="2115" w:type="dxa"/>
            <w:vMerge w:val="restart"/>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5.1.1 Nutrients concentration in the water column</w:t>
            </w:r>
          </w:p>
        </w:tc>
        <w:tc>
          <w:tcPr>
            <w:tcW w:w="1944" w:type="dxa"/>
            <w:vMerge w:val="restart"/>
            <w:shd w:val="solid" w:color="FFFFFF" w:fill="auto"/>
          </w:tcPr>
          <w:p w:rsidR="00FC64E6" w:rsidRPr="00A82751" w:rsidRDefault="00FC64E6" w:rsidP="00987279">
            <w:pPr>
              <w:autoSpaceDE w:val="0"/>
              <w:autoSpaceDN w:val="0"/>
              <w:adjustRightInd w:val="0"/>
              <w:spacing w:line="240" w:lineRule="auto"/>
              <w:rPr>
                <w:color w:val="000000"/>
                <w:sz w:val="16"/>
                <w:szCs w:val="16"/>
              </w:rPr>
            </w:pPr>
            <w:bookmarkStart w:id="48" w:name="OLE_LINK4"/>
            <w:r w:rsidRPr="00A82751">
              <w:rPr>
                <w:color w:val="000000"/>
                <w:sz w:val="16"/>
                <w:szCs w:val="16"/>
              </w:rPr>
              <w:t>Winter nutrient concentrations</w:t>
            </w:r>
            <w:bookmarkEnd w:id="48"/>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Concentration of dissolved inorganic nitrogen</w:t>
            </w: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122" w:type="dxa"/>
            <w:vMerge w:val="restart"/>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Concentration of key nutrients in the water column</w:t>
            </w: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NO</w:t>
            </w:r>
            <w:r w:rsidRPr="00A82751">
              <w:rPr>
                <w:color w:val="000000"/>
                <w:sz w:val="16"/>
                <w:szCs w:val="16"/>
                <w:vertAlign w:val="subscript"/>
              </w:rPr>
              <w:t>3</w:t>
            </w:r>
            <w:r w:rsidRPr="00A82751">
              <w:rPr>
                <w:color w:val="000000"/>
                <w:sz w:val="16"/>
                <w:szCs w:val="16"/>
              </w:rPr>
              <w:t>+NO</w:t>
            </w:r>
            <w:r w:rsidRPr="00A82751">
              <w:rPr>
                <w:color w:val="000000"/>
                <w:sz w:val="16"/>
                <w:szCs w:val="16"/>
                <w:vertAlign w:val="subscript"/>
              </w:rPr>
              <w:t xml:space="preserve">2 </w:t>
            </w:r>
          </w:p>
        </w:tc>
        <w:tc>
          <w:tcPr>
            <w:tcW w:w="1799" w:type="dxa"/>
            <w:vMerge w:val="restart"/>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CSI021-Nutrients in transitional, coastal and marine waters</w:t>
            </w:r>
          </w:p>
        </w:tc>
      </w:tr>
      <w:tr w:rsidR="00FC64E6" w:rsidRPr="00A82751" w:rsidTr="00FC64E6">
        <w:trPr>
          <w:trHeight w:val="585"/>
        </w:trPr>
        <w:tc>
          <w:tcPr>
            <w:tcW w:w="2115" w:type="dxa"/>
            <w:vMerge/>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944" w:type="dxa"/>
            <w:vMerge/>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Concentration of dissolved inorganic phosphorus</w:t>
            </w: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122" w:type="dxa"/>
            <w:vMerge/>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PO</w:t>
            </w:r>
            <w:r w:rsidRPr="00A82751">
              <w:rPr>
                <w:color w:val="000000"/>
                <w:sz w:val="16"/>
                <w:szCs w:val="16"/>
                <w:vertAlign w:val="subscript"/>
              </w:rPr>
              <w:t xml:space="preserve">4 </w:t>
            </w:r>
          </w:p>
        </w:tc>
        <w:tc>
          <w:tcPr>
            <w:tcW w:w="1799" w:type="dxa"/>
            <w:vMerge/>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r>
      <w:tr w:rsidR="00FC64E6" w:rsidRPr="00A82751" w:rsidTr="00FC64E6">
        <w:trPr>
          <w:trHeight w:val="647"/>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5.1.2 Nutrient ratios (silica, nitrogen and phosphorus), where appropriate</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r>
      <w:tr w:rsidR="00FC64E6" w:rsidRPr="00A82751" w:rsidTr="00FC64E6">
        <w:trPr>
          <w:trHeight w:val="840"/>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5.2.1 Chlorophyll concentration in the water column</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Chlorophyll concentrations</w:t>
            </w: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Concentration of chlorophyll a</w:t>
            </w: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Chlorophyll-a concentration in the water column</w:t>
            </w: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 xml:space="preserve">Chlorophyll-a </w:t>
            </w: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CSI023 -Chlorophyll in transitional, coastal and marine waters</w:t>
            </w:r>
          </w:p>
        </w:tc>
      </w:tr>
      <w:tr w:rsidR="00FC64E6" w:rsidRPr="00A82751" w:rsidTr="00FC64E6">
        <w:trPr>
          <w:trHeight w:val="697"/>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5.2.2 Water transparency related to increase in suspended algae, where relevant</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Water transparency (Secchi depth)</w:t>
            </w: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r>
      <w:tr w:rsidR="00FC64E6" w:rsidRPr="00A82751" w:rsidTr="00FC64E6">
        <w:trPr>
          <w:trHeight w:val="936"/>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5.2.3 Abundance of opportunistic macroalgae</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1816" w:type="dxa"/>
            <w:shd w:val="solid" w:color="FFFFFF" w:fill="auto"/>
          </w:tcPr>
          <w:p w:rsidR="00FC64E6" w:rsidRPr="00A82751" w:rsidRDefault="00FC64E6" w:rsidP="00987279">
            <w:pPr>
              <w:autoSpaceDE w:val="0"/>
              <w:autoSpaceDN w:val="0"/>
              <w:adjustRightInd w:val="0"/>
              <w:spacing w:line="240" w:lineRule="auto"/>
              <w:rPr>
                <w:i/>
                <w:sz w:val="16"/>
                <w:szCs w:val="16"/>
                <w:lang w:val="en-US"/>
              </w:rPr>
            </w:pPr>
            <w:r w:rsidRPr="00A82751">
              <w:rPr>
                <w:i/>
                <w:sz w:val="16"/>
                <w:szCs w:val="16"/>
                <w:lang w:val="en-US"/>
              </w:rPr>
              <w:t>Considered and adopted by the CBD AG (Advisory Group on Conservation of Biodiversity) in 2013</w:t>
            </w:r>
            <w:r w:rsidRPr="00A82751">
              <w:rPr>
                <w:i/>
                <w:sz w:val="16"/>
                <w:szCs w:val="16"/>
                <w:vertAlign w:val="superscript"/>
                <w:lang w:val="en-US"/>
              </w:rPr>
              <w:t>7</w:t>
            </w: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r>
      <w:tr w:rsidR="00FC64E6" w:rsidRPr="00A82751" w:rsidTr="00FC64E6">
        <w:trPr>
          <w:trHeight w:val="1959"/>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lastRenderedPageBreak/>
              <w:t>5.2.4 Species shift in floristic composition such as diatom to flagellate ratio, benthic to pelagic shifts, as well as bloom events of nuisance/toxic algal blooms (e.g. cyanobacteria) caused by human activities</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Species shift/indicator species: Nuisance species Phaeocystis</w:t>
            </w: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16" w:type="dxa"/>
            <w:shd w:val="solid" w:color="FFFFFF" w:fill="auto"/>
          </w:tcPr>
          <w:p w:rsidR="00FC64E6" w:rsidRPr="00A82751" w:rsidRDefault="00FC64E6" w:rsidP="00987279">
            <w:pPr>
              <w:autoSpaceDE w:val="0"/>
              <w:autoSpaceDN w:val="0"/>
              <w:adjustRightInd w:val="0"/>
              <w:spacing w:line="240" w:lineRule="auto"/>
              <w:rPr>
                <w:i/>
                <w:sz w:val="16"/>
                <w:szCs w:val="16"/>
                <w:lang w:val="en-US"/>
              </w:rPr>
            </w:pPr>
            <w:r w:rsidRPr="00A82751">
              <w:rPr>
                <w:i/>
                <w:sz w:val="16"/>
                <w:szCs w:val="16"/>
                <w:lang w:val="en-US"/>
              </w:rPr>
              <w:t>Considered and adopted by the CBD AG (Advisory Group on Conservation of Biodiversity) in 2013</w:t>
            </w:r>
            <w:r w:rsidRPr="00A82751">
              <w:rPr>
                <w:i/>
                <w:sz w:val="16"/>
                <w:szCs w:val="16"/>
                <w:vertAlign w:val="superscript"/>
                <w:lang w:val="en-US"/>
              </w:rPr>
              <w:t>7</w:t>
            </w: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r>
      <w:tr w:rsidR="00FC64E6" w:rsidRPr="00A82751" w:rsidTr="00FC64E6">
        <w:trPr>
          <w:trHeight w:val="2256"/>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5.3.1 Abundance of perennial seaweeds and seagrasses (e.g. fucoids, eelgrass and Neptune grass) adversely impacted by decrease in water transparency</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37" w:type="dxa"/>
            <w:shd w:val="solid" w:color="FFFFFF" w:fill="auto"/>
          </w:tcPr>
          <w:p w:rsidR="00FC64E6" w:rsidRPr="00964119" w:rsidRDefault="00FC64E6" w:rsidP="00987279">
            <w:pPr>
              <w:autoSpaceDE w:val="0"/>
              <w:autoSpaceDN w:val="0"/>
              <w:adjustRightInd w:val="0"/>
              <w:spacing w:line="240" w:lineRule="auto"/>
              <w:rPr>
                <w:color w:val="000000"/>
                <w:sz w:val="16"/>
                <w:szCs w:val="16"/>
                <w:lang w:val="en-US"/>
              </w:rPr>
            </w:pPr>
            <w:r w:rsidRPr="00964119">
              <w:rPr>
                <w:color w:val="000000"/>
                <w:sz w:val="16"/>
                <w:szCs w:val="16"/>
                <w:lang w:val="en-US"/>
              </w:rPr>
              <w:t>Lower depth distribution limit of macrophytes</w:t>
            </w:r>
            <w:r w:rsidRPr="00964119">
              <w:rPr>
                <w:color w:val="000000"/>
                <w:sz w:val="16"/>
                <w:szCs w:val="16"/>
                <w:vertAlign w:val="superscript"/>
                <w:lang w:val="en-US"/>
              </w:rPr>
              <w:t>8</w:t>
            </w: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16" w:type="dxa"/>
            <w:shd w:val="solid" w:color="FFFFFF" w:fill="auto"/>
          </w:tcPr>
          <w:p w:rsidR="00FC64E6" w:rsidRPr="00A82751" w:rsidRDefault="00FC64E6" w:rsidP="00987279">
            <w:pPr>
              <w:autoSpaceDE w:val="0"/>
              <w:autoSpaceDN w:val="0"/>
              <w:adjustRightInd w:val="0"/>
              <w:spacing w:line="240" w:lineRule="auto"/>
              <w:rPr>
                <w:i/>
                <w:sz w:val="16"/>
                <w:szCs w:val="16"/>
                <w:lang w:val="en-US"/>
              </w:rPr>
            </w:pPr>
            <w:r w:rsidRPr="00A82751">
              <w:rPr>
                <w:i/>
                <w:sz w:val="16"/>
                <w:szCs w:val="16"/>
                <w:lang w:val="en-US"/>
              </w:rPr>
              <w:t>Considered and adopted by the CBD AG (Advisory Group on Conservation of Biodiversity) in 2013</w:t>
            </w:r>
            <w:r w:rsidRPr="00A82751">
              <w:rPr>
                <w:i/>
                <w:sz w:val="16"/>
                <w:szCs w:val="16"/>
                <w:vertAlign w:val="superscript"/>
                <w:lang w:val="en-US"/>
              </w:rPr>
              <w:t>7</w:t>
            </w: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r>
      <w:tr w:rsidR="00FC64E6" w:rsidRPr="00A82751" w:rsidTr="00FC64E6">
        <w:trPr>
          <w:trHeight w:val="624"/>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37" w:type="dxa"/>
            <w:shd w:val="solid" w:color="FFFFFF" w:fill="auto"/>
          </w:tcPr>
          <w:p w:rsidR="00FC64E6" w:rsidRPr="00964119" w:rsidRDefault="00FC64E6" w:rsidP="00987279">
            <w:pPr>
              <w:autoSpaceDE w:val="0"/>
              <w:autoSpaceDN w:val="0"/>
              <w:adjustRightInd w:val="0"/>
              <w:spacing w:line="240" w:lineRule="auto"/>
              <w:rPr>
                <w:color w:val="000000"/>
                <w:sz w:val="16"/>
                <w:szCs w:val="16"/>
                <w:lang w:val="en-US"/>
              </w:rPr>
            </w:pPr>
            <w:r w:rsidRPr="00964119">
              <w:rPr>
                <w:color w:val="000000"/>
                <w:sz w:val="16"/>
                <w:szCs w:val="16"/>
                <w:lang w:val="en-US"/>
              </w:rPr>
              <w:t>State of soft-bottom macrozoobenthos</w:t>
            </w:r>
            <w:r w:rsidRPr="00964119">
              <w:rPr>
                <w:color w:val="000000"/>
                <w:sz w:val="16"/>
                <w:szCs w:val="16"/>
                <w:vertAlign w:val="superscript"/>
                <w:lang w:val="en-US"/>
              </w:rPr>
              <w:t>8</w:t>
            </w: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r>
      <w:tr w:rsidR="00FC64E6" w:rsidRPr="00A82751" w:rsidTr="004F7BA0">
        <w:trPr>
          <w:trHeight w:val="930"/>
        </w:trPr>
        <w:tc>
          <w:tcPr>
            <w:tcW w:w="2115"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5.3.2 Dissolved oxygen, i.e. changes due to increased organic matter decomposition and size of the area concerned</w:t>
            </w:r>
          </w:p>
        </w:tc>
        <w:tc>
          <w:tcPr>
            <w:tcW w:w="1944"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Oxygen</w:t>
            </w:r>
          </w:p>
        </w:tc>
        <w:tc>
          <w:tcPr>
            <w:tcW w:w="2229"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r w:rsidRPr="00A82751">
              <w:rPr>
                <w:color w:val="000000"/>
                <w:sz w:val="16"/>
                <w:szCs w:val="16"/>
              </w:rPr>
              <w:t>Oxygen concentration</w:t>
            </w:r>
          </w:p>
        </w:tc>
        <w:tc>
          <w:tcPr>
            <w:tcW w:w="1837"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2122" w:type="dxa"/>
            <w:shd w:val="solid" w:color="FFFFFF" w:fill="auto"/>
          </w:tcPr>
          <w:p w:rsidR="00FC64E6" w:rsidRPr="00A82751" w:rsidRDefault="00FC64E6" w:rsidP="00987279">
            <w:pPr>
              <w:autoSpaceDE w:val="0"/>
              <w:autoSpaceDN w:val="0"/>
              <w:adjustRightInd w:val="0"/>
              <w:spacing w:line="240" w:lineRule="auto"/>
              <w:rPr>
                <w:color w:val="000000"/>
                <w:sz w:val="16"/>
                <w:szCs w:val="16"/>
              </w:rPr>
            </w:pPr>
          </w:p>
        </w:tc>
        <w:tc>
          <w:tcPr>
            <w:tcW w:w="1816"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r w:rsidRPr="00A82751">
              <w:rPr>
                <w:color w:val="000000"/>
                <w:sz w:val="16"/>
                <w:szCs w:val="16"/>
                <w:lang w:val="en-US"/>
              </w:rPr>
              <w:t>Hypoxic situations, expansion of zones of hypoxia</w:t>
            </w:r>
          </w:p>
        </w:tc>
        <w:tc>
          <w:tcPr>
            <w:tcW w:w="1799" w:type="dxa"/>
            <w:shd w:val="solid" w:color="FFFFFF" w:fill="auto"/>
          </w:tcPr>
          <w:p w:rsidR="00FC64E6" w:rsidRPr="00A82751" w:rsidRDefault="00FC64E6" w:rsidP="00987279">
            <w:pPr>
              <w:autoSpaceDE w:val="0"/>
              <w:autoSpaceDN w:val="0"/>
              <w:adjustRightInd w:val="0"/>
              <w:spacing w:line="240" w:lineRule="auto"/>
              <w:rPr>
                <w:color w:val="000000"/>
                <w:sz w:val="16"/>
                <w:szCs w:val="16"/>
                <w:lang w:val="en-US"/>
              </w:rPr>
            </w:pPr>
          </w:p>
        </w:tc>
      </w:tr>
    </w:tbl>
    <w:p w:rsidR="00A82751" w:rsidRPr="00A82751" w:rsidRDefault="00A82751" w:rsidP="00987279">
      <w:pPr>
        <w:spacing w:line="240" w:lineRule="auto"/>
        <w:rPr>
          <w:b/>
          <w:bCs/>
          <w:color w:val="000000"/>
          <w:sz w:val="16"/>
          <w:szCs w:val="16"/>
          <w:lang w:val="fr-FR"/>
        </w:rPr>
      </w:pPr>
      <w:r w:rsidRPr="00A82751">
        <w:rPr>
          <w:b/>
          <w:bCs/>
          <w:color w:val="000000"/>
          <w:sz w:val="16"/>
          <w:szCs w:val="16"/>
          <w:vertAlign w:val="superscript"/>
          <w:lang w:val="fr-FR"/>
        </w:rPr>
        <w:t>1</w:t>
      </w:r>
      <w:r w:rsidRPr="00A82751">
        <w:rPr>
          <w:sz w:val="16"/>
          <w:szCs w:val="16"/>
          <w:lang w:val="fr-FR"/>
        </w:rPr>
        <w:t xml:space="preserve"> Commission Decision</w:t>
      </w:r>
      <w:r w:rsidRPr="00A82751">
        <w:rPr>
          <w:bCs/>
          <w:color w:val="000000"/>
          <w:sz w:val="16"/>
          <w:szCs w:val="16"/>
          <w:lang w:val="fr-FR"/>
        </w:rPr>
        <w:t>2010/477/EU</w:t>
      </w:r>
    </w:p>
    <w:p w:rsidR="00A82751" w:rsidRPr="00A82751" w:rsidRDefault="00A82751" w:rsidP="00987279">
      <w:pPr>
        <w:spacing w:line="240" w:lineRule="auto"/>
        <w:rPr>
          <w:bCs/>
          <w:color w:val="000000"/>
          <w:sz w:val="16"/>
          <w:szCs w:val="16"/>
          <w:lang w:val="en-US"/>
        </w:rPr>
      </w:pPr>
      <w:r w:rsidRPr="00A82751">
        <w:rPr>
          <w:bCs/>
          <w:color w:val="000000"/>
          <w:sz w:val="16"/>
          <w:szCs w:val="16"/>
          <w:vertAlign w:val="superscript"/>
          <w:lang w:val="fr-FR"/>
        </w:rPr>
        <w:t xml:space="preserve">2 </w:t>
      </w:r>
      <w:r w:rsidRPr="00A82751">
        <w:rPr>
          <w:bCs/>
          <w:color w:val="000000"/>
          <w:sz w:val="16"/>
          <w:szCs w:val="16"/>
          <w:lang w:val="fr-FR"/>
        </w:rPr>
        <w:t xml:space="preserve">ANNEX 6 (Ref. </w:t>
      </w:r>
      <w:r w:rsidRPr="00A82751">
        <w:rPr>
          <w:bCs/>
          <w:color w:val="000000"/>
          <w:sz w:val="16"/>
          <w:szCs w:val="16"/>
          <w:lang w:val="en-US"/>
        </w:rPr>
        <w:t>§ 4.18) OSPAR Convention for the Protection of the Marine Environment of the North-East Atlantic Meeting of the Coordination Group (CoG) London (Secretariat): 21-22 November 2013</w:t>
      </w:r>
    </w:p>
    <w:p w:rsidR="00A82751" w:rsidRPr="00A82751" w:rsidRDefault="00A82751" w:rsidP="00987279">
      <w:pPr>
        <w:spacing w:line="240" w:lineRule="auto"/>
        <w:rPr>
          <w:bCs/>
          <w:color w:val="000000"/>
          <w:sz w:val="16"/>
          <w:szCs w:val="16"/>
          <w:lang w:val="en-US"/>
        </w:rPr>
      </w:pPr>
      <w:r w:rsidRPr="00A82751">
        <w:rPr>
          <w:b/>
          <w:bCs/>
          <w:color w:val="000000"/>
          <w:sz w:val="16"/>
          <w:szCs w:val="16"/>
          <w:vertAlign w:val="superscript"/>
          <w:lang w:val="en-US"/>
        </w:rPr>
        <w:t>3</w:t>
      </w:r>
      <w:r w:rsidRPr="00A82751">
        <w:rPr>
          <w:bCs/>
          <w:color w:val="000000"/>
          <w:sz w:val="16"/>
          <w:szCs w:val="16"/>
          <w:lang w:val="en-US"/>
        </w:rPr>
        <w:t>HELCOM ,2013a</w:t>
      </w:r>
    </w:p>
    <w:p w:rsidR="00A82751" w:rsidRPr="00A82751" w:rsidRDefault="00A82751" w:rsidP="00987279">
      <w:pPr>
        <w:spacing w:line="240" w:lineRule="auto"/>
        <w:rPr>
          <w:sz w:val="16"/>
          <w:szCs w:val="16"/>
          <w:vertAlign w:val="superscript"/>
          <w:lang w:val="en-US"/>
        </w:rPr>
      </w:pPr>
      <w:r w:rsidRPr="00A82751">
        <w:rPr>
          <w:b/>
          <w:bCs/>
          <w:color w:val="000000"/>
          <w:sz w:val="16"/>
          <w:szCs w:val="16"/>
          <w:vertAlign w:val="superscript"/>
          <w:lang w:val="en-US"/>
        </w:rPr>
        <w:t>4</w:t>
      </w:r>
      <w:r w:rsidRPr="00A82751">
        <w:rPr>
          <w:sz w:val="16"/>
          <w:szCs w:val="16"/>
          <w:lang w:val="en-US"/>
        </w:rPr>
        <w:t xml:space="preserve"> UNEP/MAP, 2014b</w:t>
      </w:r>
    </w:p>
    <w:p w:rsidR="00A82751" w:rsidRPr="00A82751" w:rsidRDefault="00A82751" w:rsidP="00987279">
      <w:pPr>
        <w:spacing w:line="240" w:lineRule="auto"/>
        <w:rPr>
          <w:sz w:val="16"/>
          <w:szCs w:val="16"/>
        </w:rPr>
      </w:pPr>
      <w:r w:rsidRPr="00A82751">
        <w:rPr>
          <w:sz w:val="16"/>
          <w:szCs w:val="16"/>
          <w:vertAlign w:val="superscript"/>
        </w:rPr>
        <w:t>5</w:t>
      </w:r>
      <w:r w:rsidRPr="00A82751">
        <w:rPr>
          <w:sz w:val="16"/>
          <w:szCs w:val="16"/>
        </w:rPr>
        <w:t xml:space="preserve">BSC, 2010 </w:t>
      </w:r>
    </w:p>
    <w:p w:rsidR="00A82751" w:rsidRPr="00A82751" w:rsidRDefault="00A82751" w:rsidP="00987279">
      <w:pPr>
        <w:spacing w:line="240" w:lineRule="auto"/>
        <w:rPr>
          <w:sz w:val="16"/>
          <w:szCs w:val="16"/>
        </w:rPr>
      </w:pPr>
      <w:r w:rsidRPr="00A82751">
        <w:rPr>
          <w:sz w:val="16"/>
          <w:szCs w:val="16"/>
          <w:vertAlign w:val="superscript"/>
        </w:rPr>
        <w:t>6</w:t>
      </w:r>
      <w:r w:rsidRPr="00A82751">
        <w:rPr>
          <w:sz w:val="16"/>
          <w:szCs w:val="16"/>
        </w:rPr>
        <w:t xml:space="preserve"> http://www.eea.europa.eu/data-and-maps/indicators/</w:t>
      </w:r>
    </w:p>
    <w:p w:rsidR="00A82751" w:rsidRPr="00A82751" w:rsidRDefault="00A82751" w:rsidP="006F2D89">
      <w:pPr>
        <w:pStyle w:val="ListParagraph"/>
        <w:spacing w:line="240" w:lineRule="auto"/>
        <w:ind w:left="0"/>
        <w:rPr>
          <w:sz w:val="16"/>
          <w:szCs w:val="16"/>
          <w:lang w:val="en-US"/>
        </w:rPr>
      </w:pPr>
      <w:bookmarkStart w:id="49" w:name="OLE_LINK5"/>
      <w:bookmarkStart w:id="50" w:name="OLE_LINK6"/>
      <w:r w:rsidRPr="00A82751">
        <w:rPr>
          <w:sz w:val="16"/>
          <w:szCs w:val="16"/>
          <w:vertAlign w:val="superscript"/>
          <w:lang w:val="en-US"/>
        </w:rPr>
        <w:t>7</w:t>
      </w:r>
      <w:r w:rsidRPr="00A82751">
        <w:rPr>
          <w:sz w:val="16"/>
          <w:szCs w:val="16"/>
          <w:lang w:val="en-US"/>
        </w:rPr>
        <w:t>Relevant indicators are proposed but further work is needed. Personal communication to BSC Secretariat</w:t>
      </w:r>
    </w:p>
    <w:bookmarkEnd w:id="49"/>
    <w:bookmarkEnd w:id="50"/>
    <w:p w:rsidR="00A82751" w:rsidRPr="00A82751" w:rsidRDefault="00A82751" w:rsidP="006F2D89">
      <w:pPr>
        <w:pStyle w:val="ListParagraph"/>
        <w:spacing w:line="240" w:lineRule="auto"/>
        <w:ind w:left="0"/>
        <w:rPr>
          <w:sz w:val="16"/>
          <w:szCs w:val="16"/>
          <w:lang w:val="en-US"/>
        </w:rPr>
      </w:pPr>
      <w:r w:rsidRPr="00A82751">
        <w:rPr>
          <w:sz w:val="16"/>
          <w:szCs w:val="16"/>
          <w:vertAlign w:val="superscript"/>
          <w:lang w:val="en-US"/>
        </w:rPr>
        <w:t>8</w:t>
      </w:r>
      <w:r w:rsidRPr="00A82751">
        <w:rPr>
          <w:sz w:val="16"/>
          <w:szCs w:val="16"/>
          <w:lang w:val="en-US"/>
        </w:rPr>
        <w:t>HELCOM Biodiversity core indicator under development in HELCOM CORESET II project</w:t>
      </w:r>
    </w:p>
    <w:p w:rsidR="00A82751" w:rsidRDefault="00A82751" w:rsidP="00987279">
      <w:pPr>
        <w:spacing w:line="240" w:lineRule="auto"/>
        <w:rPr>
          <w:lang w:val="en-US"/>
        </w:rPr>
        <w:sectPr w:rsidR="00A82751" w:rsidSect="007B0777">
          <w:pgSz w:w="16838" w:h="11906" w:orient="landscape" w:code="9"/>
          <w:pgMar w:top="2552" w:right="1094" w:bottom="1077" w:left="2098" w:header="822" w:footer="199" w:gutter="0"/>
          <w:paperSrc w:first="1" w:other="1"/>
          <w:cols w:space="708"/>
          <w:docGrid w:linePitch="360"/>
        </w:sectPr>
      </w:pPr>
    </w:p>
    <w:p w:rsidR="00A82751" w:rsidRPr="00A82751" w:rsidRDefault="00A82751" w:rsidP="00987279">
      <w:pPr>
        <w:pStyle w:val="Heading2"/>
        <w:spacing w:before="0" w:line="240" w:lineRule="auto"/>
        <w:rPr>
          <w:lang w:val="en-US"/>
        </w:rPr>
      </w:pPr>
      <w:bookmarkStart w:id="51" w:name="_Toc384815500"/>
      <w:r w:rsidRPr="00A82751">
        <w:rPr>
          <w:lang w:val="en-US"/>
        </w:rPr>
        <w:lastRenderedPageBreak/>
        <w:t>RSC methodologies for eutrophication indicators and assessment tools</w:t>
      </w:r>
      <w:bookmarkEnd w:id="51"/>
    </w:p>
    <w:p w:rsidR="00A82751" w:rsidRPr="00A82751" w:rsidRDefault="00A82751" w:rsidP="00987279">
      <w:pPr>
        <w:spacing w:line="240" w:lineRule="auto"/>
        <w:rPr>
          <w:lang w:val="en-US"/>
        </w:rPr>
      </w:pPr>
    </w:p>
    <w:p w:rsidR="00A82751" w:rsidRDefault="00A82751" w:rsidP="00987279">
      <w:pPr>
        <w:spacing w:line="240" w:lineRule="auto"/>
        <w:rPr>
          <w:lang w:val="en-US"/>
        </w:rPr>
      </w:pPr>
      <w:r w:rsidRPr="00A82751">
        <w:rPr>
          <w:lang w:val="en-US"/>
        </w:rPr>
        <w:t>HELCOM</w:t>
      </w:r>
    </w:p>
    <w:p w:rsidR="00A82751" w:rsidRPr="00A82751" w:rsidRDefault="00A82751" w:rsidP="00987279">
      <w:pPr>
        <w:spacing w:line="240" w:lineRule="auto"/>
        <w:rPr>
          <w:lang w:val="en-US"/>
        </w:rPr>
      </w:pPr>
    </w:p>
    <w:p w:rsidR="00A82751" w:rsidRPr="004768CC" w:rsidRDefault="00A82751" w:rsidP="00987279">
      <w:pPr>
        <w:spacing w:line="240" w:lineRule="auto"/>
        <w:rPr>
          <w:u w:val="single"/>
          <w:lang w:val="en-US"/>
        </w:rPr>
      </w:pPr>
      <w:r w:rsidRPr="004768CC">
        <w:rPr>
          <w:u w:val="single"/>
          <w:lang w:val="en-US"/>
        </w:rPr>
        <w:t xml:space="preserve">The HELCOM Eutrophication Assessment Tool (HEAT) </w:t>
      </w:r>
    </w:p>
    <w:p w:rsidR="00A82751" w:rsidRPr="00A82751" w:rsidRDefault="00A82751" w:rsidP="00987279">
      <w:pPr>
        <w:spacing w:line="240" w:lineRule="auto"/>
        <w:rPr>
          <w:lang w:val="en-US"/>
        </w:rPr>
      </w:pPr>
    </w:p>
    <w:p w:rsidR="00A82751" w:rsidRDefault="00A82751" w:rsidP="00987279">
      <w:pPr>
        <w:spacing w:line="240" w:lineRule="auto"/>
        <w:rPr>
          <w:lang w:val="en-US"/>
        </w:rPr>
      </w:pPr>
      <w:r w:rsidRPr="00A82751">
        <w:rPr>
          <w:lang w:val="en-US"/>
        </w:rPr>
        <w:t>The multi-metric indicator-based HELCOM Eutrophication Assessment Tool (HEAT) is used to assess the eutrophication status of the Baltic Sea (HELCOM 2009, HELCOM, 2014). HEAT builds on the OSPAR Common Procedure developed for assessment and identification of ‘eutrophication problem areas’ in the OSPAR convention (see next section on OSPAR). HEAT is based on existing indicators that are combined into groups. HEAT allows weighting between indicators within groups depending on the ecological significance of an indicator for a specific site and the confidence level of the indicator. Hence, indicators thought to be very good can be given a higher weight than an indicator with a low quality and vice versa. For each individual indicator, an interim classification is made. The classification system has five classes: high and good correspond to ‘areas not affected by eutrophication’ and moderate, poor and bad, which correspond to ‘areas affected by eutrophication’. Indicators are combined within groups and ultimately combined into an assessment of ‘overall eutrophication status’. The final step makes use of the ‘One out – All out’ principles sensu the Water Framework Directive which means that the overall classification of an assessed area is based on the most sensitive quality element. In addition, HEAT produces a provisional ‘accuracy assessment’ of the final classification results in order to assess the reliability of the final classification. It arrives at a primary classification of ‘areas affected by eutrophication’ and a secondary assessment of the confidence of the primary assessment</w:t>
      </w:r>
      <w:r>
        <w:rPr>
          <w:lang w:val="en-US"/>
        </w:rPr>
        <w:t>.</w:t>
      </w:r>
    </w:p>
    <w:p w:rsidR="00A82751" w:rsidRPr="00A82751" w:rsidRDefault="00A82751" w:rsidP="00987279">
      <w:pPr>
        <w:spacing w:line="240" w:lineRule="auto"/>
        <w:rPr>
          <w:lang w:val="en-US"/>
        </w:rPr>
      </w:pPr>
    </w:p>
    <w:p w:rsidR="00A82751" w:rsidRDefault="00A82751" w:rsidP="00987279">
      <w:pPr>
        <w:spacing w:line="240" w:lineRule="auto"/>
        <w:rPr>
          <w:lang w:val="en-US"/>
        </w:rPr>
      </w:pPr>
      <w:r w:rsidRPr="00A82751">
        <w:rPr>
          <w:lang w:val="en-US"/>
        </w:rPr>
        <w:t>The first version of the HEAT tool (HEAT 1.0) was based on the indicators dissolved inorganic nitrogen (DIN), dissolved inorganic phosphorus (DIP), chlorophyll-a, Secchi depth, and benthic invertebrate fauna, grouped under the quality elements 1)physical-chemical features, 2)phytoplankton, and 3)benthic invertebrate communities (HELCOM 2009). The assessment principle of HEAT 1.0 was based on reference values (RefCon) and acceptable deviation (AcDev) which, when combined, produced preliminary targets. The boundary between good and moderate was defined through the RefCon and AcDev (Andersen et al., 2011). In most Baltic sub-regions, the acceptable deviation was set arbitrarily at 50 % (25 % for Secchi depth). A detailed description of the HEAT 1.0 assessment tool methodology can be found in Andersen et al., (2011). HEAT 1.0 was applied in the HELCOM thematic assessment of eutrophication in the Baltic Sea (HELCOM 2009), in the HELCOM Initial Holistic Assessment (HELCOM 2010a) and in the demonstration set of core eutrophication indicators (HELCOM 2010b).</w:t>
      </w:r>
    </w:p>
    <w:p w:rsidR="00A82751" w:rsidRPr="00A82751" w:rsidRDefault="00A82751" w:rsidP="00987279">
      <w:pPr>
        <w:spacing w:line="240" w:lineRule="auto"/>
        <w:rPr>
          <w:lang w:val="en-US"/>
        </w:rPr>
      </w:pPr>
    </w:p>
    <w:p w:rsidR="006F2D89" w:rsidRDefault="00A82751" w:rsidP="00987279">
      <w:pPr>
        <w:spacing w:line="240" w:lineRule="auto"/>
        <w:rPr>
          <w:lang w:val="en-US"/>
        </w:rPr>
      </w:pPr>
      <w:r w:rsidRPr="00A82751">
        <w:rPr>
          <w:lang w:val="en-US"/>
        </w:rPr>
        <w:t xml:space="preserve">In the latest assessment of the eutrophication status of the open sea areas of the Baltic Sea version HEAT 3.0 was applied (HELCOM, 2014). The assessment of the open sea sub-basins was based on an integration of status data from core set indicators on inorganic nitrogen (DIN), inorganic phosphorus (DIP) , chlorophyll a, water transparency (Secchi depth) and oxygen conditions (oxygen debt, for six sub-basins). In HEAT 3.0 the indicators were grouped in a new way into three “Criteria” as described in the Commission Decision (EC 2010): 1) Nutrient levels, 2) Direct Effects and 3) Indirect Effects. At the time of applying HEAT 3.0, HELCOM had strengthened the scientific background of target setting (HELCOM 2013b) and agreed on a set of targets. The new HEAT Tool 3.0 compares an agreed eutrophication target for the selected indicator with the current status value derived from monitoring data. For each of these indicators an Eutrophication Ratio (ER) is calculated. If the eutrophication ratio is below 1.00, it reflects good environmental status (GES) and if it is at or above 1.00, it reflects indicator status where GES has not been reached (sub-GES). HEAT 3.0 integration is applied for each open sea basin assessment unit. </w:t>
      </w:r>
    </w:p>
    <w:p w:rsidR="00A82751" w:rsidRPr="00A82751" w:rsidRDefault="00A82751" w:rsidP="00987279">
      <w:pPr>
        <w:spacing w:line="240" w:lineRule="auto"/>
        <w:rPr>
          <w:lang w:val="en-US"/>
        </w:rPr>
      </w:pPr>
      <w:r w:rsidRPr="00A82751">
        <w:rPr>
          <w:lang w:val="en-US"/>
        </w:rPr>
        <w:lastRenderedPageBreak/>
        <w:t xml:space="preserve">For each criterion the status was determined as the weighted average of the ERs of the individual indicators (e.g. ER for C1, nutrient levels, is given by average of DIP-ER and DIN-ER). The status for the criterion was then assessed as GES where ER≤1 and sub-GES where ER&gt;1.In the final step, the one-out-all-out principle was used between the criteria status classifications to determine the overall eutrophication status for </w:t>
      </w:r>
      <w:r w:rsidR="00580600" w:rsidRPr="00A82751">
        <w:rPr>
          <w:lang w:val="en-US"/>
        </w:rPr>
        <w:t>each basin</w:t>
      </w:r>
      <w:r w:rsidRPr="00A82751">
        <w:rPr>
          <w:lang w:val="en-US"/>
        </w:rPr>
        <w:t xml:space="preserve">; i.e. the worst of the three results on criterion level determined the </w:t>
      </w:r>
      <w:r w:rsidR="00580600" w:rsidRPr="00A82751">
        <w:rPr>
          <w:lang w:val="en-US"/>
        </w:rPr>
        <w:t>final status</w:t>
      </w:r>
      <w:r w:rsidRPr="00A82751">
        <w:rPr>
          <w:lang w:val="en-US"/>
        </w:rPr>
        <w:t xml:space="preserve"> classification.</w:t>
      </w:r>
    </w:p>
    <w:p w:rsidR="00A82751" w:rsidRPr="00A82751" w:rsidRDefault="00A82751" w:rsidP="00987279">
      <w:pPr>
        <w:spacing w:line="240" w:lineRule="auto"/>
        <w:rPr>
          <w:lang w:val="en-US"/>
        </w:rPr>
      </w:pPr>
    </w:p>
    <w:p w:rsidR="00A82751" w:rsidRPr="004768CC" w:rsidRDefault="00A82751" w:rsidP="00987279">
      <w:pPr>
        <w:spacing w:line="240" w:lineRule="auto"/>
        <w:rPr>
          <w:u w:val="single"/>
          <w:lang w:val="en-US"/>
        </w:rPr>
      </w:pPr>
      <w:r w:rsidRPr="004768CC">
        <w:rPr>
          <w:u w:val="single"/>
          <w:lang w:val="en-US"/>
        </w:rPr>
        <w:t>Spatial coverage and assessment units</w:t>
      </w:r>
    </w:p>
    <w:p w:rsidR="00A82751" w:rsidRPr="00A82751" w:rsidRDefault="00A82751" w:rsidP="00987279">
      <w:pPr>
        <w:spacing w:line="240" w:lineRule="auto"/>
        <w:rPr>
          <w:lang w:val="en-US"/>
        </w:rPr>
      </w:pPr>
      <w:r w:rsidRPr="00A82751">
        <w:rPr>
          <w:lang w:val="en-US"/>
        </w:rPr>
        <w:t>The Baltic Sea is divided into several sub-basins separated by sills, including a transition zone to the North Sea consisting of the Kattegat and the Belt Sea. A number of ‘assessment units’ are defined according to these sub-basins: 172 units in coastal waters marked with open circles and 17 open basins shown with numbered circles (</w:t>
      </w:r>
      <w:r w:rsidRPr="00524402">
        <w:rPr>
          <w:lang w:val="en-US"/>
        </w:rPr>
        <w:t>Fig</w:t>
      </w:r>
      <w:r w:rsidR="00524402">
        <w:rPr>
          <w:lang w:val="en-US"/>
        </w:rPr>
        <w:t>ure 2.</w:t>
      </w:r>
      <w:r w:rsidRPr="00A82751">
        <w:rPr>
          <w:lang w:val="en-US"/>
        </w:rPr>
        <w:t xml:space="preserve"> 1). The previous Thematic Eutrophication assessment (HELCOM 2009) used 189 assessment units consisting of 17 open sea sub-basins and 172 coastal assessments. The Updated Baltic Sea open sea area Assessment (HELCOM 2014) was based on 17 open sea sub-basins and status of coastal waters is based on WFD classification status, where such information had been made available by HELCOM Contracting Parties that are also EU Member States.</w:t>
      </w:r>
    </w:p>
    <w:p w:rsidR="00A82751" w:rsidRDefault="004768CC" w:rsidP="00987279">
      <w:pPr>
        <w:spacing w:line="240" w:lineRule="auto"/>
        <w:rPr>
          <w:lang w:val="en-US"/>
        </w:rPr>
      </w:pPr>
      <w:r w:rsidRPr="00F2534A">
        <w:rPr>
          <w:noProof/>
          <w:szCs w:val="21"/>
          <w:lang w:val="el-GR" w:eastAsia="el-GR"/>
        </w:rPr>
        <w:drawing>
          <wp:inline distT="0" distB="0" distL="0" distR="0">
            <wp:extent cx="3034251" cy="3380896"/>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034999" cy="3381729"/>
                    </a:xfrm>
                    <a:prstGeom prst="rect">
                      <a:avLst/>
                    </a:prstGeom>
                    <a:noFill/>
                    <a:ln w="9525">
                      <a:noFill/>
                      <a:miter lim="800000"/>
                      <a:headEnd/>
                      <a:tailEnd/>
                    </a:ln>
                  </pic:spPr>
                </pic:pic>
              </a:graphicData>
            </a:graphic>
          </wp:inline>
        </w:drawing>
      </w:r>
    </w:p>
    <w:p w:rsidR="00A82751" w:rsidRPr="00A82751" w:rsidRDefault="00A82751" w:rsidP="00987279">
      <w:pPr>
        <w:pStyle w:val="Caption"/>
        <w:spacing w:line="240" w:lineRule="auto"/>
        <w:rPr>
          <w:lang w:val="en-US"/>
        </w:rPr>
      </w:pPr>
      <w:r>
        <w:t xml:space="preserve">Figure </w:t>
      </w:r>
      <w:r w:rsidR="008135ED">
        <w:fldChar w:fldCharType="begin"/>
      </w:r>
      <w:r w:rsidR="004B48B8">
        <w:instrText xml:space="preserve"> STYLEREF 1 \s </w:instrText>
      </w:r>
      <w:r w:rsidR="008135ED">
        <w:fldChar w:fldCharType="separate"/>
      </w:r>
      <w:r w:rsidR="003461A2">
        <w:rPr>
          <w:noProof/>
        </w:rPr>
        <w:t>2</w:t>
      </w:r>
      <w:r w:rsidR="008135ED">
        <w:fldChar w:fldCharType="end"/>
      </w:r>
      <w:r w:rsidR="004B48B8">
        <w:t>.</w:t>
      </w:r>
      <w:r w:rsidR="008135ED">
        <w:fldChar w:fldCharType="begin"/>
      </w:r>
      <w:r w:rsidR="004B48B8">
        <w:instrText xml:space="preserve"> SEQ Figure \* ARABIC \s 1 </w:instrText>
      </w:r>
      <w:r w:rsidR="008135ED">
        <w:fldChar w:fldCharType="separate"/>
      </w:r>
      <w:r w:rsidR="003461A2">
        <w:rPr>
          <w:noProof/>
        </w:rPr>
        <w:t>1</w:t>
      </w:r>
      <w:r w:rsidR="008135ED">
        <w:fldChar w:fldCharType="end"/>
      </w:r>
      <w:r>
        <w:tab/>
      </w:r>
      <w:r w:rsidRPr="00A82751">
        <w:rPr>
          <w:lang w:val="en-US"/>
        </w:rPr>
        <w:t>Map of the Baltic Sea with location of ‘assessment units’ in coastal waters (172 units marked with open circles) and open basins (17 units shown with numbered circles). Source: Andersen et al. (2011).</w:t>
      </w:r>
    </w:p>
    <w:p w:rsidR="00A82751" w:rsidRPr="00A82751" w:rsidRDefault="00A82751" w:rsidP="00987279">
      <w:pPr>
        <w:spacing w:line="240" w:lineRule="auto"/>
        <w:rPr>
          <w:lang w:val="en-US"/>
        </w:rPr>
      </w:pPr>
    </w:p>
    <w:p w:rsidR="00A82751" w:rsidRPr="00A82751" w:rsidRDefault="00A82751" w:rsidP="00987279">
      <w:pPr>
        <w:spacing w:line="240" w:lineRule="auto"/>
        <w:rPr>
          <w:u w:val="single"/>
          <w:lang w:val="en-US"/>
        </w:rPr>
      </w:pPr>
      <w:r w:rsidRPr="00A82751">
        <w:rPr>
          <w:u w:val="single"/>
          <w:lang w:val="en-US"/>
        </w:rPr>
        <w:t>Temporal coverage of the assessments</w:t>
      </w:r>
    </w:p>
    <w:p w:rsidR="00A82751" w:rsidRPr="00A82751" w:rsidRDefault="00A82751" w:rsidP="00987279">
      <w:pPr>
        <w:spacing w:line="240" w:lineRule="auto"/>
        <w:rPr>
          <w:lang w:val="en-US"/>
        </w:rPr>
      </w:pPr>
      <w:r w:rsidRPr="00A82751">
        <w:rPr>
          <w:lang w:val="en-US"/>
        </w:rPr>
        <w:t>The HELCOM eutrophication assessments used data from the following time periods</w:t>
      </w:r>
    </w:p>
    <w:p w:rsidR="00A82751" w:rsidRPr="00A82751" w:rsidRDefault="00A82751" w:rsidP="00987279">
      <w:pPr>
        <w:spacing w:line="240" w:lineRule="auto"/>
        <w:rPr>
          <w:lang w:val="en-US"/>
        </w:rPr>
      </w:pPr>
      <w:r w:rsidRPr="00A82751">
        <w:rPr>
          <w:lang w:val="en-US"/>
        </w:rPr>
        <w:t xml:space="preserve">2001-2006: Thematic Eutrophication assessment 2009 (HELCOM, 2009) and Initial Holistic Assessment (HOLAS) 2010 </w:t>
      </w:r>
    </w:p>
    <w:p w:rsidR="00A82751" w:rsidRPr="00A82751" w:rsidRDefault="00A82751" w:rsidP="00987279">
      <w:pPr>
        <w:spacing w:line="240" w:lineRule="auto"/>
        <w:rPr>
          <w:lang w:val="en-US"/>
        </w:rPr>
      </w:pPr>
      <w:r w:rsidRPr="00A82751">
        <w:rPr>
          <w:lang w:val="en-US"/>
        </w:rPr>
        <w:t>2003-2007: Update of the 2010 assessment for the time period 2003-2007 (published on HELCOM website)</w:t>
      </w:r>
    </w:p>
    <w:p w:rsidR="00A82751" w:rsidRPr="00A82751" w:rsidRDefault="00A82751" w:rsidP="00987279">
      <w:pPr>
        <w:spacing w:line="240" w:lineRule="auto"/>
        <w:rPr>
          <w:lang w:val="en-US"/>
        </w:rPr>
      </w:pPr>
      <w:r w:rsidRPr="00A82751">
        <w:rPr>
          <w:lang w:val="en-US"/>
        </w:rPr>
        <w:t>2007-2011: Updated Baltic Sea open sea area assessment (HELCOM, 2014)</w:t>
      </w:r>
    </w:p>
    <w:p w:rsidR="006F2D89" w:rsidRDefault="006F2D89">
      <w:pPr>
        <w:spacing w:line="240" w:lineRule="auto"/>
        <w:jc w:val="left"/>
        <w:rPr>
          <w:lang w:val="en-US"/>
        </w:rPr>
      </w:pPr>
      <w:r>
        <w:rPr>
          <w:lang w:val="en-US"/>
        </w:rPr>
        <w:br w:type="page"/>
      </w:r>
    </w:p>
    <w:p w:rsidR="00A82751" w:rsidRPr="00A82751" w:rsidRDefault="00A82751" w:rsidP="00987279">
      <w:pPr>
        <w:spacing w:line="240" w:lineRule="auto"/>
        <w:rPr>
          <w:u w:val="single"/>
          <w:lang w:val="en-US"/>
        </w:rPr>
      </w:pPr>
      <w:r w:rsidRPr="00A82751">
        <w:rPr>
          <w:u w:val="single"/>
          <w:lang w:val="en-US"/>
        </w:rPr>
        <w:lastRenderedPageBreak/>
        <w:t>Indicators and targets for open sea sub-basins</w:t>
      </w:r>
    </w:p>
    <w:p w:rsidR="00A82751" w:rsidRPr="00A82751" w:rsidRDefault="00A82751" w:rsidP="00987279">
      <w:pPr>
        <w:spacing w:line="240" w:lineRule="auto"/>
        <w:rPr>
          <w:lang w:val="en-US"/>
        </w:rPr>
      </w:pPr>
    </w:p>
    <w:p w:rsidR="00A82751" w:rsidRPr="00A82751" w:rsidRDefault="00A82751" w:rsidP="00987279">
      <w:pPr>
        <w:spacing w:line="240" w:lineRule="auto"/>
        <w:rPr>
          <w:lang w:val="en-US"/>
        </w:rPr>
      </w:pPr>
      <w:r w:rsidRPr="00A82751">
        <w:rPr>
          <w:lang w:val="en-US"/>
        </w:rPr>
        <w:t>The following indicators grouped into three criteria were used in the latest eutrophication assessment of the open sea sub-basins:</w:t>
      </w:r>
    </w:p>
    <w:p w:rsidR="00A82751" w:rsidRDefault="00A82751" w:rsidP="00987279">
      <w:pPr>
        <w:pStyle w:val="ListParagraph"/>
        <w:numPr>
          <w:ilvl w:val="0"/>
          <w:numId w:val="25"/>
        </w:numPr>
        <w:spacing w:line="240" w:lineRule="auto"/>
        <w:rPr>
          <w:lang w:val="en-US"/>
        </w:rPr>
      </w:pPr>
      <w:r w:rsidRPr="00A82751">
        <w:rPr>
          <w:lang w:val="en-US"/>
        </w:rPr>
        <w:t>Nutrient levels: winter (December-February) dissolved inorganic nitrogen (DIN) and dissolved inorganic phosphorus (DIP) concentrations in the surface layer (0 - 10 m depth)</w:t>
      </w:r>
      <w:r>
        <w:rPr>
          <w:lang w:val="en-US"/>
        </w:rPr>
        <w:t>.</w:t>
      </w:r>
    </w:p>
    <w:p w:rsidR="00A82751" w:rsidRDefault="00A82751" w:rsidP="00987279">
      <w:pPr>
        <w:pStyle w:val="ListParagraph"/>
        <w:numPr>
          <w:ilvl w:val="0"/>
          <w:numId w:val="25"/>
        </w:numPr>
        <w:spacing w:line="240" w:lineRule="auto"/>
        <w:rPr>
          <w:lang w:val="en-US"/>
        </w:rPr>
      </w:pPr>
      <w:r w:rsidRPr="00A82751">
        <w:rPr>
          <w:lang w:val="en-US"/>
        </w:rPr>
        <w:t>Direct effects: summer (June-September) chlorophyll a concentration in the surface layer (0 - 10 m depth) and summer (June-September) Secchi depth</w:t>
      </w:r>
      <w:r>
        <w:rPr>
          <w:lang w:val="en-US"/>
        </w:rPr>
        <w:t>.</w:t>
      </w:r>
    </w:p>
    <w:p w:rsidR="00A82751" w:rsidRDefault="00A82751" w:rsidP="00987279">
      <w:pPr>
        <w:pStyle w:val="ListParagraph"/>
        <w:numPr>
          <w:ilvl w:val="0"/>
          <w:numId w:val="25"/>
        </w:numPr>
        <w:spacing w:line="240" w:lineRule="auto"/>
        <w:rPr>
          <w:lang w:val="en-US"/>
        </w:rPr>
      </w:pPr>
      <w:r w:rsidRPr="00A82751">
        <w:rPr>
          <w:lang w:val="en-US"/>
        </w:rPr>
        <w:t>Indirect effects: annual oxygen debt below the halocline (for the Bornholm Basin, Western Gotland Basin, Eastern Gotland Basin, Northern Baltic Proper and Gulf of Finland)</w:t>
      </w:r>
      <w:r>
        <w:rPr>
          <w:lang w:val="en-US"/>
        </w:rPr>
        <w:t>.</w:t>
      </w:r>
    </w:p>
    <w:p w:rsidR="00A82751" w:rsidRPr="00A82751" w:rsidRDefault="00A82751" w:rsidP="00987279">
      <w:pPr>
        <w:pStyle w:val="ListParagraph"/>
        <w:spacing w:line="240" w:lineRule="auto"/>
        <w:ind w:left="360"/>
        <w:rPr>
          <w:lang w:val="en-US"/>
        </w:rPr>
      </w:pPr>
    </w:p>
    <w:p w:rsidR="00A82751" w:rsidRPr="00A82751" w:rsidRDefault="00A82751" w:rsidP="00987279">
      <w:pPr>
        <w:spacing w:line="240" w:lineRule="auto"/>
        <w:rPr>
          <w:lang w:val="en-US"/>
        </w:rPr>
      </w:pPr>
      <w:r w:rsidRPr="00A82751">
        <w:rPr>
          <w:lang w:val="en-US"/>
        </w:rPr>
        <w:t xml:space="preserve">The indicators within the criteria were weighted according to their relevance for eutrophication in each basin. </w:t>
      </w:r>
    </w:p>
    <w:p w:rsidR="00A82751" w:rsidRPr="00A82751" w:rsidRDefault="00A82751" w:rsidP="00987279">
      <w:pPr>
        <w:spacing w:line="240" w:lineRule="auto"/>
        <w:rPr>
          <w:lang w:val="en-US"/>
        </w:rPr>
      </w:pPr>
    </w:p>
    <w:p w:rsidR="004768CC" w:rsidRDefault="00A82751" w:rsidP="004F7BA0">
      <w:pPr>
        <w:spacing w:line="240" w:lineRule="auto"/>
        <w:rPr>
          <w:lang w:val="en-US"/>
        </w:rPr>
      </w:pPr>
      <w:r w:rsidRPr="00A82751">
        <w:rPr>
          <w:lang w:val="en-US"/>
        </w:rPr>
        <w:t xml:space="preserve">The indicator targets were based on the results obtained from the HELCOM TARGREV project (HELCOM 2013b), taking also advantage of the work carried out during the HELCOM EUTRO PRO process (HELCOM 2009) and national work for WFD. The final targets were set through an expert evaluation process (HELCOM CORE EUTRO) and the targets were adopted by the HELCOM Heads of Delegations 39/2012 (see below </w:t>
      </w:r>
      <w:r w:rsidR="00FC64E6">
        <w:rPr>
          <w:lang w:val="en-US"/>
        </w:rPr>
        <w:t>T</w:t>
      </w:r>
      <w:r w:rsidRPr="00FC64E6">
        <w:rPr>
          <w:lang w:val="en-US"/>
        </w:rPr>
        <w:t>able from</w:t>
      </w:r>
      <w:r w:rsidRPr="00A82751">
        <w:rPr>
          <w:lang w:val="en-US"/>
        </w:rPr>
        <w:t xml:space="preserve"> HELCOM 2014). Development work for new eutrophication indicators is expected to continue in the coming years and list of candidate indicators suitable for development work identified. </w:t>
      </w:r>
    </w:p>
    <w:p w:rsidR="00A82751" w:rsidRDefault="00A82751" w:rsidP="00987279">
      <w:pPr>
        <w:spacing w:line="240" w:lineRule="auto"/>
        <w:rPr>
          <w:lang w:val="en-US"/>
        </w:rPr>
      </w:pPr>
      <w:r w:rsidRPr="00A82751">
        <w:rPr>
          <w:lang w:val="en-US"/>
        </w:rPr>
        <w:t>SOURCE: HELCOM 2014</w:t>
      </w:r>
    </w:p>
    <w:p w:rsidR="004768CC" w:rsidRPr="00A82751" w:rsidRDefault="004768CC" w:rsidP="00987279">
      <w:pPr>
        <w:spacing w:line="240" w:lineRule="auto"/>
        <w:rPr>
          <w:lang w:val="en-US"/>
        </w:rPr>
      </w:pPr>
      <w:r w:rsidRPr="00F2534A">
        <w:rPr>
          <w:noProof/>
          <w:szCs w:val="21"/>
          <w:lang w:val="el-GR" w:eastAsia="el-GR"/>
        </w:rPr>
        <w:drawing>
          <wp:inline distT="0" distB="0" distL="0" distR="0">
            <wp:extent cx="5274310" cy="4537571"/>
            <wp:effectExtent l="19050" t="0" r="254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274310" cy="4537571"/>
                    </a:xfrm>
                    <a:prstGeom prst="rect">
                      <a:avLst/>
                    </a:prstGeom>
                    <a:noFill/>
                    <a:ln w="9525">
                      <a:noFill/>
                      <a:miter lim="800000"/>
                      <a:headEnd/>
                      <a:tailEnd/>
                    </a:ln>
                  </pic:spPr>
                </pic:pic>
              </a:graphicData>
            </a:graphic>
          </wp:inline>
        </w:drawing>
      </w:r>
    </w:p>
    <w:p w:rsidR="00A82751" w:rsidRPr="00A82751" w:rsidRDefault="00A82751" w:rsidP="00987279">
      <w:pPr>
        <w:spacing w:line="240" w:lineRule="auto"/>
        <w:rPr>
          <w:lang w:val="en-US"/>
        </w:rPr>
      </w:pPr>
    </w:p>
    <w:p w:rsidR="00A82751" w:rsidRPr="00A82751" w:rsidRDefault="00A82751" w:rsidP="00987279">
      <w:pPr>
        <w:spacing w:line="240" w:lineRule="auto"/>
        <w:rPr>
          <w:u w:val="single"/>
          <w:lang w:val="en-US"/>
        </w:rPr>
      </w:pPr>
      <w:r w:rsidRPr="00A82751">
        <w:rPr>
          <w:u w:val="single"/>
          <w:lang w:val="en-US"/>
        </w:rPr>
        <w:t>Data aggregation in the open sea area Assessment</w:t>
      </w:r>
    </w:p>
    <w:p w:rsidR="00A82751" w:rsidRPr="00A82751" w:rsidRDefault="00A82751" w:rsidP="00987279">
      <w:pPr>
        <w:spacing w:line="240" w:lineRule="auto"/>
        <w:rPr>
          <w:lang w:val="en-US"/>
        </w:rPr>
      </w:pPr>
    </w:p>
    <w:p w:rsidR="00A82751" w:rsidRPr="00A82751" w:rsidRDefault="00A82751" w:rsidP="00987279">
      <w:pPr>
        <w:spacing w:line="240" w:lineRule="auto"/>
        <w:rPr>
          <w:lang w:val="en-US"/>
        </w:rPr>
      </w:pPr>
      <w:r w:rsidRPr="00A82751">
        <w:rPr>
          <w:lang w:val="en-US"/>
        </w:rPr>
        <w:t>Data sources: Primary data source for the assessment was HELCOM data host ICES COMBINE (Cooperative Monitoring in the Baltic Marine Environment) data base. Another important data source was Baltic Nest Institute through their BED distributed database system that accesses Baltic Sea area institutional and national data bases containing both restricted access and open data sources. These two major sources were complemented by data received from national experts in Denmark, Finland, Germany, Poland and Sweden.</w:t>
      </w:r>
    </w:p>
    <w:p w:rsidR="00A82751" w:rsidRPr="00A82751" w:rsidRDefault="00A82751" w:rsidP="00987279">
      <w:pPr>
        <w:spacing w:line="240" w:lineRule="auto"/>
        <w:rPr>
          <w:lang w:val="en-US"/>
        </w:rPr>
      </w:pPr>
    </w:p>
    <w:p w:rsidR="00A82751" w:rsidRPr="00A82751" w:rsidRDefault="00A82751" w:rsidP="00987279">
      <w:pPr>
        <w:spacing w:line="240" w:lineRule="auto"/>
        <w:rPr>
          <w:lang w:val="en-US"/>
        </w:rPr>
      </w:pPr>
      <w:r w:rsidRPr="00A82751">
        <w:rPr>
          <w:lang w:val="en-US"/>
        </w:rPr>
        <w:t>The aggregated average 2007-2011 indicator values were estimated as</w:t>
      </w:r>
    </w:p>
    <w:p w:rsidR="00A82751" w:rsidRPr="00A82751" w:rsidRDefault="00A82751" w:rsidP="00987279">
      <w:pPr>
        <w:spacing w:line="240" w:lineRule="auto"/>
        <w:rPr>
          <w:lang w:val="en-US"/>
        </w:rPr>
      </w:pPr>
      <w:r w:rsidRPr="00A82751">
        <w:rPr>
          <w:lang w:val="en-US"/>
        </w:rPr>
        <w:t xml:space="preserve">an inter-annual winter (December-February) average for inorganic nutrients, </w:t>
      </w:r>
    </w:p>
    <w:p w:rsidR="00A82751" w:rsidRPr="00A82751" w:rsidRDefault="00A82751" w:rsidP="00987279">
      <w:pPr>
        <w:spacing w:line="240" w:lineRule="auto"/>
        <w:rPr>
          <w:lang w:val="en-US"/>
        </w:rPr>
      </w:pPr>
      <w:r w:rsidRPr="00A82751">
        <w:rPr>
          <w:lang w:val="en-US"/>
        </w:rPr>
        <w:t xml:space="preserve">an inter-annual summer (June-September) average for chlorophyll a and Secchi depth </w:t>
      </w:r>
    </w:p>
    <w:p w:rsidR="00A82751" w:rsidRPr="00A82751" w:rsidRDefault="00A82751" w:rsidP="00987279">
      <w:pPr>
        <w:spacing w:line="240" w:lineRule="auto"/>
        <w:rPr>
          <w:lang w:val="en-US"/>
        </w:rPr>
      </w:pPr>
      <w:r w:rsidRPr="00A82751">
        <w:rPr>
          <w:lang w:val="en-US"/>
        </w:rPr>
        <w:t>an inter-annual average for oxygen debt</w:t>
      </w:r>
    </w:p>
    <w:p w:rsidR="00A82751" w:rsidRPr="00A82751" w:rsidRDefault="00A82751" w:rsidP="00987279">
      <w:pPr>
        <w:spacing w:line="240" w:lineRule="auto"/>
        <w:rPr>
          <w:lang w:val="en-US"/>
        </w:rPr>
      </w:pPr>
    </w:p>
    <w:p w:rsidR="00A82751" w:rsidRPr="00A82751" w:rsidRDefault="00A82751" w:rsidP="00987279">
      <w:pPr>
        <w:spacing w:line="240" w:lineRule="auto"/>
        <w:rPr>
          <w:lang w:val="en-US"/>
        </w:rPr>
      </w:pPr>
      <w:r w:rsidRPr="00A82751">
        <w:rPr>
          <w:lang w:val="en-US"/>
        </w:rPr>
        <w:t>For the DIN, DIP and oxygen debt indicators, data were aggregated using a combined spatial and seasonal model (as applied in the TARGREV project, HELCOM 2013b) to compensate for uneven distribution of stations and inadequate seasonal coverage of measurements in order to overcome shortcomings of the monitoring station networks of the Contracting Parties (HELCOM 2013b).</w:t>
      </w:r>
    </w:p>
    <w:p w:rsidR="00A82751" w:rsidRPr="00A82751" w:rsidRDefault="00A82751" w:rsidP="00987279">
      <w:pPr>
        <w:spacing w:line="240" w:lineRule="auto"/>
        <w:rPr>
          <w:lang w:val="en-US"/>
        </w:rPr>
      </w:pPr>
    </w:p>
    <w:p w:rsidR="00A82751" w:rsidRPr="00A82751" w:rsidRDefault="00A82751" w:rsidP="00987279">
      <w:pPr>
        <w:spacing w:line="240" w:lineRule="auto"/>
        <w:rPr>
          <w:lang w:val="en-US"/>
        </w:rPr>
      </w:pPr>
      <w:r w:rsidRPr="00A82751">
        <w:rPr>
          <w:lang w:val="en-US"/>
        </w:rPr>
        <w:t>The confidence of indicator status (EUT_S-score) was rated for each indicator within an assessment unit, according to the availability and distribution of data during the assessment period.</w:t>
      </w:r>
    </w:p>
    <w:p w:rsidR="00A82751" w:rsidRPr="00A82751" w:rsidRDefault="00A82751" w:rsidP="00987279">
      <w:pPr>
        <w:spacing w:line="240" w:lineRule="auto"/>
        <w:rPr>
          <w:lang w:val="en-US"/>
        </w:rPr>
      </w:pPr>
      <w:r w:rsidRPr="00F2534A">
        <w:rPr>
          <w:noProof/>
          <w:szCs w:val="21"/>
          <w:lang w:val="el-GR" w:eastAsia="el-GR"/>
        </w:rPr>
        <w:lastRenderedPageBreak/>
        <w:drawing>
          <wp:inline distT="0" distB="0" distL="0" distR="0">
            <wp:extent cx="3819525" cy="5163306"/>
            <wp:effectExtent l="19050" t="0" r="9525"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819525" cy="5163306"/>
                    </a:xfrm>
                    <a:prstGeom prst="rect">
                      <a:avLst/>
                    </a:prstGeom>
                    <a:noFill/>
                    <a:ln w="9525">
                      <a:noFill/>
                      <a:miter lim="800000"/>
                      <a:headEnd/>
                      <a:tailEnd/>
                    </a:ln>
                  </pic:spPr>
                </pic:pic>
              </a:graphicData>
            </a:graphic>
          </wp:inline>
        </w:drawing>
      </w:r>
    </w:p>
    <w:p w:rsidR="00A82751" w:rsidRPr="00A82751" w:rsidRDefault="00A82751" w:rsidP="00987279">
      <w:pPr>
        <w:pStyle w:val="Caption"/>
        <w:spacing w:line="240" w:lineRule="auto"/>
        <w:rPr>
          <w:lang w:val="en-US"/>
        </w:rPr>
      </w:pPr>
      <w:r>
        <w:t xml:space="preserve">Figure </w:t>
      </w:r>
      <w:r w:rsidR="008135ED">
        <w:fldChar w:fldCharType="begin"/>
      </w:r>
      <w:r w:rsidR="004B48B8">
        <w:instrText xml:space="preserve"> STYLEREF 1 \s </w:instrText>
      </w:r>
      <w:r w:rsidR="008135ED">
        <w:fldChar w:fldCharType="separate"/>
      </w:r>
      <w:r w:rsidR="003461A2">
        <w:rPr>
          <w:noProof/>
        </w:rPr>
        <w:t>2</w:t>
      </w:r>
      <w:r w:rsidR="008135ED">
        <w:fldChar w:fldCharType="end"/>
      </w:r>
      <w:r w:rsidR="004B48B8">
        <w:t>.</w:t>
      </w:r>
      <w:r w:rsidR="008135ED">
        <w:fldChar w:fldCharType="begin"/>
      </w:r>
      <w:r w:rsidR="004B48B8">
        <w:instrText xml:space="preserve"> SEQ Figure \* ARABIC \s 1 </w:instrText>
      </w:r>
      <w:r w:rsidR="008135ED">
        <w:fldChar w:fldCharType="separate"/>
      </w:r>
      <w:r w:rsidR="003461A2">
        <w:rPr>
          <w:noProof/>
        </w:rPr>
        <w:t>2</w:t>
      </w:r>
      <w:r w:rsidR="008135ED">
        <w:fldChar w:fldCharType="end"/>
      </w:r>
      <w:r>
        <w:tab/>
      </w:r>
      <w:r w:rsidRPr="00A82751">
        <w:rPr>
          <w:lang w:val="en-US"/>
        </w:rPr>
        <w:t>shows the steps of assessing eutrophication status of the open sea sub-basins of the Baltic Sea from monitoring data to core indicator –based integrated assessment results for each sub-basin (HELCOM, 2014).</w:t>
      </w:r>
    </w:p>
    <w:p w:rsidR="00A82751" w:rsidRPr="00A82751" w:rsidRDefault="00A82751" w:rsidP="00987279">
      <w:pPr>
        <w:spacing w:line="240" w:lineRule="auto"/>
        <w:rPr>
          <w:lang w:val="en-US"/>
        </w:rPr>
      </w:pPr>
    </w:p>
    <w:p w:rsidR="00A82751" w:rsidRPr="00A82751" w:rsidRDefault="00A82751" w:rsidP="00987279">
      <w:pPr>
        <w:spacing w:line="240" w:lineRule="auto"/>
        <w:rPr>
          <w:lang w:val="en-US"/>
        </w:rPr>
      </w:pPr>
      <w:r w:rsidRPr="00A82751">
        <w:rPr>
          <w:lang w:val="en-US"/>
        </w:rPr>
        <w:t>SOURCE: HELCOM, 2014</w:t>
      </w:r>
    </w:p>
    <w:p w:rsidR="007B0777" w:rsidRDefault="006F2D89" w:rsidP="00987279">
      <w:pPr>
        <w:spacing w:line="240" w:lineRule="auto"/>
        <w:rPr>
          <w:lang w:val="en-US"/>
        </w:rPr>
      </w:pPr>
      <w:r>
        <w:rPr>
          <w:lang w:val="en-US"/>
        </w:rPr>
        <w:t>Figure 2.2</w:t>
      </w:r>
      <w:r w:rsidR="00A82751" w:rsidRPr="00A82751">
        <w:rPr>
          <w:lang w:val="en-US"/>
        </w:rPr>
        <w:t xml:space="preserve"> Steps of assessing eutrophication status of the open sea sub-basins of the Baltic Sea from monitoring data to core indicator –based integrated assessment results for each sub-basin</w:t>
      </w:r>
    </w:p>
    <w:p w:rsidR="00E86FE0" w:rsidRDefault="00E86FE0" w:rsidP="00987279">
      <w:pPr>
        <w:autoSpaceDE w:val="0"/>
        <w:autoSpaceDN w:val="0"/>
        <w:adjustRightInd w:val="0"/>
        <w:spacing w:line="240" w:lineRule="auto"/>
        <w:rPr>
          <w:b/>
          <w:szCs w:val="21"/>
          <w:lang w:val="en-US"/>
        </w:rPr>
      </w:pPr>
    </w:p>
    <w:p w:rsidR="00E86FE0" w:rsidRPr="00F2534A" w:rsidRDefault="00E86FE0" w:rsidP="00987279">
      <w:pPr>
        <w:autoSpaceDE w:val="0"/>
        <w:autoSpaceDN w:val="0"/>
        <w:adjustRightInd w:val="0"/>
        <w:spacing w:line="240" w:lineRule="auto"/>
        <w:rPr>
          <w:b/>
          <w:szCs w:val="21"/>
          <w:lang w:val="en-US"/>
        </w:rPr>
      </w:pPr>
      <w:r w:rsidRPr="00F2534A">
        <w:rPr>
          <w:b/>
          <w:szCs w:val="21"/>
          <w:lang w:val="en-US"/>
        </w:rPr>
        <w:t>OSPAR</w:t>
      </w:r>
    </w:p>
    <w:p w:rsidR="00E86FE0" w:rsidRPr="00F2534A" w:rsidRDefault="00E86FE0" w:rsidP="00987279">
      <w:pPr>
        <w:autoSpaceDE w:val="0"/>
        <w:autoSpaceDN w:val="0"/>
        <w:adjustRightInd w:val="0"/>
        <w:spacing w:line="240" w:lineRule="auto"/>
        <w:rPr>
          <w:szCs w:val="21"/>
          <w:lang w:val="en-US"/>
        </w:rPr>
      </w:pPr>
    </w:p>
    <w:p w:rsidR="00E86FE0" w:rsidRPr="00F2534A" w:rsidRDefault="00E86FE0" w:rsidP="00987279">
      <w:pPr>
        <w:spacing w:line="240" w:lineRule="auto"/>
        <w:rPr>
          <w:szCs w:val="21"/>
          <w:u w:val="single"/>
          <w:lang w:val="mt-MT"/>
        </w:rPr>
      </w:pPr>
      <w:r w:rsidRPr="00F2534A">
        <w:rPr>
          <w:szCs w:val="21"/>
          <w:u w:val="single"/>
          <w:lang w:val="mt-MT"/>
        </w:rPr>
        <w:t>The Common Procedure</w:t>
      </w:r>
    </w:p>
    <w:p w:rsidR="00E86FE0" w:rsidRDefault="00E86FE0" w:rsidP="00987279">
      <w:pPr>
        <w:spacing w:line="240" w:lineRule="auto"/>
        <w:rPr>
          <w:szCs w:val="21"/>
          <w:lang w:val="mt-MT"/>
        </w:rPr>
      </w:pPr>
      <w:r w:rsidRPr="00F2534A">
        <w:rPr>
          <w:szCs w:val="21"/>
          <w:lang w:val="mt-MT"/>
        </w:rPr>
        <w:t xml:space="preserve">The definition of marine eutrophication given by the Eutrophication Strategy in a generalised and qualitative way is implemented and made operational through the Common Procedure for the Identification of the Eutrophication Status of the OSPAR maritime area (OSPAR, 2005; Ref no: 2005-3). The Common Procedure is based on a holistic scheme of qualitative assessment criteria which combines aspects of nutrient enrichment with aspects of direct, indirect and other possible effects of excessive nutrient enrichment on water quality and ecosystem components. The Common Procedure is supported under the eutrophication </w:t>
      </w:r>
      <w:r w:rsidRPr="00F2534A">
        <w:rPr>
          <w:szCs w:val="21"/>
          <w:lang w:val="mt-MT"/>
        </w:rPr>
        <w:lastRenderedPageBreak/>
        <w:t>related part of the OSPAR Joint Assessment and Monitoring Programme (JAMP) by collective OSPAR monitoring. The Eutrophication Monitoring Programme (OSPAR, 2005) is supplemented by monitoring guidelines, as part of the OSPAR Co-ordinated Environmental Monitoring Programme (CEMP). Under the JAMP, monitoring and periodic assessments of temporal trends of waterborne and atmospheric inputs of nutrients to the OSPAR maritime area under the OSPAR Comprehensive Study of Riverine Inputs and Direct Discharges (RID) and the OSPAR Comprehensive Atmospheric Monitoring Programme (CAMP) also inform the assessment of the eutrophication status.</w:t>
      </w:r>
    </w:p>
    <w:p w:rsidR="009B2A47" w:rsidRPr="00F2534A" w:rsidRDefault="009B2A47" w:rsidP="00987279">
      <w:pPr>
        <w:spacing w:line="240" w:lineRule="auto"/>
        <w:rPr>
          <w:szCs w:val="21"/>
          <w:lang w:val="mt-MT"/>
        </w:rPr>
      </w:pPr>
    </w:p>
    <w:p w:rsidR="00E86FE0" w:rsidRDefault="00E86FE0" w:rsidP="00987279">
      <w:pPr>
        <w:spacing w:line="240" w:lineRule="auto"/>
        <w:rPr>
          <w:szCs w:val="21"/>
          <w:lang w:val="mt-MT"/>
        </w:rPr>
      </w:pPr>
      <w:r w:rsidRPr="00F2534A">
        <w:rPr>
          <w:szCs w:val="21"/>
          <w:lang w:val="mt-MT"/>
        </w:rPr>
        <w:t>The Common Procedure comprises two procedural phases:</w:t>
      </w:r>
    </w:p>
    <w:p w:rsidR="009B2A47" w:rsidRPr="00F2534A" w:rsidRDefault="009B2A47" w:rsidP="00987279">
      <w:pPr>
        <w:spacing w:line="240" w:lineRule="auto"/>
        <w:rPr>
          <w:szCs w:val="21"/>
          <w:lang w:val="mt-MT"/>
        </w:rPr>
      </w:pPr>
    </w:p>
    <w:p w:rsidR="00E86FE0" w:rsidRDefault="00E86FE0" w:rsidP="00987279">
      <w:pPr>
        <w:spacing w:line="240" w:lineRule="auto"/>
        <w:rPr>
          <w:szCs w:val="21"/>
          <w:lang w:val="mt-MT"/>
        </w:rPr>
      </w:pPr>
      <w:r w:rsidRPr="00F2534A">
        <w:rPr>
          <w:szCs w:val="21"/>
          <w:lang w:val="mt-MT"/>
        </w:rPr>
        <w:t>•</w:t>
      </w:r>
      <w:r w:rsidRPr="00F2534A">
        <w:rPr>
          <w:szCs w:val="21"/>
          <w:lang w:val="mt-MT"/>
        </w:rPr>
        <w:tab/>
        <w:t xml:space="preserve">The first phase, the one-off “Screening Procedure”, was completed in 2001 and identified those areas of the OSPAR maritime area which are likely to be areas where eutrophication is not a problem. Those areas were classified as “non-problem areas” without further detailed assessment. The screening resulted in the areas shown in </w:t>
      </w:r>
      <w:r w:rsidRPr="00FC64E6">
        <w:rPr>
          <w:szCs w:val="21"/>
          <w:lang w:val="mt-MT"/>
        </w:rPr>
        <w:t>Fig.</w:t>
      </w:r>
      <w:r w:rsidRPr="00F2534A">
        <w:rPr>
          <w:szCs w:val="21"/>
          <w:lang w:val="mt-MT"/>
        </w:rPr>
        <w:t xml:space="preserve"> </w:t>
      </w:r>
      <w:r w:rsidR="00FC64E6">
        <w:rPr>
          <w:szCs w:val="21"/>
          <w:lang w:val="mt-MT"/>
        </w:rPr>
        <w:t>2.</w:t>
      </w:r>
      <w:r w:rsidRPr="00F2534A">
        <w:rPr>
          <w:szCs w:val="21"/>
          <w:lang w:val="mt-MT"/>
        </w:rPr>
        <w:t>3a which could not be set aside as obvious non-problem areas</w:t>
      </w:r>
      <w:r w:rsidR="009B2A47">
        <w:rPr>
          <w:szCs w:val="21"/>
          <w:lang w:val="mt-MT"/>
        </w:rPr>
        <w:t>.</w:t>
      </w:r>
    </w:p>
    <w:p w:rsidR="009B2A47" w:rsidRPr="00F2534A" w:rsidRDefault="009B2A47" w:rsidP="00987279">
      <w:pPr>
        <w:spacing w:line="240" w:lineRule="auto"/>
        <w:rPr>
          <w:szCs w:val="21"/>
          <w:lang w:val="mt-MT"/>
        </w:rPr>
      </w:pPr>
    </w:p>
    <w:p w:rsidR="00E86FE0" w:rsidRDefault="00E86FE0" w:rsidP="00987279">
      <w:pPr>
        <w:spacing w:line="240" w:lineRule="auto"/>
        <w:rPr>
          <w:szCs w:val="21"/>
          <w:lang w:val="mt-MT"/>
        </w:rPr>
      </w:pPr>
      <w:r w:rsidRPr="00F2534A">
        <w:rPr>
          <w:szCs w:val="21"/>
          <w:lang w:val="mt-MT"/>
        </w:rPr>
        <w:t>•</w:t>
      </w:r>
      <w:r w:rsidRPr="00F2534A">
        <w:rPr>
          <w:szCs w:val="21"/>
          <w:lang w:val="mt-MT"/>
        </w:rPr>
        <w:tab/>
        <w:t xml:space="preserve">In the second phase, the “Comprehensive Procedure” of the Common Procedure, a comprehensive assessment of the eutrophication status of the areas in </w:t>
      </w:r>
      <w:r w:rsidRPr="00FC64E6">
        <w:rPr>
          <w:szCs w:val="21"/>
          <w:lang w:val="mt-MT"/>
        </w:rPr>
        <w:t>Fig</w:t>
      </w:r>
      <w:r w:rsidRPr="00F2534A">
        <w:rPr>
          <w:szCs w:val="21"/>
          <w:lang w:val="mt-MT"/>
        </w:rPr>
        <w:t xml:space="preserve"> </w:t>
      </w:r>
      <w:r w:rsidR="00FC64E6">
        <w:rPr>
          <w:szCs w:val="21"/>
          <w:lang w:val="mt-MT"/>
        </w:rPr>
        <w:t>2.</w:t>
      </w:r>
      <w:r w:rsidRPr="00F2534A">
        <w:rPr>
          <w:szCs w:val="21"/>
          <w:lang w:val="mt-MT"/>
        </w:rPr>
        <w:t xml:space="preserve">3b was carried out. The Comprehensive Procedure is a reiterative process which was first applied by Contracting Parties in 2002 (OSPAR, 2003). In the second application of the Comprehensive Procedure in 2007(OSPAR 2008) the areas assessed included those that had been identified as problem areas or potential problem areas in the first application with addition of over 59 areas had been which had not been previously assessed under the Comprehensive </w:t>
      </w:r>
      <w:r w:rsidRPr="00FC64E6">
        <w:rPr>
          <w:szCs w:val="21"/>
          <w:lang w:val="mt-MT"/>
        </w:rPr>
        <w:t>Procedure (Fig</w:t>
      </w:r>
      <w:r w:rsidR="00FC64E6" w:rsidRPr="00FC64E6">
        <w:rPr>
          <w:szCs w:val="21"/>
          <w:lang w:val="mt-MT"/>
        </w:rPr>
        <w:t xml:space="preserve"> 2.</w:t>
      </w:r>
      <w:r w:rsidRPr="00FC64E6">
        <w:rPr>
          <w:szCs w:val="21"/>
          <w:lang w:val="mt-MT"/>
        </w:rPr>
        <w:t>3b).</w:t>
      </w:r>
    </w:p>
    <w:p w:rsidR="009B2A47" w:rsidRPr="00F2534A" w:rsidRDefault="009B2A47" w:rsidP="00987279">
      <w:pPr>
        <w:spacing w:line="240" w:lineRule="auto"/>
        <w:rPr>
          <w:szCs w:val="21"/>
          <w:lang w:val="mt-MT"/>
        </w:rPr>
      </w:pPr>
    </w:p>
    <w:p w:rsidR="00E86FE0" w:rsidRPr="00F2534A" w:rsidRDefault="00E86FE0" w:rsidP="00987279">
      <w:pPr>
        <w:spacing w:line="240" w:lineRule="auto"/>
        <w:rPr>
          <w:szCs w:val="21"/>
          <w:lang w:val="mt-MT"/>
        </w:rPr>
      </w:pPr>
      <w:r w:rsidRPr="00F2534A">
        <w:rPr>
          <w:b/>
          <w:noProof/>
          <w:szCs w:val="21"/>
          <w:lang w:val="el-GR" w:eastAsia="el-GR"/>
        </w:rPr>
        <w:drawing>
          <wp:inline distT="0" distB="0" distL="0" distR="0">
            <wp:extent cx="2335478" cy="2748173"/>
            <wp:effectExtent l="19050" t="0" r="7672"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335478" cy="2748173"/>
                    </a:xfrm>
                    <a:prstGeom prst="rect">
                      <a:avLst/>
                    </a:prstGeom>
                    <a:noFill/>
                    <a:ln w="9525">
                      <a:noFill/>
                      <a:miter lim="800000"/>
                      <a:headEnd/>
                      <a:tailEnd/>
                    </a:ln>
                  </pic:spPr>
                </pic:pic>
              </a:graphicData>
            </a:graphic>
          </wp:inline>
        </w:drawing>
      </w:r>
      <w:r w:rsidRPr="00F2534A">
        <w:rPr>
          <w:noProof/>
          <w:szCs w:val="21"/>
          <w:lang w:val="el-GR" w:eastAsia="el-GR"/>
        </w:rPr>
        <w:drawing>
          <wp:inline distT="0" distB="0" distL="0" distR="0">
            <wp:extent cx="2365962" cy="2753545"/>
            <wp:effectExtent l="1905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367416" cy="2755237"/>
                    </a:xfrm>
                    <a:prstGeom prst="rect">
                      <a:avLst/>
                    </a:prstGeom>
                    <a:noFill/>
                    <a:ln w="9525">
                      <a:noFill/>
                      <a:miter lim="800000"/>
                      <a:headEnd/>
                      <a:tailEnd/>
                    </a:ln>
                  </pic:spPr>
                </pic:pic>
              </a:graphicData>
            </a:graphic>
          </wp:inline>
        </w:drawing>
      </w:r>
    </w:p>
    <w:p w:rsidR="00E86FE0" w:rsidRDefault="006F2D89" w:rsidP="006F2D89">
      <w:pPr>
        <w:pStyle w:val="Caption"/>
        <w:rPr>
          <w:lang w:val="mt-MT"/>
        </w:rPr>
      </w:pPr>
      <w:r>
        <w:t xml:space="preserve">Figure </w:t>
      </w:r>
      <w:r w:rsidR="008135ED">
        <w:fldChar w:fldCharType="begin"/>
      </w:r>
      <w:r w:rsidR="004B48B8">
        <w:instrText xml:space="preserve"> STYLEREF 1 \s </w:instrText>
      </w:r>
      <w:r w:rsidR="008135ED">
        <w:fldChar w:fldCharType="separate"/>
      </w:r>
      <w:r w:rsidR="003461A2">
        <w:rPr>
          <w:noProof/>
        </w:rPr>
        <w:t>2</w:t>
      </w:r>
      <w:r w:rsidR="008135ED">
        <w:fldChar w:fldCharType="end"/>
      </w:r>
      <w:r w:rsidR="004B48B8">
        <w:t>.</w:t>
      </w:r>
      <w:r w:rsidR="008135ED">
        <w:fldChar w:fldCharType="begin"/>
      </w:r>
      <w:r w:rsidR="004B48B8">
        <w:instrText xml:space="preserve"> SEQ Figure \* ARABIC \s 1 </w:instrText>
      </w:r>
      <w:r w:rsidR="008135ED">
        <w:fldChar w:fldCharType="separate"/>
      </w:r>
      <w:r w:rsidR="003461A2">
        <w:rPr>
          <w:noProof/>
        </w:rPr>
        <w:t>3</w:t>
      </w:r>
      <w:r w:rsidR="008135ED">
        <w:fldChar w:fldCharType="end"/>
      </w:r>
      <w:r>
        <w:tab/>
      </w:r>
      <w:r w:rsidR="00E86FE0" w:rsidRPr="00F2534A">
        <w:rPr>
          <w:lang w:val="mt-MT"/>
        </w:rPr>
        <w:t>Areas assesed in the first (a) and second application (b) of the Comprehensive Procedure in 2002 and 2007 respectively. Assesement parametres used by Contracting Parties in 2007 are also shown. Source: OSPAR, 2008.</w:t>
      </w:r>
    </w:p>
    <w:p w:rsidR="009B2A47" w:rsidRPr="00F2534A" w:rsidRDefault="009B2A47" w:rsidP="00987279">
      <w:pPr>
        <w:spacing w:line="240" w:lineRule="auto"/>
        <w:rPr>
          <w:szCs w:val="21"/>
          <w:lang w:val="mt-MT"/>
        </w:rPr>
      </w:pPr>
    </w:p>
    <w:p w:rsidR="00E86FE0" w:rsidRDefault="00E86FE0" w:rsidP="00987279">
      <w:pPr>
        <w:spacing w:line="240" w:lineRule="auto"/>
        <w:rPr>
          <w:szCs w:val="21"/>
          <w:lang w:val="mt-MT"/>
        </w:rPr>
      </w:pPr>
      <w:r w:rsidRPr="00F2534A">
        <w:rPr>
          <w:szCs w:val="21"/>
          <w:lang w:val="mt-MT"/>
        </w:rPr>
        <w:t xml:space="preserve">Ten </w:t>
      </w:r>
      <w:r w:rsidRPr="00F2534A">
        <w:rPr>
          <w:szCs w:val="21"/>
          <w:lang w:val="en-US"/>
        </w:rPr>
        <w:t xml:space="preserve">assessment </w:t>
      </w:r>
      <w:r w:rsidRPr="00F2534A">
        <w:rPr>
          <w:szCs w:val="21"/>
          <w:lang w:val="mt-MT"/>
        </w:rPr>
        <w:t xml:space="preserve">parameters (indicators), grouped in 4 categories have been selected from a list of assessment criteria, for the harmonised application of the eutrophication assessment by Contracting Parties as shown in the following Table. </w:t>
      </w:r>
    </w:p>
    <w:p w:rsidR="004F7BA0" w:rsidRPr="00F2534A" w:rsidRDefault="004F7BA0" w:rsidP="00987279">
      <w:pPr>
        <w:spacing w:line="240" w:lineRule="auto"/>
        <w:rPr>
          <w:szCs w:val="21"/>
          <w:lang w:val="mt-MT"/>
        </w:rPr>
      </w:pPr>
    </w:p>
    <w:p w:rsidR="00E86FE0" w:rsidRPr="00F2534A" w:rsidRDefault="00E86FE0" w:rsidP="00987279">
      <w:pPr>
        <w:spacing w:line="240" w:lineRule="auto"/>
        <w:rPr>
          <w:szCs w:val="21"/>
          <w:lang w:val="mt-MT"/>
        </w:rPr>
      </w:pPr>
      <w:r w:rsidRPr="00F2534A">
        <w:rPr>
          <w:szCs w:val="21"/>
          <w:lang w:val="mt-MT"/>
        </w:rPr>
        <w:lastRenderedPageBreak/>
        <w:t>OSPAR ha</w:t>
      </w:r>
      <w:r w:rsidR="009B2A47">
        <w:rPr>
          <w:szCs w:val="21"/>
          <w:lang w:val="mt-MT"/>
        </w:rPr>
        <w:t xml:space="preserve">rmonized assessment parameters </w:t>
      </w:r>
      <w:r w:rsidRPr="00F2534A">
        <w:rPr>
          <w:szCs w:val="21"/>
          <w:lang w:val="mt-MT"/>
        </w:rPr>
        <w:t>(Source: OSPAR, 2008)</w:t>
      </w:r>
    </w:p>
    <w:p w:rsidR="00E86FE0" w:rsidRPr="00F2534A" w:rsidRDefault="00E86FE0" w:rsidP="00987279">
      <w:pPr>
        <w:spacing w:line="240" w:lineRule="auto"/>
        <w:rPr>
          <w:szCs w:val="21"/>
          <w:lang w:val="mt-MT"/>
        </w:rPr>
      </w:pPr>
      <w:r w:rsidRPr="00F2534A">
        <w:rPr>
          <w:noProof/>
          <w:szCs w:val="21"/>
          <w:lang w:val="el-GR" w:eastAsia="el-GR"/>
        </w:rPr>
        <w:drawing>
          <wp:inline distT="0" distB="0" distL="0" distR="0">
            <wp:extent cx="3928110" cy="3267710"/>
            <wp:effectExtent l="1905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t="6136"/>
                    <a:stretch>
                      <a:fillRect/>
                    </a:stretch>
                  </pic:blipFill>
                  <pic:spPr bwMode="auto">
                    <a:xfrm>
                      <a:off x="0" y="0"/>
                      <a:ext cx="3928110" cy="3267710"/>
                    </a:xfrm>
                    <a:prstGeom prst="rect">
                      <a:avLst/>
                    </a:prstGeom>
                    <a:noFill/>
                    <a:ln w="9525">
                      <a:noFill/>
                      <a:miter lim="800000"/>
                      <a:headEnd/>
                      <a:tailEnd/>
                    </a:ln>
                  </pic:spPr>
                </pic:pic>
              </a:graphicData>
            </a:graphic>
          </wp:inline>
        </w:drawing>
      </w:r>
    </w:p>
    <w:p w:rsidR="00E86FE0" w:rsidRPr="00F2534A" w:rsidRDefault="00E86FE0" w:rsidP="00987279">
      <w:pPr>
        <w:spacing w:line="240" w:lineRule="auto"/>
        <w:rPr>
          <w:szCs w:val="21"/>
          <w:lang w:val="mt-MT"/>
        </w:rPr>
      </w:pPr>
    </w:p>
    <w:p w:rsidR="00E86FE0" w:rsidRPr="00F2534A" w:rsidRDefault="00E86FE0" w:rsidP="00987279">
      <w:pPr>
        <w:spacing w:line="240" w:lineRule="auto"/>
        <w:rPr>
          <w:szCs w:val="21"/>
        </w:rPr>
      </w:pPr>
      <w:r w:rsidRPr="00F2534A">
        <w:rPr>
          <w:szCs w:val="21"/>
          <w:lang w:val="mt-MT"/>
        </w:rPr>
        <w:t>In previous OSPAR common procedure the Contracting Parties provided the national assesments that are summarized in the integrated report.</w:t>
      </w:r>
    </w:p>
    <w:p w:rsidR="00E86FE0" w:rsidRPr="00F2534A" w:rsidRDefault="00E86FE0" w:rsidP="00987279">
      <w:pPr>
        <w:spacing w:line="240" w:lineRule="auto"/>
        <w:rPr>
          <w:szCs w:val="21"/>
          <w:lang w:val="mt-MT"/>
        </w:rPr>
      </w:pPr>
      <w:r w:rsidRPr="00F2534A">
        <w:rPr>
          <w:szCs w:val="21"/>
          <w:lang w:val="mt-MT"/>
        </w:rPr>
        <w:t>The assessment process used by Contracting Parties has generally followed the guidance of the Common Procedure which entails:</w:t>
      </w:r>
    </w:p>
    <w:p w:rsidR="00E86FE0" w:rsidRPr="00F2534A" w:rsidRDefault="00E86FE0" w:rsidP="00987279">
      <w:pPr>
        <w:numPr>
          <w:ilvl w:val="0"/>
          <w:numId w:val="27"/>
        </w:numPr>
        <w:spacing w:line="240" w:lineRule="auto"/>
        <w:rPr>
          <w:szCs w:val="21"/>
          <w:lang w:val="mt-MT"/>
        </w:rPr>
      </w:pPr>
      <w:r w:rsidRPr="00F2534A">
        <w:rPr>
          <w:szCs w:val="21"/>
          <w:lang w:val="mt-MT"/>
        </w:rPr>
        <w:t>the assignment of a score corresponding to the level of each assessment parameter which has been monitored;</w:t>
      </w:r>
    </w:p>
    <w:p w:rsidR="00E86FE0" w:rsidRPr="00F2534A" w:rsidRDefault="00E86FE0" w:rsidP="00987279">
      <w:pPr>
        <w:numPr>
          <w:ilvl w:val="0"/>
          <w:numId w:val="27"/>
        </w:numPr>
        <w:spacing w:line="240" w:lineRule="auto"/>
        <w:rPr>
          <w:szCs w:val="21"/>
          <w:lang w:val="mt-MT"/>
        </w:rPr>
      </w:pPr>
      <w:r w:rsidRPr="00F2534A">
        <w:rPr>
          <w:szCs w:val="21"/>
          <w:lang w:val="mt-MT"/>
        </w:rPr>
        <w:t>an initial assessment based on a combination of these scores according to an agreed</w:t>
      </w:r>
    </w:p>
    <w:p w:rsidR="00E86FE0" w:rsidRPr="00F2534A" w:rsidRDefault="00E86FE0" w:rsidP="00987279">
      <w:pPr>
        <w:spacing w:line="240" w:lineRule="auto"/>
        <w:ind w:left="720"/>
        <w:rPr>
          <w:szCs w:val="21"/>
          <w:lang w:val="mt-MT"/>
        </w:rPr>
      </w:pPr>
      <w:r w:rsidRPr="00F2534A">
        <w:rPr>
          <w:szCs w:val="21"/>
          <w:lang w:val="mt-MT"/>
        </w:rPr>
        <w:t>framework, and;</w:t>
      </w:r>
    </w:p>
    <w:p w:rsidR="00E86FE0" w:rsidRPr="00F2534A" w:rsidRDefault="00E86FE0" w:rsidP="00987279">
      <w:pPr>
        <w:numPr>
          <w:ilvl w:val="0"/>
          <w:numId w:val="27"/>
        </w:numPr>
        <w:spacing w:line="240" w:lineRule="auto"/>
        <w:rPr>
          <w:szCs w:val="21"/>
          <w:lang w:val="mt-MT"/>
        </w:rPr>
      </w:pPr>
      <w:r w:rsidRPr="00F2534A">
        <w:rPr>
          <w:szCs w:val="21"/>
          <w:lang w:val="mt-MT"/>
        </w:rPr>
        <w:t>an overall final assessment of all relevant information relating to harmonised assessment parameters, their corresponding assessment levels and supporting environmental factors.</w:t>
      </w:r>
    </w:p>
    <w:p w:rsidR="00E86FE0" w:rsidRPr="00F2534A" w:rsidRDefault="00E86FE0" w:rsidP="00987279">
      <w:pPr>
        <w:spacing w:line="240" w:lineRule="auto"/>
        <w:rPr>
          <w:szCs w:val="21"/>
          <w:lang w:val="en-US"/>
        </w:rPr>
      </w:pPr>
    </w:p>
    <w:p w:rsidR="00E86FE0" w:rsidRPr="00F2534A" w:rsidRDefault="00E86FE0" w:rsidP="00987279">
      <w:pPr>
        <w:spacing w:line="240" w:lineRule="auto"/>
        <w:rPr>
          <w:szCs w:val="21"/>
          <w:lang w:val="mt-MT"/>
        </w:rPr>
      </w:pPr>
      <w:r w:rsidRPr="00F2534A">
        <w:rPr>
          <w:szCs w:val="21"/>
          <w:lang w:val="mt-MT"/>
        </w:rPr>
        <w:t xml:space="preserve">For each parameter, area-specific assessment levels (thresholds) are derived in relation to the relevant background conditions. The assessment level may deviate from background conditions to reflect natural variability. For concentrations, the assessment level is generally defined as a justified area-specific % deviation from background conditions not exceeding 50%.An overview of deriving assesement levels (thresholds) of the assesement parameters (indicators) under the Common Procedure is shown in the following Table from OSPAR (2012). </w:t>
      </w:r>
    </w:p>
    <w:p w:rsidR="00E86FE0" w:rsidRPr="00F2534A" w:rsidRDefault="00E86FE0" w:rsidP="00987279">
      <w:pPr>
        <w:spacing w:line="240" w:lineRule="auto"/>
        <w:rPr>
          <w:szCs w:val="21"/>
          <w:lang w:val="mt-MT"/>
        </w:rPr>
      </w:pPr>
    </w:p>
    <w:p w:rsidR="00E86FE0" w:rsidRPr="00F2534A" w:rsidRDefault="00E86FE0" w:rsidP="00987279">
      <w:pPr>
        <w:spacing w:line="240" w:lineRule="auto"/>
        <w:rPr>
          <w:szCs w:val="21"/>
          <w:lang w:val="mt-MT"/>
        </w:rPr>
      </w:pPr>
      <w:r w:rsidRPr="00F2534A">
        <w:rPr>
          <w:noProof/>
          <w:szCs w:val="21"/>
          <w:lang w:val="el-GR" w:eastAsia="el-GR"/>
        </w:rPr>
        <w:lastRenderedPageBreak/>
        <w:drawing>
          <wp:inline distT="0" distB="0" distL="0" distR="0">
            <wp:extent cx="5274310" cy="5325676"/>
            <wp:effectExtent l="19050" t="0" r="254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274310" cy="5325676"/>
                    </a:xfrm>
                    <a:prstGeom prst="rect">
                      <a:avLst/>
                    </a:prstGeom>
                    <a:noFill/>
                    <a:ln w="9525">
                      <a:noFill/>
                      <a:miter lim="800000"/>
                      <a:headEnd/>
                      <a:tailEnd/>
                    </a:ln>
                  </pic:spPr>
                </pic:pic>
              </a:graphicData>
            </a:graphic>
          </wp:inline>
        </w:drawing>
      </w:r>
    </w:p>
    <w:p w:rsidR="00E86FE0" w:rsidRPr="00F2534A" w:rsidRDefault="00E86FE0" w:rsidP="00987279">
      <w:pPr>
        <w:spacing w:line="240" w:lineRule="auto"/>
        <w:rPr>
          <w:szCs w:val="21"/>
          <w:lang w:val="mt-MT"/>
        </w:rPr>
      </w:pPr>
      <w:r w:rsidRPr="00F2534A">
        <w:rPr>
          <w:szCs w:val="21"/>
          <w:lang w:val="mt-MT"/>
        </w:rPr>
        <w:t>Source: OSPAR, 2012</w:t>
      </w:r>
    </w:p>
    <w:p w:rsidR="00E86FE0" w:rsidRPr="00F2534A" w:rsidRDefault="00E86FE0" w:rsidP="00987279">
      <w:pPr>
        <w:spacing w:line="240" w:lineRule="auto"/>
        <w:rPr>
          <w:szCs w:val="21"/>
          <w:lang w:val="mt-MT"/>
        </w:rPr>
      </w:pPr>
    </w:p>
    <w:p w:rsidR="00E86FE0" w:rsidRPr="00F2534A" w:rsidRDefault="00E86FE0" w:rsidP="00987279">
      <w:pPr>
        <w:spacing w:line="240" w:lineRule="auto"/>
        <w:rPr>
          <w:szCs w:val="21"/>
          <w:lang w:val="mt-MT"/>
        </w:rPr>
      </w:pPr>
      <w:r w:rsidRPr="00F2534A">
        <w:rPr>
          <w:szCs w:val="21"/>
          <w:lang w:val="mt-MT"/>
        </w:rPr>
        <w:t>For an initial classification of an area, the observed levels for each assessment parameter are scored and evaluated in relation to each other. The scores for each of the parameters are reported in a common format, the departing point for the second step in the classification process. The initial classification is as follows:</w:t>
      </w:r>
    </w:p>
    <w:p w:rsidR="00E86FE0" w:rsidRPr="00F2534A" w:rsidRDefault="00E86FE0" w:rsidP="00987279">
      <w:pPr>
        <w:numPr>
          <w:ilvl w:val="1"/>
          <w:numId w:val="26"/>
        </w:numPr>
        <w:spacing w:line="240" w:lineRule="auto"/>
        <w:rPr>
          <w:szCs w:val="21"/>
          <w:lang w:val="mt-MT"/>
        </w:rPr>
      </w:pPr>
      <w:r w:rsidRPr="00F2534A">
        <w:rPr>
          <w:szCs w:val="21"/>
          <w:lang w:val="mt-MT"/>
        </w:rPr>
        <w:t>areas showing an increased degree of nutrient enrichment accompanied by direct and/or indirect/ other possible effects are regarded as ‘problem areas’;</w:t>
      </w:r>
    </w:p>
    <w:p w:rsidR="00E86FE0" w:rsidRPr="00F2534A" w:rsidRDefault="00E86FE0" w:rsidP="00987279">
      <w:pPr>
        <w:numPr>
          <w:ilvl w:val="1"/>
          <w:numId w:val="26"/>
        </w:numPr>
        <w:spacing w:line="240" w:lineRule="auto"/>
        <w:rPr>
          <w:szCs w:val="21"/>
          <w:lang w:val="mt-MT"/>
        </w:rPr>
      </w:pPr>
      <w:r w:rsidRPr="00F2534A">
        <w:rPr>
          <w:szCs w:val="21"/>
          <w:lang w:val="mt-MT"/>
        </w:rPr>
        <w:t xml:space="preserve">areas may show direct effects and/or indirect or other possible effects, when there is no evident increased nutrient enrichment, for example, as a result of transboundary transport of (toxic) algae and/or organic matter arising from adjacent/remote areas. These areas could be classified as ‘problem areas’; </w:t>
      </w:r>
    </w:p>
    <w:p w:rsidR="00E86FE0" w:rsidRPr="00F2534A" w:rsidRDefault="00E86FE0" w:rsidP="00987279">
      <w:pPr>
        <w:numPr>
          <w:ilvl w:val="1"/>
          <w:numId w:val="26"/>
        </w:numPr>
        <w:spacing w:line="240" w:lineRule="auto"/>
        <w:rPr>
          <w:szCs w:val="21"/>
          <w:lang w:val="mt-MT"/>
        </w:rPr>
      </w:pPr>
      <w:r w:rsidRPr="00F2534A">
        <w:rPr>
          <w:szCs w:val="21"/>
          <w:lang w:val="mt-MT"/>
        </w:rPr>
        <w:t>areas with an increased degree of nutrient enrichment where:</w:t>
      </w:r>
    </w:p>
    <w:p w:rsidR="00E86FE0" w:rsidRPr="00F2534A" w:rsidRDefault="00E86FE0" w:rsidP="00987279">
      <w:pPr>
        <w:numPr>
          <w:ilvl w:val="2"/>
          <w:numId w:val="26"/>
        </w:numPr>
        <w:spacing w:line="240" w:lineRule="auto"/>
        <w:rPr>
          <w:szCs w:val="21"/>
          <w:lang w:val="mt-MT"/>
        </w:rPr>
      </w:pPr>
      <w:r w:rsidRPr="00F2534A">
        <w:rPr>
          <w:szCs w:val="21"/>
          <w:lang w:val="mt-MT"/>
        </w:rPr>
        <w:t>either there is firm, scientifically based evidence of the absence of (direct, indirect, or other possible) eutrophication effects – these are classified initially as ‘non-problem areas’, although the increased degree of nutrient enrichment in these areas may contribute to eutrophication problems elsewhere;</w:t>
      </w:r>
    </w:p>
    <w:p w:rsidR="00E86FE0" w:rsidRPr="00F2534A" w:rsidRDefault="00E86FE0" w:rsidP="00987279">
      <w:pPr>
        <w:numPr>
          <w:ilvl w:val="2"/>
          <w:numId w:val="26"/>
        </w:numPr>
        <w:spacing w:line="240" w:lineRule="auto"/>
        <w:rPr>
          <w:szCs w:val="21"/>
          <w:lang w:val="mt-MT"/>
        </w:rPr>
      </w:pPr>
      <w:r w:rsidRPr="00F2534A">
        <w:rPr>
          <w:szCs w:val="21"/>
          <w:lang w:val="mt-MT"/>
        </w:rPr>
        <w:lastRenderedPageBreak/>
        <w:t xml:space="preserve">or there is not enough data to perform an assessment or where the data available is not fit for the purpose – these are classified initially as ‘potential problem areas’; </w:t>
      </w:r>
    </w:p>
    <w:p w:rsidR="00E86FE0" w:rsidRPr="00F2534A" w:rsidRDefault="00E86FE0" w:rsidP="00987279">
      <w:pPr>
        <w:numPr>
          <w:ilvl w:val="1"/>
          <w:numId w:val="26"/>
        </w:numPr>
        <w:spacing w:line="240" w:lineRule="auto"/>
        <w:rPr>
          <w:szCs w:val="21"/>
          <w:lang w:val="mt-MT"/>
        </w:rPr>
      </w:pPr>
      <w:r w:rsidRPr="00F2534A">
        <w:rPr>
          <w:szCs w:val="21"/>
          <w:lang w:val="mt-MT"/>
        </w:rPr>
        <w:t xml:space="preserve">areas without nutrient enrichment and related (in)direct/ other possible effects are considered to be ‘non-problem areas’. </w:t>
      </w:r>
    </w:p>
    <w:p w:rsidR="00E86FE0" w:rsidRPr="00F2534A" w:rsidRDefault="00E86FE0" w:rsidP="00987279">
      <w:pPr>
        <w:spacing w:line="240" w:lineRule="auto"/>
        <w:ind w:left="720"/>
        <w:rPr>
          <w:szCs w:val="21"/>
          <w:lang w:val="mt-MT"/>
        </w:rPr>
      </w:pPr>
    </w:p>
    <w:p w:rsidR="00E86FE0" w:rsidRPr="00F2534A" w:rsidRDefault="00E86FE0" w:rsidP="00987279">
      <w:pPr>
        <w:spacing w:line="240" w:lineRule="auto"/>
        <w:rPr>
          <w:szCs w:val="21"/>
          <w:u w:val="single"/>
          <w:lang w:val="en-US"/>
        </w:rPr>
      </w:pPr>
      <w:r w:rsidRPr="00F2534A">
        <w:rPr>
          <w:szCs w:val="21"/>
          <w:u w:val="single"/>
          <w:lang w:val="en-US"/>
        </w:rPr>
        <w:t>Spatial coverage and assessment areas</w:t>
      </w:r>
      <w:r w:rsidRPr="00F2534A">
        <w:rPr>
          <w:szCs w:val="21"/>
          <w:u w:val="single"/>
          <w:lang w:val="mt-MT"/>
        </w:rPr>
        <w:t xml:space="preserve"> in the second application of the Comprehensive Procedure</w:t>
      </w:r>
    </w:p>
    <w:p w:rsidR="00E86FE0" w:rsidRPr="00F2534A" w:rsidRDefault="00E86FE0" w:rsidP="00987279">
      <w:pPr>
        <w:spacing w:line="240" w:lineRule="auto"/>
        <w:rPr>
          <w:szCs w:val="21"/>
          <w:lang w:val="mt-MT"/>
        </w:rPr>
      </w:pPr>
      <w:r w:rsidRPr="00F2534A">
        <w:rPr>
          <w:szCs w:val="21"/>
          <w:lang w:val="mt-MT"/>
        </w:rPr>
        <w:t xml:space="preserve">The areas assesed in the second application of the Comprehensive Procedure in 2007 (OSPAR 2008) are shown </w:t>
      </w:r>
      <w:r w:rsidRPr="00FC64E6">
        <w:rPr>
          <w:szCs w:val="21"/>
          <w:lang w:val="mt-MT"/>
        </w:rPr>
        <w:t xml:space="preserve">in Fig </w:t>
      </w:r>
      <w:r w:rsidR="00FC64E6" w:rsidRPr="00FC64E6">
        <w:rPr>
          <w:szCs w:val="21"/>
          <w:lang w:val="mt-MT"/>
        </w:rPr>
        <w:t>2.</w:t>
      </w:r>
      <w:r w:rsidRPr="00FC64E6">
        <w:rPr>
          <w:szCs w:val="21"/>
          <w:lang w:val="mt-MT"/>
        </w:rPr>
        <w:t>3b.</w:t>
      </w:r>
      <w:r w:rsidRPr="00F2534A">
        <w:rPr>
          <w:szCs w:val="21"/>
          <w:lang w:val="mt-MT"/>
        </w:rPr>
        <w:t xml:space="preserve"> Contracting Parties have used different geographical scales for identifying individual assessment areas ranging from small individual fjords to large coastal strips.The size of the assessment areas is decreasing from offshore to inshore waters (estuaries, bights, fjords).</w:t>
      </w:r>
    </w:p>
    <w:p w:rsidR="00E86FE0" w:rsidRPr="00F2534A" w:rsidRDefault="00E86FE0" w:rsidP="00987279">
      <w:pPr>
        <w:spacing w:line="240" w:lineRule="auto"/>
        <w:rPr>
          <w:szCs w:val="21"/>
          <w:lang w:val="mt-MT"/>
        </w:rPr>
      </w:pPr>
    </w:p>
    <w:p w:rsidR="00E86FE0" w:rsidRPr="00F2534A" w:rsidRDefault="00E86FE0" w:rsidP="00987279">
      <w:pPr>
        <w:spacing w:line="240" w:lineRule="auto"/>
        <w:rPr>
          <w:szCs w:val="21"/>
          <w:u w:val="single"/>
          <w:lang w:val="mt-MT"/>
        </w:rPr>
      </w:pPr>
      <w:r w:rsidRPr="00F2534A">
        <w:rPr>
          <w:szCs w:val="21"/>
          <w:u w:val="single"/>
          <w:lang w:val="mt-MT"/>
        </w:rPr>
        <w:t>Temporal coverage of the assesements</w:t>
      </w:r>
    </w:p>
    <w:p w:rsidR="00E86FE0" w:rsidRPr="00F2534A" w:rsidRDefault="00E86FE0" w:rsidP="00987279">
      <w:pPr>
        <w:spacing w:line="240" w:lineRule="auto"/>
        <w:rPr>
          <w:szCs w:val="21"/>
          <w:lang w:val="mt-MT"/>
        </w:rPr>
      </w:pPr>
      <w:r w:rsidRPr="00F2534A">
        <w:rPr>
          <w:szCs w:val="21"/>
          <w:lang w:val="mt-MT"/>
        </w:rPr>
        <w:t>The first application of the Comprehensive Procedure roughly covered the years 1990-2000 and the second application assesed the period 2001 – 2005.</w:t>
      </w:r>
    </w:p>
    <w:p w:rsidR="00E86FE0" w:rsidRPr="00F2534A" w:rsidRDefault="00E86FE0" w:rsidP="00987279">
      <w:pPr>
        <w:spacing w:line="240" w:lineRule="auto"/>
        <w:rPr>
          <w:szCs w:val="21"/>
          <w:u w:val="single"/>
          <w:lang w:val="mt-MT"/>
        </w:rPr>
      </w:pPr>
    </w:p>
    <w:p w:rsidR="00E86FE0" w:rsidRPr="00F2534A" w:rsidRDefault="00E86FE0" w:rsidP="00987279">
      <w:pPr>
        <w:spacing w:line="240" w:lineRule="auto"/>
        <w:rPr>
          <w:szCs w:val="21"/>
          <w:u w:val="single"/>
          <w:lang w:val="mt-MT"/>
        </w:rPr>
      </w:pPr>
      <w:r w:rsidRPr="00F2534A">
        <w:rPr>
          <w:szCs w:val="21"/>
          <w:u w:val="single"/>
          <w:lang w:val="mt-MT"/>
        </w:rPr>
        <w:t>Assesement parameters (indicators) and assesement levels (thresholds) in the second application of the Comprehensive Procedure</w:t>
      </w:r>
    </w:p>
    <w:p w:rsidR="00E86FE0" w:rsidRPr="00F2534A" w:rsidRDefault="00E86FE0" w:rsidP="00987279">
      <w:pPr>
        <w:spacing w:line="240" w:lineRule="auto"/>
        <w:rPr>
          <w:b/>
          <w:bCs/>
          <w:szCs w:val="21"/>
          <w:lang w:val="mt-MT"/>
        </w:rPr>
      </w:pPr>
    </w:p>
    <w:p w:rsidR="00E86FE0" w:rsidRPr="00F2534A" w:rsidRDefault="00E86FE0" w:rsidP="00987279">
      <w:pPr>
        <w:spacing w:line="240" w:lineRule="auto"/>
        <w:rPr>
          <w:bCs/>
          <w:szCs w:val="21"/>
          <w:lang w:val="mt-MT"/>
        </w:rPr>
      </w:pPr>
      <w:r w:rsidRPr="00F2534A">
        <w:rPr>
          <w:bCs/>
          <w:szCs w:val="21"/>
          <w:lang w:val="mt-MT"/>
        </w:rPr>
        <w:t xml:space="preserve">The agreed harmonised assessment parameters have not been applied by all Contracting Parties (see </w:t>
      </w:r>
      <w:r w:rsidRPr="00FC64E6">
        <w:rPr>
          <w:bCs/>
          <w:szCs w:val="21"/>
          <w:lang w:val="mt-MT"/>
        </w:rPr>
        <w:t xml:space="preserve">Fig </w:t>
      </w:r>
      <w:r w:rsidR="00FC64E6" w:rsidRPr="00FC64E6">
        <w:rPr>
          <w:bCs/>
          <w:szCs w:val="21"/>
          <w:lang w:val="mt-MT"/>
        </w:rPr>
        <w:t>2.</w:t>
      </w:r>
      <w:r w:rsidRPr="00FC64E6">
        <w:rPr>
          <w:bCs/>
          <w:szCs w:val="21"/>
          <w:lang w:val="mt-MT"/>
        </w:rPr>
        <w:t>3b).</w:t>
      </w:r>
      <w:r w:rsidRPr="00F2534A">
        <w:rPr>
          <w:bCs/>
          <w:szCs w:val="21"/>
          <w:lang w:val="mt-MT"/>
        </w:rPr>
        <w:t xml:space="preserve"> Inorganic winter nutrients, chlorophyll and oxygen concentrations are the main parameters that have been considered in estuaries, including fjords, and in coastal waters. Offshore, mainly winter nutrients and chlorophyll have been used in the assessment. Overall, chlorophyll is the most applied effect parameter, followed by oxygen. The more complicated analyses of phytoplankton indicator species, macrophytes and zoobenthos were less often performed. The following parameters used </w:t>
      </w:r>
      <w:r w:rsidRPr="00F2534A">
        <w:rPr>
          <w:szCs w:val="21"/>
          <w:lang w:val="mt-MT"/>
        </w:rPr>
        <w:t>in the second application of the Comprehensive Procedure</w:t>
      </w:r>
      <w:r w:rsidRPr="00F2534A">
        <w:rPr>
          <w:bCs/>
          <w:szCs w:val="21"/>
          <w:lang w:val="mt-MT"/>
        </w:rPr>
        <w:t xml:space="preserve"> are included in OSPAR’s common Indicators list .</w:t>
      </w:r>
    </w:p>
    <w:p w:rsidR="00E86FE0" w:rsidRPr="00F2534A" w:rsidRDefault="00E86FE0" w:rsidP="00987279">
      <w:pPr>
        <w:autoSpaceDE w:val="0"/>
        <w:autoSpaceDN w:val="0"/>
        <w:adjustRightInd w:val="0"/>
        <w:spacing w:line="240" w:lineRule="auto"/>
        <w:rPr>
          <w:bCs/>
          <w:szCs w:val="21"/>
          <w:lang w:val="en-US"/>
        </w:rPr>
      </w:pPr>
    </w:p>
    <w:p w:rsidR="00E86FE0" w:rsidRPr="00F2534A" w:rsidRDefault="00E86FE0" w:rsidP="00987279">
      <w:pPr>
        <w:autoSpaceDE w:val="0"/>
        <w:autoSpaceDN w:val="0"/>
        <w:adjustRightInd w:val="0"/>
        <w:spacing w:line="240" w:lineRule="auto"/>
        <w:rPr>
          <w:szCs w:val="21"/>
          <w:lang w:val="en-US"/>
        </w:rPr>
      </w:pPr>
      <w:r w:rsidRPr="00F2534A">
        <w:rPr>
          <w:i/>
          <w:szCs w:val="21"/>
          <w:lang w:val="en-US"/>
        </w:rPr>
        <w:t>Winter nutrient concentrations</w:t>
      </w:r>
      <w:r w:rsidR="004B48B8">
        <w:rPr>
          <w:szCs w:val="21"/>
          <w:lang w:val="en-US"/>
        </w:rPr>
        <w:t>.</w:t>
      </w:r>
      <w:r w:rsidR="00BC4B4F">
        <w:rPr>
          <w:szCs w:val="21"/>
          <w:lang w:val="en-US"/>
        </w:rPr>
        <w:t xml:space="preserve"> </w:t>
      </w:r>
      <w:r w:rsidRPr="00F2534A">
        <w:rPr>
          <w:szCs w:val="21"/>
          <w:lang w:val="en-US"/>
        </w:rPr>
        <w:t xml:space="preserve">In areas affected by a salinity gradient, both winter nutrient (DIN, DIP) concentrations and corresponding salinities are reported, in order to normalize nutrient concentrations for salinity. In the North Sea, the assessment levels used by Contracting Parties for winter nutrient concentrations are set in relation to salinity gradients. </w:t>
      </w:r>
    </w:p>
    <w:p w:rsidR="00E86FE0" w:rsidRPr="00F2534A" w:rsidRDefault="00E86FE0" w:rsidP="00987279">
      <w:pPr>
        <w:autoSpaceDE w:val="0"/>
        <w:autoSpaceDN w:val="0"/>
        <w:adjustRightInd w:val="0"/>
        <w:spacing w:line="240" w:lineRule="auto"/>
        <w:rPr>
          <w:szCs w:val="21"/>
          <w:lang w:val="en-US"/>
        </w:rPr>
      </w:pPr>
    </w:p>
    <w:p w:rsidR="00E86FE0" w:rsidRPr="00F2534A" w:rsidRDefault="009B2A47" w:rsidP="004F7BA0">
      <w:pPr>
        <w:spacing w:line="240" w:lineRule="auto"/>
        <w:jc w:val="left"/>
        <w:rPr>
          <w:bCs/>
          <w:szCs w:val="21"/>
          <w:lang w:val="en-US"/>
        </w:rPr>
      </w:pPr>
      <w:r>
        <w:rPr>
          <w:bCs/>
          <w:szCs w:val="21"/>
          <w:lang w:val="en-US"/>
        </w:rPr>
        <w:br w:type="page"/>
      </w:r>
      <w:r w:rsidR="00E86FE0" w:rsidRPr="00F2534A">
        <w:rPr>
          <w:bCs/>
          <w:szCs w:val="21"/>
          <w:lang w:val="en-US"/>
        </w:rPr>
        <w:lastRenderedPageBreak/>
        <w:t>Assessment levels for winter DIN and winter DIP Source: OSPAR, 2008</w:t>
      </w:r>
    </w:p>
    <w:p w:rsidR="00E86FE0" w:rsidRPr="00F2534A" w:rsidRDefault="00E86FE0" w:rsidP="00987279">
      <w:pPr>
        <w:spacing w:line="240" w:lineRule="auto"/>
        <w:rPr>
          <w:bCs/>
          <w:szCs w:val="21"/>
          <w:lang w:val="en-US"/>
        </w:rPr>
      </w:pPr>
    </w:p>
    <w:p w:rsidR="00E86FE0" w:rsidRPr="00F2534A" w:rsidRDefault="00E86FE0" w:rsidP="00987279">
      <w:pPr>
        <w:spacing w:line="240" w:lineRule="auto"/>
        <w:rPr>
          <w:bCs/>
          <w:szCs w:val="21"/>
          <w:lang w:val="en-US"/>
        </w:rPr>
      </w:pPr>
      <w:r w:rsidRPr="00F2534A">
        <w:rPr>
          <w:bCs/>
          <w:noProof/>
          <w:szCs w:val="21"/>
          <w:lang w:val="el-GR" w:eastAsia="el-GR"/>
        </w:rPr>
        <w:drawing>
          <wp:inline distT="0" distB="0" distL="0" distR="0">
            <wp:extent cx="4806950" cy="3302000"/>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806950" cy="3302000"/>
                    </a:xfrm>
                    <a:prstGeom prst="rect">
                      <a:avLst/>
                    </a:prstGeom>
                    <a:noFill/>
                    <a:ln w="9525">
                      <a:noFill/>
                      <a:miter lim="800000"/>
                      <a:headEnd/>
                      <a:tailEnd/>
                    </a:ln>
                  </pic:spPr>
                </pic:pic>
              </a:graphicData>
            </a:graphic>
          </wp:inline>
        </w:drawing>
      </w:r>
    </w:p>
    <w:p w:rsidR="00E86FE0" w:rsidRPr="00F2534A" w:rsidRDefault="00E86FE0" w:rsidP="00987279">
      <w:pPr>
        <w:spacing w:line="240" w:lineRule="auto"/>
        <w:rPr>
          <w:bCs/>
          <w:szCs w:val="21"/>
          <w:lang w:val="mt-MT"/>
        </w:rPr>
      </w:pPr>
    </w:p>
    <w:p w:rsidR="00E86FE0" w:rsidRPr="00F2534A" w:rsidRDefault="00E86FE0" w:rsidP="00987279">
      <w:pPr>
        <w:spacing w:line="240" w:lineRule="auto"/>
        <w:rPr>
          <w:bCs/>
          <w:szCs w:val="21"/>
          <w:lang w:val="mt-MT"/>
        </w:rPr>
      </w:pPr>
      <w:r w:rsidRPr="00F2534A">
        <w:rPr>
          <w:bCs/>
          <w:i/>
          <w:szCs w:val="21"/>
          <w:lang w:val="mt-MT"/>
        </w:rPr>
        <w:t>Chlorophyll a</w:t>
      </w:r>
      <w:r w:rsidRPr="00F2534A">
        <w:rPr>
          <w:bCs/>
          <w:szCs w:val="21"/>
          <w:lang w:val="mt-MT"/>
        </w:rPr>
        <w:t>. A number of countries used the 90 percentile instead of, or in addition to mean and maximum concentrations of chlorophyll. Maximum concentrations proved to be difficult to work with because of the high frequency of measurements needed to detect the maxima. Moroever, using 90 percentiles enhances compliance with the Water Framework Directive (2000/60/EC).</w:t>
      </w:r>
    </w:p>
    <w:p w:rsidR="00E86FE0" w:rsidRPr="00F2534A" w:rsidRDefault="00E86FE0" w:rsidP="00987279">
      <w:pPr>
        <w:spacing w:line="240" w:lineRule="auto"/>
        <w:rPr>
          <w:bCs/>
          <w:szCs w:val="21"/>
          <w:lang w:val="en-US"/>
        </w:rPr>
      </w:pPr>
    </w:p>
    <w:p w:rsidR="00E86FE0" w:rsidRPr="00F2534A" w:rsidRDefault="00E86FE0" w:rsidP="00987279">
      <w:pPr>
        <w:spacing w:line="240" w:lineRule="auto"/>
        <w:rPr>
          <w:bCs/>
          <w:szCs w:val="21"/>
          <w:lang w:val="en-US"/>
        </w:rPr>
      </w:pPr>
      <w:r w:rsidRPr="00F2534A">
        <w:rPr>
          <w:bCs/>
          <w:szCs w:val="21"/>
          <w:lang w:val="en-US"/>
        </w:rPr>
        <w:t>Assessment levels for chlorophyll a. Source: OSPAR, 2008</w:t>
      </w:r>
    </w:p>
    <w:p w:rsidR="00E86FE0" w:rsidRPr="00F2534A" w:rsidRDefault="00E86FE0" w:rsidP="00987279">
      <w:pPr>
        <w:spacing w:line="240" w:lineRule="auto"/>
        <w:rPr>
          <w:bCs/>
          <w:szCs w:val="21"/>
          <w:lang w:val="en-US"/>
        </w:rPr>
      </w:pPr>
      <w:r w:rsidRPr="00F2534A">
        <w:rPr>
          <w:bCs/>
          <w:noProof/>
          <w:szCs w:val="21"/>
          <w:lang w:val="el-GR" w:eastAsia="el-GR"/>
        </w:rPr>
        <w:drawing>
          <wp:inline distT="0" distB="0" distL="0" distR="0">
            <wp:extent cx="4749800" cy="2482850"/>
            <wp:effectExtent l="19050" t="0" r="0"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4749800" cy="2482850"/>
                    </a:xfrm>
                    <a:prstGeom prst="rect">
                      <a:avLst/>
                    </a:prstGeom>
                    <a:noFill/>
                    <a:ln w="9525">
                      <a:noFill/>
                      <a:miter lim="800000"/>
                      <a:headEnd/>
                      <a:tailEnd/>
                    </a:ln>
                  </pic:spPr>
                </pic:pic>
              </a:graphicData>
            </a:graphic>
          </wp:inline>
        </w:drawing>
      </w:r>
    </w:p>
    <w:p w:rsidR="004B48B8" w:rsidRDefault="004B48B8" w:rsidP="00987279">
      <w:pPr>
        <w:spacing w:line="240" w:lineRule="auto"/>
        <w:rPr>
          <w:bCs/>
          <w:i/>
          <w:szCs w:val="21"/>
          <w:lang w:val="mt-MT"/>
        </w:rPr>
      </w:pPr>
    </w:p>
    <w:p w:rsidR="00E86FE0" w:rsidRPr="00F2534A" w:rsidRDefault="00E86FE0" w:rsidP="00987279">
      <w:pPr>
        <w:spacing w:line="240" w:lineRule="auto"/>
        <w:rPr>
          <w:bCs/>
          <w:szCs w:val="21"/>
          <w:lang w:val="mt-MT"/>
        </w:rPr>
      </w:pPr>
      <w:r w:rsidRPr="00F2534A">
        <w:rPr>
          <w:bCs/>
          <w:i/>
          <w:szCs w:val="21"/>
          <w:lang w:val="mt-MT"/>
        </w:rPr>
        <w:t>Phytoplankton indicator species</w:t>
      </w:r>
      <w:r w:rsidR="004B48B8">
        <w:rPr>
          <w:bCs/>
          <w:szCs w:val="21"/>
          <w:lang w:val="mt-MT"/>
        </w:rPr>
        <w:t xml:space="preserve">. </w:t>
      </w:r>
      <w:r w:rsidRPr="00F2534A">
        <w:rPr>
          <w:bCs/>
          <w:szCs w:val="21"/>
          <w:lang w:val="mt-MT"/>
        </w:rPr>
        <w:t xml:space="preserve">A number of Contracting Parties measured nuisance phytoplankton species like the foam-forming species Phaeocystis or the dense surface algal blooms of Noctiluca as eutrophication indicators. To assess the duration of bloom of nuisance phytoplankton indicator species, the next step would be to assess the % number of months in </w:t>
      </w:r>
      <w:r w:rsidRPr="00F2534A">
        <w:rPr>
          <w:bCs/>
          <w:szCs w:val="21"/>
          <w:lang w:val="mt-MT"/>
        </w:rPr>
        <w:lastRenderedPageBreak/>
        <w:t>the year for which blooms are above assessment levels of 106 cells per litre, taking into account the corresponding developments under the Water Framework Directive</w:t>
      </w:r>
    </w:p>
    <w:p w:rsidR="00E86FE0" w:rsidRPr="00F2534A" w:rsidRDefault="00E86FE0" w:rsidP="00987279">
      <w:pPr>
        <w:spacing w:line="240" w:lineRule="auto"/>
        <w:rPr>
          <w:bCs/>
          <w:szCs w:val="21"/>
          <w:lang w:val="mt-MT"/>
        </w:rPr>
      </w:pPr>
      <w:r w:rsidRPr="00F2534A">
        <w:rPr>
          <w:bCs/>
          <w:szCs w:val="21"/>
          <w:lang w:val="mt-MT"/>
        </w:rPr>
        <w:t>(2000/60/EC).</w:t>
      </w:r>
    </w:p>
    <w:p w:rsidR="00E86FE0" w:rsidRPr="00F2534A" w:rsidRDefault="00E86FE0" w:rsidP="00987279">
      <w:pPr>
        <w:spacing w:line="240" w:lineRule="auto"/>
        <w:rPr>
          <w:bCs/>
          <w:szCs w:val="21"/>
          <w:lang w:val="mt-MT"/>
        </w:rPr>
      </w:pPr>
    </w:p>
    <w:p w:rsidR="00E86FE0" w:rsidRPr="00F2534A" w:rsidRDefault="00E86FE0" w:rsidP="00987279">
      <w:pPr>
        <w:spacing w:line="240" w:lineRule="auto"/>
        <w:rPr>
          <w:bCs/>
          <w:szCs w:val="21"/>
          <w:lang w:val="en-US"/>
        </w:rPr>
      </w:pPr>
      <w:r w:rsidRPr="00F2534A">
        <w:rPr>
          <w:bCs/>
          <w:szCs w:val="21"/>
          <w:lang w:val="mt-MT"/>
        </w:rPr>
        <w:t>Assesement levels for area-specific phytoplankton indicator species.</w:t>
      </w:r>
      <w:r w:rsidRPr="00F2534A">
        <w:rPr>
          <w:bCs/>
          <w:szCs w:val="21"/>
          <w:lang w:val="en-US"/>
        </w:rPr>
        <w:t>Source: OSPAR, 2008</w:t>
      </w:r>
    </w:p>
    <w:p w:rsidR="00E86FE0" w:rsidRPr="00F2534A" w:rsidRDefault="00E86FE0" w:rsidP="00987279">
      <w:pPr>
        <w:spacing w:line="240" w:lineRule="auto"/>
        <w:rPr>
          <w:bCs/>
          <w:szCs w:val="21"/>
          <w:lang w:val="mt-MT"/>
        </w:rPr>
      </w:pPr>
      <w:r w:rsidRPr="00F2534A">
        <w:rPr>
          <w:bCs/>
          <w:noProof/>
          <w:szCs w:val="21"/>
          <w:lang w:val="el-GR" w:eastAsia="el-GR"/>
        </w:rPr>
        <w:drawing>
          <wp:inline distT="0" distB="0" distL="0" distR="0">
            <wp:extent cx="5274310" cy="2160561"/>
            <wp:effectExtent l="19050" t="0" r="254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274310" cy="2160561"/>
                    </a:xfrm>
                    <a:prstGeom prst="rect">
                      <a:avLst/>
                    </a:prstGeom>
                    <a:noFill/>
                    <a:ln w="9525">
                      <a:noFill/>
                      <a:miter lim="800000"/>
                      <a:headEnd/>
                      <a:tailEnd/>
                    </a:ln>
                  </pic:spPr>
                </pic:pic>
              </a:graphicData>
            </a:graphic>
          </wp:inline>
        </w:drawing>
      </w:r>
    </w:p>
    <w:p w:rsidR="00E86FE0" w:rsidRPr="00F2534A" w:rsidRDefault="00E86FE0" w:rsidP="00987279">
      <w:pPr>
        <w:spacing w:line="240" w:lineRule="auto"/>
        <w:rPr>
          <w:bCs/>
          <w:szCs w:val="21"/>
          <w:lang w:val="mt-MT"/>
        </w:rPr>
      </w:pPr>
    </w:p>
    <w:p w:rsidR="00E86FE0" w:rsidRPr="00F2534A" w:rsidRDefault="00E86FE0" w:rsidP="00987279">
      <w:pPr>
        <w:spacing w:line="240" w:lineRule="auto"/>
        <w:rPr>
          <w:bCs/>
          <w:szCs w:val="21"/>
          <w:lang w:val="mt-MT"/>
        </w:rPr>
      </w:pPr>
      <w:r w:rsidRPr="00F2534A">
        <w:rPr>
          <w:bCs/>
          <w:i/>
          <w:szCs w:val="21"/>
          <w:lang w:val="mt-MT"/>
        </w:rPr>
        <w:t>Oxygen</w:t>
      </w:r>
      <w:r w:rsidRPr="00F2534A">
        <w:rPr>
          <w:bCs/>
          <w:szCs w:val="21"/>
          <w:lang w:val="mt-MT"/>
        </w:rPr>
        <w:t>. The current assessment level for oxygen deficiency defined by OSPAR is 4-6 mg/l and marks the “threshold (range)” between problem and non-problem area. A further</w:t>
      </w:r>
    </w:p>
    <w:p w:rsidR="00E86FE0" w:rsidRPr="00F2534A" w:rsidRDefault="00E86FE0" w:rsidP="00987279">
      <w:pPr>
        <w:spacing w:line="240" w:lineRule="auto"/>
        <w:rPr>
          <w:bCs/>
          <w:szCs w:val="21"/>
          <w:lang w:val="mt-MT"/>
        </w:rPr>
      </w:pPr>
      <w:r w:rsidRPr="00F2534A">
        <w:rPr>
          <w:bCs/>
          <w:szCs w:val="21"/>
          <w:lang w:val="mt-MT"/>
        </w:rPr>
        <w:t>harmonisation of the assessment of oxygen should include the duration and spatial extent (area and depth) of oxygen deficiency.</w:t>
      </w:r>
    </w:p>
    <w:p w:rsidR="00E86FE0" w:rsidRPr="00F2534A" w:rsidRDefault="00E86FE0" w:rsidP="00987279">
      <w:pPr>
        <w:spacing w:line="240" w:lineRule="auto"/>
        <w:rPr>
          <w:bCs/>
          <w:szCs w:val="21"/>
          <w:lang w:val="mt-MT"/>
        </w:rPr>
      </w:pPr>
    </w:p>
    <w:p w:rsidR="00E86FE0" w:rsidRPr="00F2534A" w:rsidRDefault="00E86FE0" w:rsidP="00987279">
      <w:pPr>
        <w:spacing w:line="240" w:lineRule="auto"/>
        <w:rPr>
          <w:bCs/>
          <w:szCs w:val="21"/>
          <w:lang w:val="en-US"/>
        </w:rPr>
      </w:pPr>
      <w:r w:rsidRPr="00F2534A">
        <w:rPr>
          <w:bCs/>
          <w:szCs w:val="21"/>
          <w:lang w:val="en-US"/>
        </w:rPr>
        <w:t xml:space="preserve">Assessment levels for </w:t>
      </w:r>
      <w:r w:rsidR="00580600" w:rsidRPr="00F2534A">
        <w:rPr>
          <w:bCs/>
          <w:szCs w:val="21"/>
          <w:lang w:val="en-US"/>
        </w:rPr>
        <w:t>oxygen. Source</w:t>
      </w:r>
      <w:r w:rsidRPr="00F2534A">
        <w:rPr>
          <w:bCs/>
          <w:szCs w:val="21"/>
          <w:lang w:val="en-US"/>
        </w:rPr>
        <w:t>: OSPAR, 2008</w:t>
      </w:r>
    </w:p>
    <w:p w:rsidR="00E86FE0" w:rsidRPr="00F2534A" w:rsidRDefault="00E86FE0" w:rsidP="00987279">
      <w:pPr>
        <w:spacing w:line="240" w:lineRule="auto"/>
        <w:rPr>
          <w:bCs/>
          <w:szCs w:val="21"/>
          <w:lang w:val="en-US"/>
        </w:rPr>
      </w:pPr>
    </w:p>
    <w:p w:rsidR="00E86FE0" w:rsidRDefault="00E86FE0" w:rsidP="00987279">
      <w:pPr>
        <w:spacing w:line="240" w:lineRule="auto"/>
        <w:rPr>
          <w:bCs/>
          <w:szCs w:val="21"/>
          <w:lang w:val="en-US"/>
        </w:rPr>
      </w:pPr>
      <w:r w:rsidRPr="00F2534A">
        <w:rPr>
          <w:bCs/>
          <w:noProof/>
          <w:szCs w:val="21"/>
          <w:lang w:val="el-GR" w:eastAsia="el-GR"/>
        </w:rPr>
        <w:drawing>
          <wp:inline distT="0" distB="0" distL="0" distR="0">
            <wp:extent cx="4775200" cy="2298700"/>
            <wp:effectExtent l="19050" t="0" r="6350" b="0"/>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4775200" cy="2298700"/>
                    </a:xfrm>
                    <a:prstGeom prst="rect">
                      <a:avLst/>
                    </a:prstGeom>
                    <a:noFill/>
                    <a:ln w="9525">
                      <a:noFill/>
                      <a:miter lim="800000"/>
                      <a:headEnd/>
                      <a:tailEnd/>
                    </a:ln>
                  </pic:spPr>
                </pic:pic>
              </a:graphicData>
            </a:graphic>
          </wp:inline>
        </w:drawing>
      </w:r>
    </w:p>
    <w:p w:rsidR="004B48B8" w:rsidRDefault="004B48B8" w:rsidP="00987279">
      <w:pPr>
        <w:spacing w:line="240" w:lineRule="auto"/>
        <w:rPr>
          <w:b/>
          <w:szCs w:val="21"/>
          <w:lang w:val="en-US"/>
        </w:rPr>
      </w:pPr>
    </w:p>
    <w:p w:rsidR="009B2A47" w:rsidRPr="00F2534A" w:rsidRDefault="009B2A47" w:rsidP="00987279">
      <w:pPr>
        <w:spacing w:line="240" w:lineRule="auto"/>
        <w:rPr>
          <w:b/>
          <w:szCs w:val="21"/>
          <w:lang w:val="en-US"/>
        </w:rPr>
      </w:pPr>
      <w:r w:rsidRPr="00F2534A">
        <w:rPr>
          <w:b/>
          <w:szCs w:val="21"/>
          <w:lang w:val="en-US"/>
        </w:rPr>
        <w:t>UNEP/MAP</w:t>
      </w:r>
    </w:p>
    <w:p w:rsidR="009B2A47" w:rsidRPr="00F2534A" w:rsidRDefault="009B2A47" w:rsidP="00987279">
      <w:pPr>
        <w:spacing w:line="240" w:lineRule="auto"/>
        <w:rPr>
          <w:szCs w:val="21"/>
          <w:lang w:val="en-US"/>
        </w:rPr>
      </w:pPr>
      <w:r w:rsidRPr="00F2534A">
        <w:rPr>
          <w:szCs w:val="21"/>
          <w:lang w:val="en-US"/>
        </w:rPr>
        <w:t>The Contracting parties to the Barcelona Convention in the process of implementing the Ecosystem Approach have adopted</w:t>
      </w:r>
      <w:r w:rsidRPr="00F2534A">
        <w:rPr>
          <w:rFonts w:eastAsia="MyriadPro-Regular"/>
          <w:szCs w:val="21"/>
          <w:lang w:val="en-US"/>
        </w:rPr>
        <w:t xml:space="preserve"> Mediterranean</w:t>
      </w:r>
      <w:r w:rsidRPr="00F2534A">
        <w:rPr>
          <w:szCs w:val="21"/>
          <w:lang w:val="en-US"/>
        </w:rPr>
        <w:t xml:space="preserve"> Ecological Objectives (EOs) including EO5 Eutrophication, associated with Operational Objectives and indicators (</w:t>
      </w:r>
      <w:r w:rsidRPr="00F2534A">
        <w:rPr>
          <w:bCs/>
          <w:szCs w:val="21"/>
          <w:lang w:val="en-US"/>
        </w:rPr>
        <w:t>UNEP/MAP, 2012a</w:t>
      </w:r>
      <w:r w:rsidRPr="00F2534A">
        <w:rPr>
          <w:szCs w:val="21"/>
          <w:lang w:val="en-US"/>
        </w:rPr>
        <w:t xml:space="preserve">). Following RSCs practices, the establishment of common indicators is the next step to put forward. For EO 5, two common indicators are currently proposed, concentration of key nutrients and </w:t>
      </w:r>
      <w:r w:rsidRPr="00F2534A">
        <w:rPr>
          <w:bCs/>
          <w:iCs/>
          <w:szCs w:val="21"/>
          <w:lang w:val="en-US"/>
        </w:rPr>
        <w:t xml:space="preserve">chlorophyll-a </w:t>
      </w:r>
      <w:r w:rsidRPr="00FC64E6">
        <w:rPr>
          <w:bCs/>
          <w:iCs/>
          <w:szCs w:val="21"/>
          <w:lang w:val="en-US"/>
        </w:rPr>
        <w:t xml:space="preserve">concentration </w:t>
      </w:r>
      <w:r w:rsidRPr="00FC64E6">
        <w:rPr>
          <w:szCs w:val="21"/>
          <w:lang w:val="en-US"/>
        </w:rPr>
        <w:t xml:space="preserve">(Table </w:t>
      </w:r>
      <w:r w:rsidR="00FC64E6" w:rsidRPr="00FC64E6">
        <w:rPr>
          <w:szCs w:val="21"/>
          <w:lang w:val="en-US"/>
        </w:rPr>
        <w:t>2.</w:t>
      </w:r>
      <w:r w:rsidRPr="00FC64E6">
        <w:rPr>
          <w:szCs w:val="21"/>
          <w:lang w:val="en-US"/>
        </w:rPr>
        <w:t>3, UNEP</w:t>
      </w:r>
      <w:r w:rsidRPr="00F2534A">
        <w:rPr>
          <w:szCs w:val="21"/>
          <w:lang w:val="en-US"/>
        </w:rPr>
        <w:t>/MAP, 2014a).The process of identifying targets and corresponding GES for EO5 has initiated in 2012 (</w:t>
      </w:r>
      <w:r w:rsidRPr="00F2534A">
        <w:rPr>
          <w:bCs/>
          <w:szCs w:val="21"/>
          <w:lang w:val="en-US"/>
        </w:rPr>
        <w:t>UNEP/MAP 2012b</w:t>
      </w:r>
      <w:r w:rsidRPr="00F2534A">
        <w:rPr>
          <w:szCs w:val="21"/>
          <w:lang w:val="en-US"/>
        </w:rPr>
        <w:t xml:space="preserve">). Thresholds values are not yet available but MED POL has made some preparatory work to </w:t>
      </w:r>
      <w:r w:rsidRPr="00F2534A">
        <w:rPr>
          <w:szCs w:val="21"/>
          <w:lang w:val="en-US"/>
        </w:rPr>
        <w:lastRenderedPageBreak/>
        <w:t>provide initial background information on methodologies for the establishment of threshold values for eutrophication (UNEP/MAP, 2011a). This work would need to be further discussed during national expert meetings organized by MAP MED POL during 2014-2015.</w:t>
      </w:r>
    </w:p>
    <w:p w:rsidR="009B2A47" w:rsidRPr="00F2534A" w:rsidRDefault="009B2A47" w:rsidP="00987279">
      <w:pPr>
        <w:spacing w:line="240" w:lineRule="auto"/>
        <w:rPr>
          <w:szCs w:val="21"/>
          <w:lang w:val="en-US"/>
        </w:rPr>
      </w:pPr>
    </w:p>
    <w:p w:rsidR="009B2A47" w:rsidRPr="00F2534A" w:rsidRDefault="004B48B8" w:rsidP="004B48B8">
      <w:pPr>
        <w:pStyle w:val="Caption"/>
        <w:rPr>
          <w:lang w:val="en-US"/>
        </w:rPr>
      </w:pPr>
      <w:r>
        <w:t xml:space="preserve">Table </w:t>
      </w:r>
      <w:r w:rsidR="008135ED">
        <w:fldChar w:fldCharType="begin"/>
      </w:r>
      <w:r>
        <w:instrText xml:space="preserve"> STYLEREF 1 \s </w:instrText>
      </w:r>
      <w:r w:rsidR="008135ED">
        <w:fldChar w:fldCharType="separate"/>
      </w:r>
      <w:r w:rsidR="003461A2">
        <w:rPr>
          <w:noProof/>
        </w:rPr>
        <w:t>2</w:t>
      </w:r>
      <w:r w:rsidR="008135ED">
        <w:fldChar w:fldCharType="end"/>
      </w:r>
      <w:r>
        <w:t>.</w:t>
      </w:r>
      <w:r w:rsidR="008135ED">
        <w:fldChar w:fldCharType="begin"/>
      </w:r>
      <w:r>
        <w:instrText xml:space="preserve"> SEQ Table \* ARABIC \s 1 </w:instrText>
      </w:r>
      <w:r w:rsidR="008135ED">
        <w:fldChar w:fldCharType="separate"/>
      </w:r>
      <w:r w:rsidR="003461A2">
        <w:rPr>
          <w:noProof/>
        </w:rPr>
        <w:t>3</w:t>
      </w:r>
      <w:r w:rsidR="008135ED">
        <w:fldChar w:fldCharType="end"/>
      </w:r>
      <w:r>
        <w:tab/>
      </w:r>
      <w:r w:rsidR="009B2A47" w:rsidRPr="00F2534A">
        <w:rPr>
          <w:lang w:val="en-US"/>
        </w:rPr>
        <w:t>Operational objectives, common indicators, GES and targets for EO5 eutrophication (adapted from UNEP/MAP, 2014a)</w:t>
      </w:r>
    </w:p>
    <w:tbl>
      <w:tblPr>
        <w:tblStyle w:val="TableGrid"/>
        <w:tblW w:w="5000" w:type="pct"/>
        <w:tblLook w:val="04A0"/>
      </w:tblPr>
      <w:tblGrid>
        <w:gridCol w:w="2976"/>
        <w:gridCol w:w="2977"/>
        <w:gridCol w:w="2977"/>
      </w:tblGrid>
      <w:tr w:rsidR="009B2A47" w:rsidRPr="009B2A47" w:rsidTr="00EC5066">
        <w:tc>
          <w:tcPr>
            <w:tcW w:w="1666" w:type="pct"/>
            <w:shd w:val="clear" w:color="auto" w:fill="D9D9D9" w:themeFill="background1" w:themeFillShade="D9"/>
          </w:tcPr>
          <w:p w:rsidR="009B2A47" w:rsidRPr="009B2A47" w:rsidRDefault="009B2A47" w:rsidP="00987279">
            <w:pPr>
              <w:spacing w:line="240" w:lineRule="auto"/>
              <w:rPr>
                <w:sz w:val="18"/>
                <w:szCs w:val="18"/>
              </w:rPr>
            </w:pPr>
            <w:r w:rsidRPr="009B2A47">
              <w:rPr>
                <w:sz w:val="18"/>
                <w:szCs w:val="18"/>
              </w:rPr>
              <w:t>Common Indicator</w:t>
            </w:r>
          </w:p>
          <w:p w:rsidR="009B2A47" w:rsidRPr="009B2A47" w:rsidRDefault="009B2A47" w:rsidP="00987279">
            <w:pPr>
              <w:spacing w:line="240" w:lineRule="auto"/>
              <w:rPr>
                <w:sz w:val="18"/>
                <w:szCs w:val="18"/>
                <w:lang w:val="en-US"/>
              </w:rPr>
            </w:pPr>
          </w:p>
        </w:tc>
        <w:tc>
          <w:tcPr>
            <w:tcW w:w="1667" w:type="pct"/>
            <w:shd w:val="clear" w:color="auto" w:fill="D9D9D9" w:themeFill="background1" w:themeFillShade="D9"/>
          </w:tcPr>
          <w:p w:rsidR="009B2A47" w:rsidRPr="009B2A47" w:rsidRDefault="009B2A47" w:rsidP="00987279">
            <w:pPr>
              <w:spacing w:line="240" w:lineRule="auto"/>
              <w:rPr>
                <w:sz w:val="18"/>
                <w:szCs w:val="18"/>
              </w:rPr>
            </w:pPr>
            <w:r w:rsidRPr="009B2A47">
              <w:rPr>
                <w:sz w:val="18"/>
                <w:szCs w:val="18"/>
              </w:rPr>
              <w:t>GES</w:t>
            </w:r>
          </w:p>
          <w:p w:rsidR="009B2A47" w:rsidRPr="009B2A47" w:rsidRDefault="009B2A47" w:rsidP="00987279">
            <w:pPr>
              <w:spacing w:line="240" w:lineRule="auto"/>
              <w:rPr>
                <w:sz w:val="18"/>
                <w:szCs w:val="18"/>
                <w:lang w:val="en-US"/>
              </w:rPr>
            </w:pPr>
          </w:p>
        </w:tc>
        <w:tc>
          <w:tcPr>
            <w:tcW w:w="1667" w:type="pct"/>
            <w:shd w:val="clear" w:color="auto" w:fill="D9D9D9" w:themeFill="background1" w:themeFillShade="D9"/>
          </w:tcPr>
          <w:p w:rsidR="009B2A47" w:rsidRPr="009B2A47" w:rsidRDefault="009B2A47" w:rsidP="00987279">
            <w:pPr>
              <w:spacing w:line="240" w:lineRule="auto"/>
              <w:rPr>
                <w:sz w:val="18"/>
                <w:szCs w:val="18"/>
                <w:lang w:val="en-US"/>
              </w:rPr>
            </w:pPr>
            <w:r w:rsidRPr="009B2A47">
              <w:rPr>
                <w:sz w:val="18"/>
                <w:szCs w:val="18"/>
              </w:rPr>
              <w:t>Targets</w:t>
            </w:r>
          </w:p>
          <w:p w:rsidR="009B2A47" w:rsidRPr="009B2A47" w:rsidRDefault="009B2A47" w:rsidP="00987279">
            <w:pPr>
              <w:spacing w:line="240" w:lineRule="auto"/>
              <w:rPr>
                <w:sz w:val="18"/>
                <w:szCs w:val="18"/>
                <w:lang w:val="en-US"/>
              </w:rPr>
            </w:pPr>
          </w:p>
        </w:tc>
      </w:tr>
      <w:tr w:rsidR="009B2A47" w:rsidRPr="009B2A47" w:rsidTr="00EC5066">
        <w:trPr>
          <w:trHeight w:val="4411"/>
        </w:trPr>
        <w:tc>
          <w:tcPr>
            <w:tcW w:w="1666" w:type="pct"/>
          </w:tcPr>
          <w:p w:rsidR="009B2A47" w:rsidRPr="009B2A47" w:rsidRDefault="009B2A47" w:rsidP="00987279">
            <w:pPr>
              <w:pStyle w:val="Default"/>
              <w:spacing w:line="240" w:lineRule="auto"/>
              <w:rPr>
                <w:sz w:val="18"/>
                <w:szCs w:val="18"/>
                <w:lang w:val="en-US"/>
              </w:rPr>
            </w:pPr>
            <w:r w:rsidRPr="009B2A47">
              <w:rPr>
                <w:sz w:val="18"/>
                <w:szCs w:val="18"/>
                <w:lang w:val="en-US"/>
              </w:rPr>
              <w:t xml:space="preserve">5.1.1 Concentration of key nutrients in the water column </w:t>
            </w:r>
          </w:p>
          <w:p w:rsidR="009B2A47" w:rsidRPr="009B2A47" w:rsidRDefault="009B2A47" w:rsidP="00987279">
            <w:pPr>
              <w:pStyle w:val="Default"/>
              <w:spacing w:line="240" w:lineRule="auto"/>
              <w:rPr>
                <w:sz w:val="18"/>
                <w:szCs w:val="18"/>
              </w:rPr>
            </w:pPr>
            <w:r w:rsidRPr="009B2A47">
              <w:rPr>
                <w:sz w:val="18"/>
                <w:szCs w:val="18"/>
              </w:rPr>
              <w:t xml:space="preserve">geographic and climate conditions </w:t>
            </w:r>
          </w:p>
          <w:p w:rsidR="009B2A47" w:rsidRPr="009B2A47" w:rsidRDefault="009B2A47" w:rsidP="00987279">
            <w:pPr>
              <w:pStyle w:val="Default"/>
              <w:spacing w:line="240" w:lineRule="auto"/>
              <w:rPr>
                <w:sz w:val="18"/>
                <w:szCs w:val="18"/>
                <w:lang w:val="en-US"/>
              </w:rPr>
            </w:pPr>
          </w:p>
        </w:tc>
        <w:tc>
          <w:tcPr>
            <w:tcW w:w="1667" w:type="pct"/>
          </w:tcPr>
          <w:p w:rsidR="009B2A47" w:rsidRPr="009B2A47" w:rsidRDefault="009B2A47" w:rsidP="00987279">
            <w:pPr>
              <w:spacing w:line="240" w:lineRule="auto"/>
              <w:rPr>
                <w:sz w:val="18"/>
                <w:szCs w:val="18"/>
                <w:lang w:val="en-US"/>
              </w:rPr>
            </w:pPr>
            <w:r w:rsidRPr="009B2A47">
              <w:rPr>
                <w:sz w:val="18"/>
                <w:szCs w:val="18"/>
                <w:lang w:val="en-US"/>
              </w:rPr>
              <w:t>Concentrations of nutrients in the euphotic layer are in line with prevailing physiographic</w:t>
            </w:r>
          </w:p>
          <w:p w:rsidR="009B2A47" w:rsidRPr="009B2A47" w:rsidRDefault="009B2A47" w:rsidP="00987279">
            <w:pPr>
              <w:pStyle w:val="Default"/>
              <w:spacing w:line="240" w:lineRule="auto"/>
              <w:rPr>
                <w:sz w:val="18"/>
                <w:szCs w:val="18"/>
                <w:lang w:val="en-US"/>
              </w:rPr>
            </w:pPr>
            <w:r w:rsidRPr="009B2A47">
              <w:rPr>
                <w:sz w:val="18"/>
                <w:szCs w:val="18"/>
                <w:lang w:val="en-US"/>
              </w:rPr>
              <w:t xml:space="preserve">characteristics of the un-impacted marine region </w:t>
            </w:r>
            <w:r w:rsidRPr="009B2A47">
              <w:rPr>
                <w:sz w:val="18"/>
                <w:szCs w:val="18"/>
                <w:vertAlign w:val="superscript"/>
                <w:lang w:val="en-US"/>
              </w:rPr>
              <w:t>1</w:t>
            </w:r>
          </w:p>
          <w:p w:rsidR="009B2A47" w:rsidRPr="009B2A47" w:rsidRDefault="009B2A47" w:rsidP="00987279">
            <w:pPr>
              <w:spacing w:line="240" w:lineRule="auto"/>
              <w:rPr>
                <w:sz w:val="18"/>
                <w:szCs w:val="18"/>
                <w:lang w:val="en-US"/>
              </w:rPr>
            </w:pPr>
          </w:p>
        </w:tc>
        <w:tc>
          <w:tcPr>
            <w:tcW w:w="1667" w:type="pct"/>
          </w:tcPr>
          <w:p w:rsidR="009B2A47" w:rsidRPr="009B2A47" w:rsidRDefault="009B2A47" w:rsidP="00987279">
            <w:pPr>
              <w:pStyle w:val="Default"/>
              <w:spacing w:line="240" w:lineRule="auto"/>
              <w:rPr>
                <w:sz w:val="18"/>
                <w:szCs w:val="18"/>
                <w:lang w:val="en-US"/>
              </w:rPr>
            </w:pPr>
            <w:r w:rsidRPr="009B2A47">
              <w:rPr>
                <w:b/>
                <w:bCs/>
                <w:sz w:val="18"/>
                <w:szCs w:val="18"/>
                <w:lang w:val="en-US"/>
              </w:rPr>
              <w:t xml:space="preserve">State </w:t>
            </w:r>
          </w:p>
          <w:p w:rsidR="009B2A47" w:rsidRPr="009B2A47" w:rsidRDefault="009B2A47" w:rsidP="00987279">
            <w:pPr>
              <w:spacing w:line="240" w:lineRule="auto"/>
              <w:rPr>
                <w:sz w:val="18"/>
                <w:szCs w:val="18"/>
                <w:lang w:val="en-US"/>
              </w:rPr>
            </w:pPr>
            <w:r w:rsidRPr="009B2A47">
              <w:rPr>
                <w:sz w:val="18"/>
                <w:szCs w:val="18"/>
                <w:lang w:val="en-US"/>
              </w:rPr>
              <w:t>Reference nutrients concentrations according to the local hydrological, chemical and morphological</w:t>
            </w:r>
          </w:p>
          <w:p w:rsidR="009B2A47" w:rsidRPr="009B2A47" w:rsidRDefault="009B2A47" w:rsidP="00987279">
            <w:pPr>
              <w:pStyle w:val="Default"/>
              <w:spacing w:line="240" w:lineRule="auto"/>
              <w:rPr>
                <w:sz w:val="18"/>
                <w:szCs w:val="18"/>
                <w:lang w:val="en-US"/>
              </w:rPr>
            </w:pPr>
            <w:r w:rsidRPr="009B2A47">
              <w:rPr>
                <w:sz w:val="18"/>
                <w:szCs w:val="18"/>
                <w:lang w:val="en-US"/>
              </w:rPr>
              <w:t xml:space="preserve">Decreasing trend of nutrients concentrations in water column of human impacted areas, statistically defined </w:t>
            </w:r>
          </w:p>
          <w:p w:rsidR="009B2A47" w:rsidRPr="009B2A47" w:rsidRDefault="009B2A47" w:rsidP="00987279">
            <w:pPr>
              <w:pStyle w:val="Default"/>
              <w:spacing w:line="240" w:lineRule="auto"/>
              <w:rPr>
                <w:sz w:val="18"/>
                <w:szCs w:val="18"/>
                <w:lang w:val="en-US"/>
              </w:rPr>
            </w:pPr>
            <w:r w:rsidRPr="009B2A47">
              <w:rPr>
                <w:b/>
                <w:bCs/>
                <w:sz w:val="18"/>
                <w:szCs w:val="18"/>
                <w:lang w:val="en-US"/>
              </w:rPr>
              <w:t xml:space="preserve">Pressure </w:t>
            </w:r>
          </w:p>
          <w:p w:rsidR="009B2A47" w:rsidRPr="009B2A47" w:rsidRDefault="009B2A47" w:rsidP="00987279">
            <w:pPr>
              <w:pStyle w:val="Default"/>
              <w:spacing w:line="240" w:lineRule="auto"/>
              <w:rPr>
                <w:sz w:val="18"/>
                <w:szCs w:val="18"/>
                <w:lang w:val="en-US"/>
              </w:rPr>
            </w:pPr>
            <w:r w:rsidRPr="009B2A47">
              <w:rPr>
                <w:sz w:val="18"/>
                <w:szCs w:val="18"/>
                <w:lang w:val="en-US"/>
              </w:rPr>
              <w:t xml:space="preserve">1. Reduction of BOD emissions from land based sources </w:t>
            </w:r>
          </w:p>
          <w:p w:rsidR="009B2A47" w:rsidRPr="009B2A47" w:rsidRDefault="009B2A47" w:rsidP="00987279">
            <w:pPr>
              <w:pStyle w:val="Default"/>
              <w:spacing w:line="240" w:lineRule="auto"/>
              <w:rPr>
                <w:sz w:val="18"/>
                <w:szCs w:val="18"/>
                <w:lang w:val="en-US"/>
              </w:rPr>
            </w:pPr>
            <w:r w:rsidRPr="009B2A47">
              <w:rPr>
                <w:sz w:val="18"/>
                <w:szCs w:val="18"/>
                <w:lang w:val="en-US"/>
              </w:rPr>
              <w:t xml:space="preserve">2. Reduction of nutrients emissions from land based sources </w:t>
            </w:r>
          </w:p>
          <w:p w:rsidR="009B2A47" w:rsidRPr="009B2A47" w:rsidRDefault="009B2A47" w:rsidP="00987279">
            <w:pPr>
              <w:spacing w:line="240" w:lineRule="auto"/>
              <w:rPr>
                <w:sz w:val="18"/>
                <w:szCs w:val="18"/>
                <w:lang w:val="en-US"/>
              </w:rPr>
            </w:pPr>
          </w:p>
        </w:tc>
      </w:tr>
      <w:tr w:rsidR="009B2A47" w:rsidRPr="009B2A47" w:rsidTr="00EC5066">
        <w:tc>
          <w:tcPr>
            <w:tcW w:w="1666" w:type="pct"/>
          </w:tcPr>
          <w:p w:rsidR="009B2A47" w:rsidRPr="009B2A47" w:rsidRDefault="009B2A47" w:rsidP="00987279">
            <w:pPr>
              <w:spacing w:line="240" w:lineRule="auto"/>
              <w:rPr>
                <w:sz w:val="18"/>
                <w:szCs w:val="18"/>
                <w:lang w:val="en-US"/>
              </w:rPr>
            </w:pPr>
            <w:r w:rsidRPr="009B2A47">
              <w:rPr>
                <w:sz w:val="18"/>
                <w:szCs w:val="18"/>
                <w:lang w:val="en-US"/>
              </w:rPr>
              <w:t>5.2.1 Chlorophyll-a concentration in the water column</w:t>
            </w:r>
          </w:p>
        </w:tc>
        <w:tc>
          <w:tcPr>
            <w:tcW w:w="1667" w:type="pct"/>
          </w:tcPr>
          <w:p w:rsidR="009B2A47" w:rsidRPr="009B2A47" w:rsidRDefault="009B2A47" w:rsidP="00987279">
            <w:pPr>
              <w:pStyle w:val="Default"/>
              <w:spacing w:line="240" w:lineRule="auto"/>
              <w:rPr>
                <w:sz w:val="18"/>
                <w:szCs w:val="18"/>
                <w:lang w:val="en-US"/>
              </w:rPr>
            </w:pPr>
            <w:r w:rsidRPr="009B2A47">
              <w:rPr>
                <w:sz w:val="18"/>
                <w:szCs w:val="18"/>
                <w:lang w:val="en-US"/>
              </w:rPr>
              <w:t>Natural levels of algal biomass in line with prevailing physiographic, geographic and weather conditions</w:t>
            </w:r>
            <w:r w:rsidRPr="009B2A47">
              <w:rPr>
                <w:sz w:val="18"/>
                <w:szCs w:val="18"/>
                <w:vertAlign w:val="superscript"/>
                <w:lang w:val="en-US"/>
              </w:rPr>
              <w:t xml:space="preserve">2 </w:t>
            </w:r>
          </w:p>
        </w:tc>
        <w:tc>
          <w:tcPr>
            <w:tcW w:w="1667" w:type="pct"/>
          </w:tcPr>
          <w:p w:rsidR="009B2A47" w:rsidRPr="009B2A47" w:rsidRDefault="009B2A47" w:rsidP="00987279">
            <w:pPr>
              <w:pStyle w:val="Default"/>
              <w:spacing w:line="240" w:lineRule="auto"/>
              <w:rPr>
                <w:sz w:val="18"/>
                <w:szCs w:val="18"/>
                <w:lang w:val="en-US"/>
              </w:rPr>
            </w:pPr>
            <w:r w:rsidRPr="009B2A47">
              <w:rPr>
                <w:b/>
                <w:bCs/>
                <w:sz w:val="18"/>
                <w:szCs w:val="18"/>
                <w:lang w:val="en-US"/>
              </w:rPr>
              <w:t xml:space="preserve">State </w:t>
            </w:r>
          </w:p>
          <w:p w:rsidR="009B2A47" w:rsidRPr="009B2A47" w:rsidRDefault="009B2A47" w:rsidP="00987279">
            <w:pPr>
              <w:pStyle w:val="Default"/>
              <w:spacing w:line="240" w:lineRule="auto"/>
              <w:rPr>
                <w:sz w:val="18"/>
                <w:szCs w:val="18"/>
                <w:lang w:val="en-US"/>
              </w:rPr>
            </w:pPr>
            <w:r w:rsidRPr="009B2A47">
              <w:rPr>
                <w:sz w:val="18"/>
                <w:szCs w:val="18"/>
                <w:lang w:val="en-US"/>
              </w:rPr>
              <w:t>1. Chl-a concentrations in high-risk areas below thresholds</w:t>
            </w:r>
            <w:r w:rsidRPr="009B2A47">
              <w:rPr>
                <w:sz w:val="18"/>
                <w:szCs w:val="18"/>
                <w:vertAlign w:val="superscript"/>
                <w:lang w:val="en-US"/>
              </w:rPr>
              <w:t>3</w:t>
            </w:r>
          </w:p>
          <w:p w:rsidR="009B2A47" w:rsidRPr="009B2A47" w:rsidRDefault="009B2A47" w:rsidP="00987279">
            <w:pPr>
              <w:pStyle w:val="Default"/>
              <w:spacing w:line="240" w:lineRule="auto"/>
              <w:rPr>
                <w:sz w:val="18"/>
                <w:szCs w:val="18"/>
                <w:lang w:val="en-US"/>
              </w:rPr>
            </w:pPr>
            <w:r w:rsidRPr="009B2A47">
              <w:rPr>
                <w:sz w:val="18"/>
                <w:szCs w:val="18"/>
                <w:lang w:val="en-US"/>
              </w:rPr>
              <w:t xml:space="preserve">2. Decreasing trend in chl-a concentrations in high risk areas affected by human activities </w:t>
            </w:r>
          </w:p>
          <w:p w:rsidR="009B2A47" w:rsidRPr="009B2A47" w:rsidRDefault="009B2A47" w:rsidP="00987279">
            <w:pPr>
              <w:pStyle w:val="Default"/>
              <w:spacing w:line="240" w:lineRule="auto"/>
              <w:rPr>
                <w:sz w:val="18"/>
                <w:szCs w:val="18"/>
                <w:lang w:val="en-US"/>
              </w:rPr>
            </w:pPr>
          </w:p>
        </w:tc>
      </w:tr>
    </w:tbl>
    <w:p w:rsidR="009B2A47" w:rsidRPr="00F2534A" w:rsidRDefault="009B2A47" w:rsidP="00987279">
      <w:pPr>
        <w:spacing w:line="240" w:lineRule="auto"/>
        <w:rPr>
          <w:szCs w:val="21"/>
          <w:lang w:val="en-US"/>
        </w:rPr>
      </w:pPr>
      <w:r w:rsidRPr="00F2534A">
        <w:rPr>
          <w:szCs w:val="21"/>
          <w:vertAlign w:val="superscript"/>
          <w:lang w:val="en-US"/>
        </w:rPr>
        <w:t xml:space="preserve">1 </w:t>
      </w:r>
      <w:r w:rsidRPr="00F2534A">
        <w:rPr>
          <w:szCs w:val="21"/>
          <w:lang w:val="en-US"/>
        </w:rPr>
        <w:t>Thresholds to be set, subject to decision of Contracting Parties by COP19.</w:t>
      </w:r>
    </w:p>
    <w:p w:rsidR="009B2A47" w:rsidRPr="00F2534A" w:rsidRDefault="009B2A47" w:rsidP="00987279">
      <w:pPr>
        <w:spacing w:line="240" w:lineRule="auto"/>
        <w:rPr>
          <w:szCs w:val="21"/>
          <w:lang w:val="en-US"/>
        </w:rPr>
      </w:pPr>
      <w:r w:rsidRPr="00F2534A">
        <w:rPr>
          <w:szCs w:val="21"/>
          <w:vertAlign w:val="superscript"/>
          <w:lang w:val="en-US"/>
        </w:rPr>
        <w:t>2</w:t>
      </w:r>
      <w:r w:rsidRPr="00F2534A">
        <w:rPr>
          <w:szCs w:val="21"/>
          <w:lang w:val="en-US"/>
        </w:rPr>
        <w:t xml:space="preserve"> Thresholds to be determined by COP19.</w:t>
      </w:r>
    </w:p>
    <w:p w:rsidR="009B2A47" w:rsidRPr="00F2534A" w:rsidRDefault="009B2A47" w:rsidP="00987279">
      <w:pPr>
        <w:spacing w:line="240" w:lineRule="auto"/>
        <w:rPr>
          <w:szCs w:val="21"/>
          <w:lang w:val="en-US"/>
        </w:rPr>
      </w:pPr>
      <w:r w:rsidRPr="00F2534A">
        <w:rPr>
          <w:szCs w:val="21"/>
          <w:vertAlign w:val="superscript"/>
          <w:lang w:val="en-US"/>
        </w:rPr>
        <w:t>3</w:t>
      </w:r>
      <w:r w:rsidRPr="00F2534A">
        <w:rPr>
          <w:szCs w:val="21"/>
          <w:lang w:val="en-US"/>
        </w:rPr>
        <w:t>Thresholds to be set in the future, feasibility to be addressed, subject to decision of Contracting Parties by COP19</w:t>
      </w:r>
    </w:p>
    <w:p w:rsidR="009B2A47" w:rsidRPr="00F2534A" w:rsidRDefault="009B2A47" w:rsidP="00987279">
      <w:pPr>
        <w:spacing w:line="240" w:lineRule="auto"/>
        <w:rPr>
          <w:szCs w:val="21"/>
          <w:lang w:val="en-US"/>
        </w:rPr>
      </w:pPr>
    </w:p>
    <w:p w:rsidR="009B2A47" w:rsidRPr="00F2534A" w:rsidRDefault="009B2A47" w:rsidP="00987279">
      <w:pPr>
        <w:spacing w:line="240" w:lineRule="auto"/>
        <w:rPr>
          <w:szCs w:val="21"/>
          <w:u w:val="single"/>
          <w:lang w:val="en-US"/>
        </w:rPr>
      </w:pPr>
      <w:r w:rsidRPr="00F2534A">
        <w:rPr>
          <w:szCs w:val="21"/>
          <w:u w:val="single"/>
          <w:lang w:val="en-US"/>
        </w:rPr>
        <w:t xml:space="preserve">Common Indicator 7: Concentration of key nutrients in the water column. </w:t>
      </w:r>
      <w:r w:rsidRPr="00F2534A">
        <w:rPr>
          <w:szCs w:val="21"/>
          <w:lang w:val="en-US"/>
        </w:rPr>
        <w:t>Data for this indicator have been generated by a number of Contracting Parties for the purpose of the MED POL Phase IV eutrophication monitoring programme. The parameters monitored include NO</w:t>
      </w:r>
      <w:r w:rsidRPr="00F2534A">
        <w:rPr>
          <w:szCs w:val="21"/>
          <w:vertAlign w:val="subscript"/>
          <w:lang w:val="en-US"/>
        </w:rPr>
        <w:t>3</w:t>
      </w:r>
      <w:r w:rsidRPr="00F2534A">
        <w:rPr>
          <w:szCs w:val="21"/>
          <w:lang w:val="en-US"/>
        </w:rPr>
        <w:t>, NO</w:t>
      </w:r>
      <w:r w:rsidRPr="00F2534A">
        <w:rPr>
          <w:szCs w:val="21"/>
          <w:vertAlign w:val="subscript"/>
          <w:lang w:val="en-US"/>
        </w:rPr>
        <w:t>2</w:t>
      </w:r>
      <w:r w:rsidRPr="00F2534A">
        <w:rPr>
          <w:szCs w:val="21"/>
          <w:lang w:val="en-US"/>
        </w:rPr>
        <w:t>, NH</w:t>
      </w:r>
      <w:r w:rsidRPr="00F2534A">
        <w:rPr>
          <w:szCs w:val="21"/>
          <w:vertAlign w:val="subscript"/>
          <w:lang w:val="en-US"/>
        </w:rPr>
        <w:t>4</w:t>
      </w:r>
      <w:r w:rsidRPr="00F2534A">
        <w:rPr>
          <w:szCs w:val="21"/>
          <w:lang w:val="en-US"/>
        </w:rPr>
        <w:t>, PO</w:t>
      </w:r>
      <w:r w:rsidRPr="00F2534A">
        <w:rPr>
          <w:szCs w:val="21"/>
          <w:vertAlign w:val="subscript"/>
          <w:lang w:val="en-US"/>
        </w:rPr>
        <w:t>4</w:t>
      </w:r>
      <w:r w:rsidRPr="00F2534A">
        <w:rPr>
          <w:szCs w:val="21"/>
          <w:lang w:val="en-US"/>
        </w:rPr>
        <w:t xml:space="preserve"> (or Total N, Total P) and SiO</w:t>
      </w:r>
      <w:r w:rsidRPr="00F2534A">
        <w:rPr>
          <w:szCs w:val="21"/>
          <w:vertAlign w:val="subscript"/>
          <w:lang w:val="en-US"/>
        </w:rPr>
        <w:t>4</w:t>
      </w:r>
      <w:r w:rsidRPr="00F2534A">
        <w:rPr>
          <w:szCs w:val="21"/>
          <w:lang w:val="en-US"/>
        </w:rPr>
        <w:t xml:space="preserve"> (occasionally). Additional data generation for MED POL in terms of additional parameters to address this indicator would not be required. However the existing geographical coverage in terms of contribution of monitoring data by Contracting Parties for this indicator would need to be improved.</w:t>
      </w:r>
    </w:p>
    <w:p w:rsidR="009B2A47" w:rsidRPr="00F2534A" w:rsidRDefault="009B2A47" w:rsidP="00987279">
      <w:pPr>
        <w:spacing w:line="240" w:lineRule="auto"/>
        <w:rPr>
          <w:szCs w:val="21"/>
          <w:lang w:val="en-US"/>
        </w:rPr>
      </w:pPr>
    </w:p>
    <w:p w:rsidR="009B2A47" w:rsidRPr="00F2534A" w:rsidRDefault="009B2A47" w:rsidP="00987279">
      <w:pPr>
        <w:pStyle w:val="Default"/>
        <w:jc w:val="both"/>
        <w:rPr>
          <w:sz w:val="21"/>
          <w:szCs w:val="21"/>
          <w:u w:val="single"/>
          <w:lang w:val="en-US"/>
        </w:rPr>
      </w:pPr>
      <w:r w:rsidRPr="00F2534A">
        <w:rPr>
          <w:bCs/>
          <w:sz w:val="21"/>
          <w:szCs w:val="21"/>
          <w:u w:val="single"/>
          <w:lang w:val="en-US"/>
        </w:rPr>
        <w:t xml:space="preserve">Common Indicator 8: </w:t>
      </w:r>
      <w:r w:rsidRPr="00F2534A">
        <w:rPr>
          <w:bCs/>
          <w:i/>
          <w:iCs/>
          <w:sz w:val="21"/>
          <w:szCs w:val="21"/>
          <w:u w:val="single"/>
          <w:lang w:val="en-US"/>
        </w:rPr>
        <w:t xml:space="preserve">Chlorophyll-a concentration in the water column. </w:t>
      </w:r>
      <w:r w:rsidRPr="00F2534A">
        <w:rPr>
          <w:sz w:val="21"/>
          <w:szCs w:val="21"/>
          <w:lang w:val="en-US"/>
        </w:rPr>
        <w:t xml:space="preserve">Data for this indicator have been generated by a number of Contracting Parties for the purpose of the MED POL Phase IV eutrophication monitoring programme. Methodologies considered include chlorophyll-a concentration measured in winter and in early spring (November–March) when phytoplankton bloom occurs following the deep winter mixing (&lt;0.1 </w:t>
      </w:r>
      <w:r w:rsidRPr="00F2534A">
        <w:rPr>
          <w:sz w:val="21"/>
          <w:szCs w:val="21"/>
        </w:rPr>
        <w:t>μ</w:t>
      </w:r>
      <w:r w:rsidRPr="00F2534A">
        <w:rPr>
          <w:sz w:val="21"/>
          <w:szCs w:val="21"/>
          <w:lang w:val="en-US"/>
        </w:rPr>
        <w:t xml:space="preserve">g/l), data from a 25 meters top layer and /or surface data and satellite imagery to identify hotspots (different productivity areas). The existing geographical coverage in terms of contribution of monitoring </w:t>
      </w:r>
      <w:r w:rsidRPr="00F2534A">
        <w:rPr>
          <w:sz w:val="21"/>
          <w:szCs w:val="21"/>
          <w:lang w:val="en-US"/>
        </w:rPr>
        <w:lastRenderedPageBreak/>
        <w:t xml:space="preserve">data by Contracting Parties for this indicator would need to be improved. For a wider sub-regional and regional scale, the possibility to assess the actual condition for chl-a concentrations using satellite images is considered. These values could then be used as reference conditions for any subsequent GES monitoring based on trends. </w:t>
      </w:r>
    </w:p>
    <w:p w:rsidR="009B2A47" w:rsidRPr="00F2534A" w:rsidRDefault="009B2A47" w:rsidP="00987279">
      <w:pPr>
        <w:spacing w:line="240" w:lineRule="auto"/>
        <w:rPr>
          <w:szCs w:val="21"/>
          <w:lang w:val="en-US"/>
        </w:rPr>
      </w:pPr>
    </w:p>
    <w:p w:rsidR="009B2A47" w:rsidRPr="00F2534A" w:rsidRDefault="009B2A47" w:rsidP="00987279">
      <w:pPr>
        <w:spacing w:line="240" w:lineRule="auto"/>
        <w:rPr>
          <w:szCs w:val="21"/>
          <w:lang w:val="en-US"/>
        </w:rPr>
      </w:pPr>
      <w:r w:rsidRPr="00F2534A">
        <w:rPr>
          <w:szCs w:val="21"/>
          <w:lang w:val="en-US"/>
        </w:rPr>
        <w:t>NO</w:t>
      </w:r>
      <w:r w:rsidRPr="00F2534A">
        <w:rPr>
          <w:szCs w:val="21"/>
          <w:vertAlign w:val="subscript"/>
          <w:lang w:val="en-US"/>
        </w:rPr>
        <w:t>3</w:t>
      </w:r>
      <w:r w:rsidRPr="00F2534A">
        <w:rPr>
          <w:szCs w:val="21"/>
          <w:lang w:val="en-US"/>
        </w:rPr>
        <w:t>, NO</w:t>
      </w:r>
      <w:r w:rsidRPr="00F2534A">
        <w:rPr>
          <w:szCs w:val="21"/>
          <w:vertAlign w:val="subscript"/>
          <w:lang w:val="en-US"/>
        </w:rPr>
        <w:t>2</w:t>
      </w:r>
      <w:r w:rsidRPr="00F2534A">
        <w:rPr>
          <w:szCs w:val="21"/>
          <w:lang w:val="en-US"/>
        </w:rPr>
        <w:t>, NH</w:t>
      </w:r>
      <w:r w:rsidRPr="00F2534A">
        <w:rPr>
          <w:szCs w:val="21"/>
          <w:vertAlign w:val="subscript"/>
          <w:lang w:val="en-US"/>
        </w:rPr>
        <w:t>4</w:t>
      </w:r>
      <w:r w:rsidRPr="00F2534A">
        <w:rPr>
          <w:szCs w:val="21"/>
          <w:lang w:val="en-US"/>
        </w:rPr>
        <w:t>, PO</w:t>
      </w:r>
      <w:r w:rsidRPr="00F2534A">
        <w:rPr>
          <w:szCs w:val="21"/>
          <w:vertAlign w:val="subscript"/>
          <w:lang w:val="en-US"/>
        </w:rPr>
        <w:t>4</w:t>
      </w:r>
      <w:r w:rsidRPr="00F2534A">
        <w:rPr>
          <w:szCs w:val="21"/>
          <w:lang w:val="en-US"/>
        </w:rPr>
        <w:t xml:space="preserve"> and chlorophyll a are mandatory parameters set by the Eutrophication Marine Strategy of MED POL and guidance on relevant sampling and analysis techniques to support the Eutrophication Monitoring Strategy of MED POL are available (UNEP/MAP, 2005). As regards quality assurance, </w:t>
      </w:r>
      <w:r w:rsidRPr="00F2534A">
        <w:rPr>
          <w:bCs/>
          <w:szCs w:val="21"/>
          <w:lang w:val="en-US"/>
        </w:rPr>
        <w:t>an intercalibration exercise for eutrophication parameters was completed in 2010 using the services of QUASIMEME. MED POL supported the participation of 19 Mediterranean laboratories in the exercise for the determination of nutrients and chlorophyll-a in seawater (</w:t>
      </w:r>
      <w:r w:rsidRPr="00F2534A">
        <w:rPr>
          <w:szCs w:val="21"/>
          <w:lang w:val="en-US"/>
        </w:rPr>
        <w:t>UNEP/MAP, 2011b).</w:t>
      </w:r>
    </w:p>
    <w:p w:rsidR="009B2A47" w:rsidRPr="00F2534A" w:rsidRDefault="009B2A47" w:rsidP="00987279">
      <w:pPr>
        <w:spacing w:line="240" w:lineRule="auto"/>
        <w:rPr>
          <w:szCs w:val="21"/>
          <w:lang w:val="en-US"/>
        </w:rPr>
      </w:pPr>
      <w:r w:rsidRPr="00F2534A">
        <w:rPr>
          <w:rFonts w:eastAsia="Calibri"/>
          <w:szCs w:val="21"/>
          <w:lang w:val="en-US"/>
        </w:rPr>
        <w:t xml:space="preserve">No standard methodologies and procedures have been developed for the regional assessment of eutrophication in the Mediterranean Sea. </w:t>
      </w:r>
      <w:r w:rsidRPr="00F2534A">
        <w:rPr>
          <w:szCs w:val="21"/>
          <w:lang w:val="en-US"/>
        </w:rPr>
        <w:t xml:space="preserve">However, in a number of countries national eutrophication assessment methods are performed. Among the indices used for eutrophication assessment, the Trophic Index (TRIX) (Vollenweider, 1998) is the most widely used in Mediterranean waters over the last 10 years. </w:t>
      </w:r>
    </w:p>
    <w:p w:rsidR="009B2A47" w:rsidRPr="00F2534A" w:rsidRDefault="009B2A47" w:rsidP="00987279">
      <w:pPr>
        <w:spacing w:line="240" w:lineRule="auto"/>
        <w:rPr>
          <w:szCs w:val="21"/>
          <w:lang w:val="en-US"/>
        </w:rPr>
      </w:pPr>
      <w:r w:rsidRPr="00F2534A">
        <w:rPr>
          <w:szCs w:val="21"/>
          <w:lang w:val="en-US"/>
        </w:rPr>
        <w:t>The TRIX index uses the following parameters:</w:t>
      </w:r>
    </w:p>
    <w:p w:rsidR="009B2A47" w:rsidRPr="00F2534A" w:rsidRDefault="009B2A47" w:rsidP="00987279">
      <w:pPr>
        <w:spacing w:line="240" w:lineRule="auto"/>
        <w:rPr>
          <w:szCs w:val="21"/>
          <w:lang w:val="en-US"/>
        </w:rPr>
      </w:pPr>
      <w:r w:rsidRPr="00F2534A">
        <w:rPr>
          <w:szCs w:val="21"/>
          <w:lang w:val="en-US"/>
        </w:rPr>
        <w:t>ChA = Chlorophyll a concentration as µg/L</w:t>
      </w:r>
    </w:p>
    <w:p w:rsidR="009B2A47" w:rsidRPr="00F2534A" w:rsidRDefault="009B2A47" w:rsidP="00987279">
      <w:pPr>
        <w:spacing w:line="240" w:lineRule="auto"/>
        <w:rPr>
          <w:szCs w:val="21"/>
          <w:lang w:val="en-US"/>
        </w:rPr>
      </w:pPr>
      <w:r w:rsidRPr="00F2534A">
        <w:rPr>
          <w:szCs w:val="21"/>
          <w:lang w:val="en-US"/>
        </w:rPr>
        <w:t>aD%O = Oxygen as absolute % deviation from saturation</w:t>
      </w:r>
    </w:p>
    <w:p w:rsidR="009B2A47" w:rsidRPr="00F2534A" w:rsidRDefault="009B2A47" w:rsidP="00987279">
      <w:pPr>
        <w:spacing w:line="240" w:lineRule="auto"/>
        <w:rPr>
          <w:szCs w:val="21"/>
          <w:lang w:val="en-US"/>
        </w:rPr>
      </w:pPr>
      <w:r w:rsidRPr="00F2534A">
        <w:rPr>
          <w:szCs w:val="21"/>
          <w:lang w:val="en-US"/>
        </w:rPr>
        <w:t>DIN = Dissolved Inorganic Nitrogen, N-(NO</w:t>
      </w:r>
      <w:r w:rsidRPr="00F2534A">
        <w:rPr>
          <w:szCs w:val="21"/>
          <w:vertAlign w:val="subscript"/>
          <w:lang w:val="en-US"/>
        </w:rPr>
        <w:t>3</w:t>
      </w:r>
      <w:r w:rsidRPr="00F2534A">
        <w:rPr>
          <w:szCs w:val="21"/>
          <w:lang w:val="en-US"/>
        </w:rPr>
        <w:t>+NO</w:t>
      </w:r>
      <w:r w:rsidRPr="00F2534A">
        <w:rPr>
          <w:szCs w:val="21"/>
          <w:vertAlign w:val="subscript"/>
          <w:lang w:val="en-US"/>
        </w:rPr>
        <w:t>2</w:t>
      </w:r>
      <w:r w:rsidRPr="00F2534A">
        <w:rPr>
          <w:szCs w:val="21"/>
          <w:lang w:val="en-US"/>
        </w:rPr>
        <w:t>+NH</w:t>
      </w:r>
      <w:r w:rsidRPr="00F2534A">
        <w:rPr>
          <w:szCs w:val="21"/>
          <w:vertAlign w:val="subscript"/>
          <w:lang w:val="en-US"/>
        </w:rPr>
        <w:t>4</w:t>
      </w:r>
      <w:r w:rsidRPr="00F2534A">
        <w:rPr>
          <w:szCs w:val="21"/>
          <w:lang w:val="en-US"/>
        </w:rPr>
        <w:t>) as µg/L</w:t>
      </w:r>
    </w:p>
    <w:p w:rsidR="009B2A47" w:rsidRPr="00F2534A" w:rsidRDefault="009B2A47" w:rsidP="00987279">
      <w:pPr>
        <w:spacing w:line="240" w:lineRule="auto"/>
        <w:rPr>
          <w:szCs w:val="21"/>
          <w:lang w:val="en-US"/>
        </w:rPr>
      </w:pPr>
      <w:r w:rsidRPr="00F2534A">
        <w:rPr>
          <w:szCs w:val="21"/>
          <w:lang w:val="en-US"/>
        </w:rPr>
        <w:t>TP = Total Phosphorus as µg/L</w:t>
      </w:r>
    </w:p>
    <w:p w:rsidR="009B2A47" w:rsidRPr="00F2534A" w:rsidRDefault="009B2A47" w:rsidP="00987279">
      <w:pPr>
        <w:spacing w:line="240" w:lineRule="auto"/>
        <w:rPr>
          <w:szCs w:val="21"/>
          <w:lang w:val="en-US"/>
        </w:rPr>
      </w:pPr>
      <w:r w:rsidRPr="00F2534A">
        <w:rPr>
          <w:szCs w:val="21"/>
          <w:lang w:val="en-US"/>
        </w:rPr>
        <w:t>A description of the TRIX Index can be found in UNEP/MAP (2011a).</w:t>
      </w:r>
    </w:p>
    <w:p w:rsidR="009B2A47" w:rsidRPr="00F2534A" w:rsidRDefault="009B2A47" w:rsidP="00987279">
      <w:pPr>
        <w:spacing w:line="240" w:lineRule="auto"/>
        <w:rPr>
          <w:szCs w:val="21"/>
          <w:lang w:val="en-US"/>
        </w:rPr>
      </w:pPr>
    </w:p>
    <w:p w:rsidR="009B2A47" w:rsidRPr="00F2534A" w:rsidRDefault="009B2A47" w:rsidP="00987279">
      <w:pPr>
        <w:spacing w:line="240" w:lineRule="auto"/>
        <w:rPr>
          <w:b/>
          <w:szCs w:val="21"/>
          <w:lang w:val="en-US"/>
        </w:rPr>
      </w:pPr>
      <w:r w:rsidRPr="00F2534A">
        <w:rPr>
          <w:b/>
          <w:szCs w:val="21"/>
          <w:lang w:val="en-US"/>
        </w:rPr>
        <w:t>Black Sea Commission</w:t>
      </w:r>
    </w:p>
    <w:p w:rsidR="009B2A47" w:rsidRDefault="009B2A47" w:rsidP="00987279">
      <w:pPr>
        <w:spacing w:line="240" w:lineRule="auto"/>
        <w:rPr>
          <w:szCs w:val="21"/>
          <w:lang w:val="en-US"/>
        </w:rPr>
      </w:pPr>
      <w:r w:rsidRPr="00F2534A">
        <w:rPr>
          <w:szCs w:val="21"/>
          <w:lang w:val="en-US"/>
        </w:rPr>
        <w:t xml:space="preserve">The BSIMAP (Black Sea Integrated Monitoring and Assessment Program) is based on National monitoring programs financed by the Black Sea countries. Each country decides which and how many stations will use, the frequency of sampling and which stations will be used for the reporting for the BSIMAP. The BSIMAP provides recommendations on parameters, frequency and methodologies to be used. Manuals on sampling and analysis have been developed for phytoplankton (Moncheva&amp; Parr, 2005Moncheva, 2010,). </w:t>
      </w:r>
    </w:p>
    <w:p w:rsidR="004B48B8" w:rsidRPr="00F2534A" w:rsidRDefault="004B48B8" w:rsidP="00987279">
      <w:pPr>
        <w:spacing w:line="240" w:lineRule="auto"/>
        <w:rPr>
          <w:szCs w:val="21"/>
          <w:lang w:val="en-US"/>
        </w:rPr>
      </w:pPr>
    </w:p>
    <w:p w:rsidR="009B2A47" w:rsidRPr="00F2534A" w:rsidRDefault="009B2A47" w:rsidP="00987279">
      <w:pPr>
        <w:spacing w:line="240" w:lineRule="auto"/>
        <w:rPr>
          <w:szCs w:val="21"/>
          <w:lang w:val="en-US"/>
        </w:rPr>
      </w:pPr>
      <w:r w:rsidRPr="00F2534A">
        <w:rPr>
          <w:szCs w:val="21"/>
          <w:lang w:val="en-US"/>
        </w:rPr>
        <w:t xml:space="preserve">The BSIMAP follows the DPSIR (Drivers, Pressures, State, Impact, Response) model allowing detection of negative impacts as well as the effects of measures taken in a timely manner, thereby enabling the necessary corrective actions to be further taken. The choice of parameters to monitor is related to the main environmental problems recognized in the Black Sea region and re-evaluated every 10 years based on BSC reports: Black Sea Transboundary Diagnostic Analysis (BS TDA) and State of the Environment of the Black Sea (SoE) (e.g. BSC SoE Report 2002 and 2008, </w:t>
      </w:r>
      <w:hyperlink r:id="rId37" w:history="1">
        <w:r w:rsidRPr="00F2534A">
          <w:rPr>
            <w:rStyle w:val="Hyperlink"/>
            <w:szCs w:val="21"/>
            <w:lang w:val="en-US"/>
          </w:rPr>
          <w:t>www.blacksea-commission.org</w:t>
        </w:r>
      </w:hyperlink>
      <w:r w:rsidRPr="00F2534A">
        <w:rPr>
          <w:szCs w:val="21"/>
          <w:lang w:val="en-US"/>
        </w:rPr>
        <w:t xml:space="preserve">). Deficiencies in the provisions for indicator-based reporting in line with the DPSIRR model, hence, with the MSFD requirements, are presented in detail for Bulgaria, Romania and Turkey in the Diagnostic report II prepared in the framework of the MISIS project (Velikova et al, 2013). </w:t>
      </w:r>
    </w:p>
    <w:p w:rsidR="009B2A47" w:rsidRDefault="009B2A47" w:rsidP="00987279">
      <w:pPr>
        <w:spacing w:line="240" w:lineRule="auto"/>
        <w:rPr>
          <w:szCs w:val="21"/>
          <w:lang w:val="en-US"/>
        </w:rPr>
      </w:pPr>
      <w:r w:rsidRPr="00F2534A">
        <w:rPr>
          <w:szCs w:val="21"/>
          <w:lang w:val="en-US"/>
        </w:rPr>
        <w:t xml:space="preserve">The BSIMAP parameters are optional or compulsory, depending on the priorities. Nutrients and phytoplankton are compulsory parameters. Nutrients are regularly reported. Chlorophyll is occasionally reported and not by all countries. Data on expansion of hypoxic zone indicator is limited. Loads (Inputs of nutrients from direct (point) sources) are well reported and there is sufficient data on rivers and hot spots. </w:t>
      </w:r>
    </w:p>
    <w:p w:rsidR="004B48B8" w:rsidRPr="00F2534A" w:rsidRDefault="004B48B8" w:rsidP="00987279">
      <w:pPr>
        <w:spacing w:line="240" w:lineRule="auto"/>
        <w:rPr>
          <w:szCs w:val="21"/>
          <w:lang w:val="en-US"/>
        </w:rPr>
      </w:pPr>
    </w:p>
    <w:p w:rsidR="009B2A47" w:rsidRDefault="009B2A47" w:rsidP="00987279">
      <w:pPr>
        <w:spacing w:line="240" w:lineRule="auto"/>
        <w:rPr>
          <w:szCs w:val="21"/>
          <w:lang w:val="en-US"/>
        </w:rPr>
      </w:pPr>
      <w:r w:rsidRPr="00F2534A">
        <w:rPr>
          <w:szCs w:val="21"/>
          <w:lang w:val="en-US"/>
        </w:rPr>
        <w:t>The Trophic Index (TRIX index) is proposed for assessment of eutrophication status but its implementation at regional scale is not currently possible as chlorophyll data are not provided by all countries.</w:t>
      </w:r>
    </w:p>
    <w:p w:rsidR="004B48B8" w:rsidRPr="00F2534A" w:rsidRDefault="004B48B8" w:rsidP="00987279">
      <w:pPr>
        <w:spacing w:line="240" w:lineRule="auto"/>
        <w:rPr>
          <w:szCs w:val="21"/>
          <w:lang w:val="en-US"/>
        </w:rPr>
      </w:pPr>
    </w:p>
    <w:p w:rsidR="009B2A47" w:rsidRPr="00F2534A" w:rsidRDefault="009B2A47" w:rsidP="00987279">
      <w:pPr>
        <w:spacing w:line="240" w:lineRule="auto"/>
        <w:rPr>
          <w:szCs w:val="21"/>
          <w:lang w:val="en-US"/>
        </w:rPr>
      </w:pPr>
      <w:r w:rsidRPr="00F2534A">
        <w:rPr>
          <w:szCs w:val="21"/>
          <w:lang w:val="en-US"/>
        </w:rPr>
        <w:lastRenderedPageBreak/>
        <w:t>The following overview provided in BSC (2010) shows the status of nutrient and chlorophyll monitoring in the Black Sea countries as well as the improvements needed.</w:t>
      </w:r>
    </w:p>
    <w:p w:rsidR="009B2A47" w:rsidRDefault="009B2A47" w:rsidP="00987279">
      <w:pPr>
        <w:spacing w:line="240" w:lineRule="auto"/>
        <w:rPr>
          <w:szCs w:val="21"/>
          <w:lang w:val="en-US"/>
        </w:rPr>
      </w:pPr>
      <w:r w:rsidRPr="00F2534A">
        <w:rPr>
          <w:noProof/>
          <w:szCs w:val="21"/>
          <w:lang w:val="el-GR" w:eastAsia="el-GR"/>
        </w:rPr>
        <w:drawing>
          <wp:inline distT="0" distB="0" distL="0" distR="0">
            <wp:extent cx="5327374" cy="564543"/>
            <wp:effectExtent l="0" t="0" r="6985" b="698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b="90648"/>
                    <a:stretch>
                      <a:fillRect/>
                    </a:stretch>
                  </pic:blipFill>
                  <pic:spPr bwMode="auto">
                    <a:xfrm>
                      <a:off x="0" y="0"/>
                      <a:ext cx="5351230" cy="567071"/>
                    </a:xfrm>
                    <a:prstGeom prst="rect">
                      <a:avLst/>
                    </a:prstGeom>
                    <a:noFill/>
                    <a:ln w="9525">
                      <a:noFill/>
                      <a:miter lim="800000"/>
                      <a:headEnd/>
                      <a:tailEnd/>
                    </a:ln>
                  </pic:spPr>
                </pic:pic>
              </a:graphicData>
            </a:graphic>
          </wp:inline>
        </w:drawing>
      </w:r>
      <w:r w:rsidRPr="00F2534A">
        <w:rPr>
          <w:noProof/>
          <w:szCs w:val="21"/>
          <w:lang w:val="el-GR" w:eastAsia="el-GR"/>
        </w:rPr>
        <w:drawing>
          <wp:inline distT="0" distB="0" distL="0" distR="0">
            <wp:extent cx="5278120" cy="4318462"/>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278120" cy="4318462"/>
                    </a:xfrm>
                    <a:prstGeom prst="rect">
                      <a:avLst/>
                    </a:prstGeom>
                    <a:noFill/>
                    <a:ln w="9525">
                      <a:noFill/>
                      <a:miter lim="800000"/>
                      <a:headEnd/>
                      <a:tailEnd/>
                    </a:ln>
                  </pic:spPr>
                </pic:pic>
              </a:graphicData>
            </a:graphic>
          </wp:inline>
        </w:drawing>
      </w:r>
    </w:p>
    <w:p w:rsidR="006666A7" w:rsidRDefault="006666A7" w:rsidP="00987279">
      <w:pPr>
        <w:spacing w:line="240" w:lineRule="auto"/>
        <w:rPr>
          <w:szCs w:val="21"/>
          <w:lang w:val="en-US"/>
        </w:rPr>
      </w:pPr>
    </w:p>
    <w:p w:rsidR="006666A7" w:rsidRPr="00F2534A" w:rsidRDefault="006666A7" w:rsidP="006666A7">
      <w:pPr>
        <w:pStyle w:val="ListParagraph"/>
        <w:spacing w:line="240" w:lineRule="auto"/>
        <w:ind w:left="0"/>
        <w:rPr>
          <w:b/>
          <w:szCs w:val="21"/>
          <w:lang w:val="en-US"/>
        </w:rPr>
      </w:pPr>
      <w:r w:rsidRPr="00F2534A">
        <w:rPr>
          <w:b/>
          <w:szCs w:val="21"/>
          <w:lang w:val="en-US"/>
        </w:rPr>
        <w:t xml:space="preserve">Eutrophication related assessment methodologies in the WFD </w:t>
      </w:r>
    </w:p>
    <w:p w:rsidR="006666A7" w:rsidRPr="00F2534A" w:rsidRDefault="006666A7" w:rsidP="006666A7">
      <w:pPr>
        <w:autoSpaceDE w:val="0"/>
        <w:autoSpaceDN w:val="0"/>
        <w:adjustRightInd w:val="0"/>
        <w:spacing w:line="240" w:lineRule="auto"/>
        <w:rPr>
          <w:szCs w:val="21"/>
          <w:lang w:val="en-US"/>
        </w:rPr>
      </w:pPr>
    </w:p>
    <w:p w:rsidR="006666A7" w:rsidRPr="00F2534A" w:rsidRDefault="006666A7" w:rsidP="006666A7">
      <w:pPr>
        <w:autoSpaceDE w:val="0"/>
        <w:autoSpaceDN w:val="0"/>
        <w:adjustRightInd w:val="0"/>
        <w:spacing w:line="240" w:lineRule="auto"/>
        <w:rPr>
          <w:szCs w:val="21"/>
          <w:lang w:val="en-US"/>
        </w:rPr>
      </w:pPr>
      <w:r w:rsidRPr="00F2534A">
        <w:rPr>
          <w:szCs w:val="21"/>
          <w:lang w:val="en-US"/>
        </w:rPr>
        <w:t xml:space="preserve">One of the parameters reflecting the direct effects of nutrient enrichment is Phytoplankton which is also one of the three biological quality elements (BQE) of the WFD. According to Annex V of WFD (EC, 2003) the parameters defining the quality status of this element in coastal and transitional waters are:  </w:t>
      </w:r>
    </w:p>
    <w:p w:rsidR="006666A7" w:rsidRPr="00F2534A" w:rsidRDefault="006666A7" w:rsidP="006666A7">
      <w:pPr>
        <w:autoSpaceDE w:val="0"/>
        <w:autoSpaceDN w:val="0"/>
        <w:adjustRightInd w:val="0"/>
        <w:spacing w:line="240" w:lineRule="auto"/>
        <w:rPr>
          <w:szCs w:val="21"/>
          <w:lang w:val="en-US"/>
        </w:rPr>
      </w:pPr>
    </w:p>
    <w:p w:rsidR="006666A7" w:rsidRPr="00F2534A" w:rsidRDefault="006666A7" w:rsidP="006666A7">
      <w:pPr>
        <w:pStyle w:val="ListParagraph"/>
        <w:numPr>
          <w:ilvl w:val="0"/>
          <w:numId w:val="32"/>
        </w:numPr>
        <w:autoSpaceDE w:val="0"/>
        <w:autoSpaceDN w:val="0"/>
        <w:adjustRightInd w:val="0"/>
        <w:spacing w:line="240" w:lineRule="auto"/>
        <w:jc w:val="left"/>
        <w:rPr>
          <w:iCs/>
          <w:szCs w:val="21"/>
          <w:lang w:val="en-US"/>
        </w:rPr>
      </w:pPr>
      <w:r w:rsidRPr="00F2534A">
        <w:rPr>
          <w:iCs/>
          <w:szCs w:val="21"/>
          <w:lang w:val="en-US"/>
        </w:rPr>
        <w:t xml:space="preserve">The composition and abundance of the phytoplanktonic taxa </w:t>
      </w:r>
    </w:p>
    <w:p w:rsidR="006666A7" w:rsidRPr="00F2534A" w:rsidRDefault="006666A7" w:rsidP="006666A7">
      <w:pPr>
        <w:pStyle w:val="ListParagraph"/>
        <w:numPr>
          <w:ilvl w:val="0"/>
          <w:numId w:val="32"/>
        </w:numPr>
        <w:autoSpaceDE w:val="0"/>
        <w:autoSpaceDN w:val="0"/>
        <w:adjustRightInd w:val="0"/>
        <w:spacing w:line="240" w:lineRule="auto"/>
        <w:jc w:val="left"/>
        <w:rPr>
          <w:iCs/>
          <w:szCs w:val="21"/>
          <w:lang w:val="en-US"/>
        </w:rPr>
      </w:pPr>
      <w:r w:rsidRPr="00F2534A">
        <w:rPr>
          <w:iCs/>
          <w:szCs w:val="21"/>
          <w:lang w:val="en-US"/>
        </w:rPr>
        <w:t xml:space="preserve">The average phytoplankton biomass </w:t>
      </w:r>
    </w:p>
    <w:p w:rsidR="006666A7" w:rsidRPr="00F2534A" w:rsidRDefault="006666A7" w:rsidP="006666A7">
      <w:pPr>
        <w:pStyle w:val="ListParagraph"/>
        <w:numPr>
          <w:ilvl w:val="0"/>
          <w:numId w:val="32"/>
        </w:numPr>
        <w:autoSpaceDE w:val="0"/>
        <w:autoSpaceDN w:val="0"/>
        <w:adjustRightInd w:val="0"/>
        <w:spacing w:line="240" w:lineRule="auto"/>
        <w:jc w:val="left"/>
        <w:rPr>
          <w:iCs/>
          <w:szCs w:val="21"/>
          <w:lang w:val="en-US"/>
        </w:rPr>
      </w:pPr>
      <w:r w:rsidRPr="00F2534A">
        <w:rPr>
          <w:iCs/>
          <w:szCs w:val="21"/>
          <w:lang w:val="en-US"/>
        </w:rPr>
        <w:t xml:space="preserve">Planktonic blooms </w:t>
      </w:r>
    </w:p>
    <w:p w:rsidR="006666A7" w:rsidRPr="00F2534A" w:rsidRDefault="006666A7" w:rsidP="006666A7">
      <w:pPr>
        <w:autoSpaceDE w:val="0"/>
        <w:autoSpaceDN w:val="0"/>
        <w:adjustRightInd w:val="0"/>
        <w:spacing w:line="240" w:lineRule="auto"/>
        <w:rPr>
          <w:iCs/>
          <w:szCs w:val="21"/>
          <w:lang w:val="en-US"/>
        </w:rPr>
      </w:pPr>
    </w:p>
    <w:p w:rsidR="006666A7" w:rsidRDefault="006666A7" w:rsidP="006666A7">
      <w:pPr>
        <w:spacing w:line="240" w:lineRule="auto"/>
        <w:rPr>
          <w:szCs w:val="21"/>
          <w:lang w:val="en-US"/>
        </w:rPr>
      </w:pPr>
      <w:r w:rsidRPr="00F2534A">
        <w:rPr>
          <w:szCs w:val="21"/>
          <w:lang w:val="en-US"/>
        </w:rPr>
        <w:t>Among these</w:t>
      </w:r>
      <w:r>
        <w:rPr>
          <w:szCs w:val="21"/>
          <w:lang w:val="en-US"/>
        </w:rPr>
        <w:t>,</w:t>
      </w:r>
      <w:r w:rsidRPr="00F2534A">
        <w:rPr>
          <w:szCs w:val="21"/>
          <w:lang w:val="en-US"/>
        </w:rPr>
        <w:t xml:space="preserve"> the phytoplancton biomass expressed as Chlorophyll a concentrations </w:t>
      </w:r>
      <w:r>
        <w:rPr>
          <w:szCs w:val="21"/>
          <w:lang w:val="en-US"/>
        </w:rPr>
        <w:t xml:space="preserve">is the most region-wide intercallibrated parameter </w:t>
      </w:r>
      <w:r w:rsidR="00964119">
        <w:rPr>
          <w:szCs w:val="21"/>
          <w:lang w:val="en-US"/>
        </w:rPr>
        <w:t xml:space="preserve">for the BQE phytoplankton under </w:t>
      </w:r>
      <w:r w:rsidRPr="00F2534A">
        <w:rPr>
          <w:szCs w:val="21"/>
          <w:lang w:val="en-US"/>
        </w:rPr>
        <w:t xml:space="preserve">the </w:t>
      </w:r>
      <w:r>
        <w:rPr>
          <w:szCs w:val="21"/>
          <w:lang w:val="en-US"/>
        </w:rPr>
        <w:t xml:space="preserve"> </w:t>
      </w:r>
      <w:r w:rsidRPr="00F2534A">
        <w:rPr>
          <w:szCs w:val="21"/>
          <w:lang w:val="en-US"/>
        </w:rPr>
        <w:t>Geographical Intercalibration Group</w:t>
      </w:r>
      <w:r>
        <w:rPr>
          <w:szCs w:val="21"/>
          <w:lang w:val="en-US"/>
        </w:rPr>
        <w:t>s of the four MSFD regions</w:t>
      </w:r>
      <w:r w:rsidRPr="00F2534A">
        <w:rPr>
          <w:szCs w:val="21"/>
          <w:lang w:val="en-US"/>
        </w:rPr>
        <w:t xml:space="preserve">. </w:t>
      </w:r>
    </w:p>
    <w:p w:rsidR="001222CF" w:rsidRDefault="001222CF" w:rsidP="006666A7">
      <w:pPr>
        <w:spacing w:line="240" w:lineRule="auto"/>
        <w:rPr>
          <w:szCs w:val="21"/>
          <w:lang w:val="en-US"/>
        </w:rPr>
      </w:pPr>
    </w:p>
    <w:p w:rsidR="001222CF" w:rsidRPr="00F2534A" w:rsidRDefault="001222CF" w:rsidP="006666A7">
      <w:pPr>
        <w:spacing w:line="240" w:lineRule="auto"/>
        <w:rPr>
          <w:szCs w:val="21"/>
          <w:lang w:val="en-US"/>
        </w:rPr>
      </w:pPr>
      <w:r>
        <w:rPr>
          <w:szCs w:val="21"/>
          <w:lang w:val="en-US"/>
        </w:rPr>
        <w:lastRenderedPageBreak/>
        <w:t xml:space="preserve">Nutrient status is included in the </w:t>
      </w:r>
      <w:r w:rsidR="00580600">
        <w:rPr>
          <w:szCs w:val="21"/>
          <w:lang w:val="en-US"/>
        </w:rPr>
        <w:t>physicochemical</w:t>
      </w:r>
      <w:r>
        <w:rPr>
          <w:szCs w:val="21"/>
          <w:lang w:val="en-US"/>
        </w:rPr>
        <w:t xml:space="preserve"> quality elements which together with the </w:t>
      </w:r>
      <w:r w:rsidR="00580600">
        <w:rPr>
          <w:szCs w:val="21"/>
          <w:lang w:val="en-US"/>
        </w:rPr>
        <w:t>hydro morphological</w:t>
      </w:r>
      <w:r>
        <w:rPr>
          <w:szCs w:val="21"/>
          <w:lang w:val="en-US"/>
        </w:rPr>
        <w:t xml:space="preserve"> and primarily the biological quality elements determine the ecological status</w:t>
      </w:r>
      <w:r w:rsidR="00702DA1">
        <w:rPr>
          <w:szCs w:val="21"/>
          <w:lang w:val="en-US"/>
        </w:rPr>
        <w:t>.</w:t>
      </w:r>
    </w:p>
    <w:p w:rsidR="006666A7" w:rsidRPr="00F2534A" w:rsidRDefault="006666A7" w:rsidP="00987279">
      <w:pPr>
        <w:spacing w:line="240" w:lineRule="auto"/>
        <w:rPr>
          <w:szCs w:val="21"/>
          <w:lang w:val="en-US"/>
        </w:rPr>
      </w:pPr>
    </w:p>
    <w:p w:rsidR="009B2A47" w:rsidRPr="00A24E41" w:rsidRDefault="00353D3D" w:rsidP="00987279">
      <w:pPr>
        <w:spacing w:line="240" w:lineRule="auto"/>
        <w:rPr>
          <w:b/>
          <w:szCs w:val="21"/>
          <w:lang w:val="en-US"/>
        </w:rPr>
      </w:pPr>
      <w:r w:rsidRPr="00A24E41">
        <w:rPr>
          <w:b/>
          <w:szCs w:val="21"/>
          <w:lang w:val="en-US"/>
        </w:rPr>
        <w:t>EEA</w:t>
      </w:r>
      <w:r w:rsidR="00A24E41" w:rsidRPr="00A24E41">
        <w:rPr>
          <w:b/>
          <w:szCs w:val="21"/>
          <w:lang w:val="en-US"/>
        </w:rPr>
        <w:t xml:space="preserve"> eutrophication indicators methodologies</w:t>
      </w:r>
    </w:p>
    <w:p w:rsidR="00353D3D" w:rsidRDefault="00353D3D" w:rsidP="00987279">
      <w:pPr>
        <w:spacing w:line="240" w:lineRule="auto"/>
        <w:rPr>
          <w:szCs w:val="21"/>
          <w:lang w:val="en-US"/>
        </w:rPr>
      </w:pPr>
      <w:r>
        <w:rPr>
          <w:szCs w:val="21"/>
          <w:lang w:val="en-US"/>
        </w:rPr>
        <w:t xml:space="preserve"> </w:t>
      </w:r>
    </w:p>
    <w:p w:rsidR="00A60C9C" w:rsidRDefault="00234AE5">
      <w:pPr>
        <w:rPr>
          <w:szCs w:val="21"/>
          <w:lang w:val="en-US"/>
        </w:rPr>
      </w:pPr>
      <w:r w:rsidRPr="00234AE5">
        <w:rPr>
          <w:szCs w:val="21"/>
          <w:lang w:val="en-US"/>
        </w:rPr>
        <w:t>Indicator CSIO21</w:t>
      </w:r>
      <w:r w:rsidR="00A24E41">
        <w:rPr>
          <w:szCs w:val="21"/>
          <w:lang w:val="en-US"/>
        </w:rPr>
        <w:t>-</w:t>
      </w:r>
      <w:r w:rsidRPr="00234AE5">
        <w:rPr>
          <w:szCs w:val="21"/>
          <w:lang w:val="en-US"/>
        </w:rPr>
        <w:t>Nutrients in transitional, coastal and marine waters</w:t>
      </w:r>
      <w:r w:rsidR="00A24E41">
        <w:rPr>
          <w:szCs w:val="21"/>
          <w:lang w:val="en-US"/>
        </w:rPr>
        <w:t>.</w:t>
      </w:r>
      <w:r w:rsidRPr="00234AE5">
        <w:rPr>
          <w:szCs w:val="21"/>
          <w:lang w:val="en-US"/>
        </w:rPr>
        <w:t xml:space="preserve"> </w:t>
      </w:r>
      <w:r w:rsidR="00A24E41" w:rsidRPr="00A24E41">
        <w:rPr>
          <w:szCs w:val="21"/>
          <w:lang w:val="en-US"/>
        </w:rPr>
        <w:t xml:space="preserve">The indicator shows 1) annual winter concentrations; 2) classification of concentration levels (i.e. low, moderate, high) and 3) trends in winter </w:t>
      </w:r>
      <w:r w:rsidR="00580600" w:rsidRPr="00A24E41">
        <w:rPr>
          <w:szCs w:val="21"/>
          <w:lang w:val="en-US"/>
        </w:rPr>
        <w:t>oxidized</w:t>
      </w:r>
      <w:r w:rsidR="00A24E41" w:rsidRPr="00A24E41">
        <w:rPr>
          <w:szCs w:val="21"/>
          <w:lang w:val="en-US"/>
        </w:rPr>
        <w:t xml:space="preserve"> nitrogen (nitrate + nitrit</w:t>
      </w:r>
      <w:r w:rsidR="00A24E41">
        <w:rPr>
          <w:szCs w:val="21"/>
          <w:lang w:val="en-US"/>
        </w:rPr>
        <w:t xml:space="preserve">e) and phosphate concentration </w:t>
      </w:r>
      <w:r w:rsidR="00A24E41" w:rsidRPr="00A24E41">
        <w:rPr>
          <w:szCs w:val="21"/>
          <w:lang w:val="en-US"/>
        </w:rPr>
        <w:t>in the regional seas of Europe.</w:t>
      </w:r>
      <w:r w:rsidR="00A24E41">
        <w:rPr>
          <w:szCs w:val="21"/>
          <w:lang w:val="en-US"/>
        </w:rPr>
        <w:t xml:space="preserve"> </w:t>
      </w:r>
      <w:r w:rsidR="00D026DC">
        <w:t>Levels and trends of winter concentrations of dissolved inorganic nutrients are used for this indicator, as it is assumed that winter concentrations are not significantly reduced due to uptake by primary producers.</w:t>
      </w:r>
      <w:r w:rsidR="00D026DC" w:rsidRPr="00D33BDF">
        <w:t xml:space="preserve"> </w:t>
      </w:r>
      <w:r w:rsidR="00D026DC">
        <w:t>The winter period is January, February and March for stations east of longitude 15 degrees (Bornholm) in the Baltic Sea and January and February for all other stations</w:t>
      </w:r>
      <w:r w:rsidR="001328AA">
        <w:t xml:space="preserve">. </w:t>
      </w:r>
      <w:r w:rsidR="00AF31F8">
        <w:t>Nutrient c</w:t>
      </w:r>
      <w:r w:rsidR="00AF31F8" w:rsidRPr="00AF31F8">
        <w:t xml:space="preserve">oncentrations </w:t>
      </w:r>
      <w:r w:rsidR="00AF31F8">
        <w:t xml:space="preserve">are expressed </w:t>
      </w:r>
      <w:r w:rsidR="00AF31F8" w:rsidRPr="00AF31F8">
        <w:t>in micromol/l</w:t>
      </w:r>
      <w:r w:rsidR="00AF31F8">
        <w:t xml:space="preserve">. </w:t>
      </w:r>
      <w:r w:rsidR="001328AA">
        <w:t>A</w:t>
      </w:r>
      <w:r w:rsidR="001328AA" w:rsidRPr="001328AA">
        <w:t>nnual concentrations for Nitrogen (i.e. Nitrates, Nitrites and Total Oxidised Nitrogen) and Phosphate (i.e. Orthophosphates)</w:t>
      </w:r>
      <w:r w:rsidRPr="00234AE5">
        <w:rPr>
          <w:szCs w:val="21"/>
          <w:lang w:val="en-US"/>
        </w:rPr>
        <w:t xml:space="preserve"> </w:t>
      </w:r>
      <w:r w:rsidR="001328AA">
        <w:rPr>
          <w:szCs w:val="21"/>
          <w:lang w:val="en-US"/>
        </w:rPr>
        <w:t xml:space="preserve">are calculated per station. </w:t>
      </w:r>
      <w:r w:rsidR="00D026DC" w:rsidRPr="00D026DC">
        <w:rPr>
          <w:szCs w:val="21"/>
          <w:lang w:val="en-US"/>
        </w:rPr>
        <w:t>For each (sub)regional sea, the observed concentrations are classified as Low, Moderate or High. Concentrations are classified as Low when they are lower than the 20-percentile value of conce</w:t>
      </w:r>
      <w:r w:rsidR="00A24E41">
        <w:rPr>
          <w:szCs w:val="21"/>
          <w:lang w:val="en-US"/>
        </w:rPr>
        <w:t xml:space="preserve">ntrations within a (sub)region and as </w:t>
      </w:r>
      <w:r w:rsidR="00D026DC" w:rsidRPr="00D026DC">
        <w:rPr>
          <w:szCs w:val="21"/>
          <w:lang w:val="en-US"/>
        </w:rPr>
        <w:t xml:space="preserve">High when they are higher than the 80-percentile value of concentrations within a (sub)region. </w:t>
      </w:r>
      <w:r w:rsidR="00084F19">
        <w:rPr>
          <w:szCs w:val="21"/>
          <w:lang w:val="en-US"/>
        </w:rPr>
        <w:t xml:space="preserve">For trend analysis of nitrogen and phosphate concentrations, </w:t>
      </w:r>
      <w:r w:rsidR="00084F19" w:rsidRPr="00084F19">
        <w:rPr>
          <w:szCs w:val="21"/>
          <w:lang w:val="en-US"/>
        </w:rPr>
        <w:t>stations must have at least data in the last four years of the current assessment (2007 or later), and 5 or more years in t</w:t>
      </w:r>
      <w:r w:rsidR="00084F19">
        <w:rPr>
          <w:szCs w:val="21"/>
          <w:lang w:val="en-US"/>
        </w:rPr>
        <w:t xml:space="preserve">he period </w:t>
      </w:r>
      <w:r w:rsidR="00084F19" w:rsidRPr="00084F19">
        <w:rPr>
          <w:szCs w:val="21"/>
          <w:lang w:val="en-US"/>
        </w:rPr>
        <w:t>since 1985</w:t>
      </w:r>
      <w:r w:rsidR="00084F19">
        <w:rPr>
          <w:szCs w:val="21"/>
          <w:lang w:val="en-US"/>
        </w:rPr>
        <w:t>.</w:t>
      </w:r>
      <w:r w:rsidR="00A24E41">
        <w:rPr>
          <w:szCs w:val="21"/>
          <w:lang w:val="en-US"/>
        </w:rPr>
        <w:t xml:space="preserve"> </w:t>
      </w:r>
      <w:r w:rsidR="00CF776E">
        <w:rPr>
          <w:szCs w:val="21"/>
          <w:lang w:val="en-US"/>
        </w:rPr>
        <w:t xml:space="preserve">Details on methodology for the calculation of this indicator can be found at </w:t>
      </w:r>
    </w:p>
    <w:p w:rsidR="00CF776E" w:rsidRDefault="008135ED" w:rsidP="00CF776E">
      <w:pPr>
        <w:autoSpaceDE w:val="0"/>
        <w:autoSpaceDN w:val="0"/>
        <w:adjustRightInd w:val="0"/>
        <w:spacing w:line="240" w:lineRule="auto"/>
        <w:rPr>
          <w:rFonts w:ascii="Verdana" w:eastAsia="Calibri" w:hAnsi="Verdana"/>
          <w:sz w:val="20"/>
          <w:szCs w:val="20"/>
        </w:rPr>
      </w:pPr>
      <w:hyperlink r:id="rId40" w:history="1">
        <w:r w:rsidR="00CF776E" w:rsidRPr="006610F8">
          <w:rPr>
            <w:rStyle w:val="Hyperlink"/>
            <w:rFonts w:ascii="Verdana" w:eastAsia="Calibri" w:hAnsi="Verdana"/>
            <w:sz w:val="20"/>
            <w:szCs w:val="20"/>
          </w:rPr>
          <w:t>http://www.eea.europa.eu/data-and-maps/indicators/nutrients-in-transitional-coastal-and/nutrients-in-transitional-coastal-and-4</w:t>
        </w:r>
      </w:hyperlink>
    </w:p>
    <w:p w:rsidR="00353D3D" w:rsidRPr="00CF776E" w:rsidRDefault="00353D3D" w:rsidP="00987279">
      <w:pPr>
        <w:spacing w:line="240" w:lineRule="auto"/>
        <w:rPr>
          <w:szCs w:val="21"/>
        </w:rPr>
      </w:pPr>
    </w:p>
    <w:p w:rsidR="00A24E41" w:rsidRPr="00060DFF" w:rsidRDefault="00084F19" w:rsidP="00060DFF">
      <w:r>
        <w:t>Indicator CS</w:t>
      </w:r>
      <w:r w:rsidR="00A24E41">
        <w:t xml:space="preserve">IO23- </w:t>
      </w:r>
      <w:r w:rsidRPr="00D33BDF">
        <w:t>Chlorophyll in transitional, coastal and marine waters</w:t>
      </w:r>
      <w:r>
        <w:t xml:space="preserve">. </w:t>
      </w:r>
      <w:r w:rsidR="00060DFF" w:rsidRPr="00060DFF">
        <w:t>The indicator shows 1) annual mean summer surface concentrations 2) classification of concentration levels (i.e. low, moderate, high) and 3) trends in mean summer surface c</w:t>
      </w:r>
      <w:r w:rsidR="00060DFF">
        <w:t xml:space="preserve">oncentrations of chlorophyll-a </w:t>
      </w:r>
      <w:r w:rsidR="00060DFF" w:rsidRPr="00060DFF">
        <w:t>in the regio</w:t>
      </w:r>
      <w:r w:rsidR="00060DFF">
        <w:t xml:space="preserve">nal seas of Europe. </w:t>
      </w:r>
      <w:r w:rsidR="000F7572">
        <w:t>The concentration of chlorophyll-a is expressed as microgram /l in the uppermost 10 m of the water column during summer.</w:t>
      </w:r>
      <w:r w:rsidR="000F7572" w:rsidRPr="000F7572">
        <w:t xml:space="preserve"> </w:t>
      </w:r>
      <w:r>
        <w:t xml:space="preserve">Summer period is June to September for stations north of latitude 59 degrees in the Baltic Sea (Gulf of Bothnia and Gulf of Finland) and May to </w:t>
      </w:r>
      <w:r w:rsidR="000F7572">
        <w:t xml:space="preserve">September for all other stations. </w:t>
      </w:r>
      <w:r w:rsidR="000F7572" w:rsidRPr="000F7572">
        <w:t>Annual mean summer surface concentrations of Chl-a,</w:t>
      </w:r>
      <w:r w:rsidR="00A24E41">
        <w:t xml:space="preserve"> </w:t>
      </w:r>
      <w:r w:rsidR="000F7572">
        <w:t xml:space="preserve">are calculated per station. </w:t>
      </w:r>
      <w:r w:rsidR="000F7572" w:rsidRPr="000F7572">
        <w:t>For each (sub)regional sea, the observed concentrations are classified as Low, Moderate or High. Concentrations are classified as Low when they are lower than the 20-percentile value of conc</w:t>
      </w:r>
      <w:r w:rsidR="00A24E41">
        <w:t>entrations within a (sub)region and</w:t>
      </w:r>
      <w:r w:rsidR="000F7572" w:rsidRPr="000F7572">
        <w:t xml:space="preserve"> as High when they are higher than the 80-percentile value of concentrations within a (sub)region. </w:t>
      </w:r>
      <w:r w:rsidR="000F7572">
        <w:rPr>
          <w:szCs w:val="21"/>
          <w:lang w:val="en-US"/>
        </w:rPr>
        <w:t xml:space="preserve">For trend analysis </w:t>
      </w:r>
      <w:r w:rsidR="000F7572" w:rsidRPr="000F7572">
        <w:t xml:space="preserve">stations must have at least data in the last four years of the current assessment (2007 or later), and 5 or more years in the </w:t>
      </w:r>
      <w:r w:rsidR="00AF31F8">
        <w:t xml:space="preserve">period </w:t>
      </w:r>
      <w:r w:rsidR="000F7572" w:rsidRPr="000F7572">
        <w:t>since 1985</w:t>
      </w:r>
      <w:r w:rsidR="00AF31F8">
        <w:t>.</w:t>
      </w:r>
      <w:r w:rsidR="00CF776E" w:rsidRPr="00CF776E">
        <w:rPr>
          <w:szCs w:val="21"/>
          <w:lang w:val="en-US"/>
        </w:rPr>
        <w:t xml:space="preserve"> </w:t>
      </w:r>
      <w:r w:rsidR="00CF776E">
        <w:rPr>
          <w:szCs w:val="21"/>
          <w:lang w:val="en-US"/>
        </w:rPr>
        <w:t xml:space="preserve">Details on methodology for the calculation of this indicator can be found at </w:t>
      </w:r>
    </w:p>
    <w:p w:rsidR="00060DFF" w:rsidRPr="006610F8" w:rsidRDefault="008135ED" w:rsidP="00060DFF">
      <w:pPr>
        <w:rPr>
          <w:rFonts w:ascii="Verdana" w:hAnsi="Verdana"/>
          <w:b/>
          <w:bCs/>
          <w:sz w:val="20"/>
          <w:szCs w:val="20"/>
        </w:rPr>
      </w:pPr>
      <w:hyperlink r:id="rId41" w:history="1">
        <w:r w:rsidR="00060DFF" w:rsidRPr="006610F8">
          <w:rPr>
            <w:rStyle w:val="Hyperlink"/>
            <w:rFonts w:ascii="Verdana" w:hAnsi="Verdana"/>
            <w:bCs/>
            <w:sz w:val="20"/>
            <w:szCs w:val="20"/>
          </w:rPr>
          <w:t>http://www.eea.europa.eu/data-and-maps/indicators/chlorophyll-in-transitional-coastal-and/chlorophyll-in-transitional-coastal-and-3</w:t>
        </w:r>
      </w:hyperlink>
    </w:p>
    <w:p w:rsidR="00084F19" w:rsidRDefault="00084F19" w:rsidP="00084F19">
      <w:pPr>
        <w:spacing w:line="240" w:lineRule="auto"/>
      </w:pPr>
    </w:p>
    <w:p w:rsidR="00CF776E" w:rsidRDefault="00CF776E" w:rsidP="00084F19">
      <w:pPr>
        <w:spacing w:line="240" w:lineRule="auto"/>
      </w:pPr>
      <w:r>
        <w:t>T</w:t>
      </w:r>
      <w:r w:rsidRPr="00CF776E">
        <w:t xml:space="preserve">he data used </w:t>
      </w:r>
      <w:r>
        <w:t xml:space="preserve">for the </w:t>
      </w:r>
      <w:r w:rsidR="00A24E41">
        <w:t>EEA eutrophication</w:t>
      </w:r>
      <w:r w:rsidRPr="00CF776E">
        <w:t xml:space="preserve"> indicator</w:t>
      </w:r>
      <w:r>
        <w:t>s</w:t>
      </w:r>
      <w:r w:rsidRPr="00CF776E">
        <w:t xml:space="preserve"> is part of the WISE - State of the Environment (SoE) data, available in Waterbase - TCM (Transitional, Coastal and Marine) waters.</w:t>
      </w:r>
    </w:p>
    <w:p w:rsidR="00084F19" w:rsidRPr="00084F19" w:rsidRDefault="00084F19" w:rsidP="00987279">
      <w:pPr>
        <w:spacing w:line="240" w:lineRule="auto"/>
        <w:rPr>
          <w:szCs w:val="21"/>
        </w:rPr>
      </w:pPr>
    </w:p>
    <w:p w:rsidR="009B2A47" w:rsidRDefault="009B2A47" w:rsidP="00987279">
      <w:pPr>
        <w:pStyle w:val="Heading2"/>
        <w:spacing w:before="0" w:line="240" w:lineRule="auto"/>
        <w:rPr>
          <w:lang w:val="en-US"/>
        </w:rPr>
      </w:pPr>
      <w:bookmarkStart w:id="52" w:name="_Toc384815501"/>
      <w:r w:rsidRPr="009B2A47">
        <w:rPr>
          <w:lang w:val="en-US"/>
        </w:rPr>
        <w:t>RSCs data streams analysis for identifying eutrophication indicators</w:t>
      </w:r>
      <w:bookmarkEnd w:id="52"/>
    </w:p>
    <w:p w:rsidR="0045650A" w:rsidRPr="0045650A" w:rsidRDefault="0045650A" w:rsidP="0045650A">
      <w:pPr>
        <w:rPr>
          <w:lang w:val="en-US"/>
        </w:rPr>
      </w:pPr>
    </w:p>
    <w:p w:rsidR="00353D3D" w:rsidRDefault="009B2A47" w:rsidP="00987279">
      <w:pPr>
        <w:spacing w:line="240" w:lineRule="auto"/>
        <w:rPr>
          <w:szCs w:val="21"/>
          <w:lang w:val="en-US"/>
        </w:rPr>
      </w:pPr>
      <w:r w:rsidRPr="00F2534A">
        <w:rPr>
          <w:szCs w:val="21"/>
          <w:lang w:val="en-US"/>
        </w:rPr>
        <w:t xml:space="preserve">ICES is the responsible data centre for the marine environmental monitoring data of HELCOM and OSPAR. Contracting Parties are obliged to report COMBINE (HELCOM </w:t>
      </w:r>
      <w:r w:rsidRPr="00F2534A">
        <w:rPr>
          <w:szCs w:val="21"/>
          <w:lang w:val="en-US"/>
        </w:rPr>
        <w:lastRenderedPageBreak/>
        <w:t>Cooperative Monitoring in the Baltic Marine Environment) and CEMP (Comprehensive Environmental Monitoring Programme) monitoring data to ICES on an annual basis by 15 September every year using the agreed reporting formats. The su</w:t>
      </w:r>
      <w:r w:rsidR="00353D3D">
        <w:rPr>
          <w:szCs w:val="21"/>
          <w:lang w:val="en-US"/>
        </w:rPr>
        <w:t>b</w:t>
      </w:r>
      <w:r w:rsidRPr="00F2534A">
        <w:rPr>
          <w:szCs w:val="21"/>
          <w:lang w:val="en-US"/>
        </w:rPr>
        <w:t>mission is done by email. Data are organized in relational data base and the metadata are ISO19115 compliant. Both data and their metadata are available on-line through Web Services</w:t>
      </w:r>
      <w:r w:rsidR="00353D3D">
        <w:rPr>
          <w:szCs w:val="21"/>
          <w:lang w:val="en-US"/>
        </w:rPr>
        <w:t xml:space="preserve">. </w:t>
      </w:r>
    </w:p>
    <w:p w:rsidR="00353D3D" w:rsidRDefault="00353D3D" w:rsidP="00987279">
      <w:pPr>
        <w:spacing w:line="240" w:lineRule="auto"/>
        <w:rPr>
          <w:szCs w:val="21"/>
          <w:lang w:val="en-US"/>
        </w:rPr>
      </w:pPr>
    </w:p>
    <w:p w:rsidR="00353D3D" w:rsidRDefault="00353D3D" w:rsidP="00987279">
      <w:pPr>
        <w:spacing w:line="240" w:lineRule="auto"/>
        <w:rPr>
          <w:szCs w:val="21"/>
          <w:lang w:val="en-US"/>
        </w:rPr>
      </w:pPr>
      <w:r>
        <w:rPr>
          <w:szCs w:val="21"/>
          <w:lang w:val="en-US"/>
        </w:rPr>
        <w:t>HELCOM</w:t>
      </w:r>
    </w:p>
    <w:p w:rsidR="009B2A47" w:rsidRPr="00F2534A" w:rsidRDefault="009B2A47" w:rsidP="00987279">
      <w:pPr>
        <w:spacing w:line="240" w:lineRule="auto"/>
        <w:rPr>
          <w:szCs w:val="21"/>
          <w:lang w:val="en-US"/>
        </w:rPr>
      </w:pPr>
      <w:r w:rsidRPr="00F2534A">
        <w:rPr>
          <w:szCs w:val="21"/>
          <w:lang w:val="en-US"/>
        </w:rPr>
        <w:t>HELCOM pollution load compilation database is hosted and maintained by HELCOM data consultant SYKE with direct email submissions on riverborne, coastal and point source loads by 1th of November every year and more detailed reporting including sources on land approximately every sixth year.</w:t>
      </w:r>
    </w:p>
    <w:p w:rsidR="009B2A47" w:rsidRPr="00F2534A" w:rsidRDefault="009B2A47" w:rsidP="00987279">
      <w:pPr>
        <w:spacing w:line="240" w:lineRule="auto"/>
        <w:rPr>
          <w:szCs w:val="21"/>
          <w:lang w:val="en-US"/>
        </w:rPr>
      </w:pPr>
      <w:r w:rsidRPr="00F2534A">
        <w:rPr>
          <w:szCs w:val="21"/>
          <w:lang w:val="en-US"/>
        </w:rPr>
        <w:t xml:space="preserve"> Information on the parameters relevant to eutrophication indicators that the HELCOM data streams include can be found below:</w:t>
      </w:r>
    </w:p>
    <w:p w:rsidR="009B2A47" w:rsidRPr="00F2534A" w:rsidRDefault="009B2A47" w:rsidP="00987279">
      <w:pPr>
        <w:pStyle w:val="ListParagraph"/>
        <w:numPr>
          <w:ilvl w:val="0"/>
          <w:numId w:val="28"/>
        </w:numPr>
        <w:spacing w:line="240" w:lineRule="auto"/>
        <w:rPr>
          <w:szCs w:val="21"/>
          <w:lang w:val="en-US"/>
        </w:rPr>
      </w:pPr>
      <w:r w:rsidRPr="00F2534A">
        <w:rPr>
          <w:szCs w:val="21"/>
          <w:lang w:val="en-US"/>
        </w:rPr>
        <w:t>COMBINE database holding CP data on Temperature, Salinity, Oxygen, Phosphate, Total Phosphorus, Silicate, Nitrate, Nitrite, Ammonium, Total Nitrogen, Hydrogen Sulphide, pH, Alkalinity, Chlorophyll a, Secchi depth</w:t>
      </w:r>
    </w:p>
    <w:p w:rsidR="009B2A47" w:rsidRPr="00F2534A" w:rsidRDefault="009B2A47" w:rsidP="00987279">
      <w:pPr>
        <w:pStyle w:val="ListParagraph"/>
        <w:numPr>
          <w:ilvl w:val="0"/>
          <w:numId w:val="28"/>
        </w:numPr>
        <w:spacing w:line="240" w:lineRule="auto"/>
        <w:rPr>
          <w:szCs w:val="21"/>
          <w:lang w:val="en-US"/>
        </w:rPr>
      </w:pPr>
      <w:r w:rsidRPr="00F2534A">
        <w:rPr>
          <w:szCs w:val="21"/>
          <w:lang w:val="en-US"/>
        </w:rPr>
        <w:t>HELCOM Pollution Load Compilation 5.5 (PLC 5.5) dataset containing all waterborne nutrient and hazardous substances loads gathered by HELCOM contracting parties within pollution load monitoring</w:t>
      </w:r>
      <w:r w:rsidRPr="00F2534A">
        <w:rPr>
          <w:szCs w:val="21"/>
          <w:vertAlign w:val="superscript"/>
          <w:lang w:val="en-US"/>
        </w:rPr>
        <w:t>1</w:t>
      </w:r>
    </w:p>
    <w:p w:rsidR="009B2A47" w:rsidRPr="00F2534A" w:rsidRDefault="009B2A47" w:rsidP="00987279">
      <w:pPr>
        <w:pStyle w:val="ListParagraph"/>
        <w:numPr>
          <w:ilvl w:val="0"/>
          <w:numId w:val="28"/>
        </w:numPr>
        <w:spacing w:line="240" w:lineRule="auto"/>
        <w:rPr>
          <w:szCs w:val="21"/>
          <w:lang w:val="en-US"/>
        </w:rPr>
      </w:pPr>
      <w:r w:rsidRPr="00F2534A">
        <w:rPr>
          <w:szCs w:val="21"/>
          <w:lang w:val="en-US"/>
        </w:rPr>
        <w:t>HELCOM Pollution Load Compilation 6 (PLC 6) ongoing comprehensive assessment of water- and airborne inputs and their sources to the Baltic Sea during the period 1994-2014 with more detailed assessment for 2014</w:t>
      </w:r>
      <w:r w:rsidRPr="00F2534A">
        <w:rPr>
          <w:szCs w:val="21"/>
          <w:vertAlign w:val="superscript"/>
          <w:lang w:val="en-US"/>
        </w:rPr>
        <w:t>1</w:t>
      </w:r>
    </w:p>
    <w:p w:rsidR="009B2A47" w:rsidRPr="00F2534A" w:rsidRDefault="009B2A47" w:rsidP="00987279">
      <w:pPr>
        <w:pStyle w:val="ListParagraph"/>
        <w:numPr>
          <w:ilvl w:val="0"/>
          <w:numId w:val="28"/>
        </w:numPr>
        <w:spacing w:line="240" w:lineRule="auto"/>
        <w:rPr>
          <w:szCs w:val="21"/>
          <w:lang w:val="en-US"/>
        </w:rPr>
      </w:pPr>
      <w:r w:rsidRPr="00F2534A">
        <w:rPr>
          <w:szCs w:val="21"/>
          <w:lang w:val="en-US"/>
        </w:rPr>
        <w:t>Ship-of opportunity (Ferry-box) DIN, DIP &amp; chl-a</w:t>
      </w:r>
      <w:r w:rsidRPr="00F2534A">
        <w:rPr>
          <w:szCs w:val="21"/>
          <w:vertAlign w:val="superscript"/>
          <w:lang w:val="en-US"/>
        </w:rPr>
        <w:t>2</w:t>
      </w:r>
    </w:p>
    <w:p w:rsidR="009B2A47" w:rsidRPr="00F2534A" w:rsidRDefault="009B2A47" w:rsidP="00987279">
      <w:pPr>
        <w:pStyle w:val="ListParagraph"/>
        <w:numPr>
          <w:ilvl w:val="0"/>
          <w:numId w:val="28"/>
        </w:numPr>
        <w:spacing w:line="240" w:lineRule="auto"/>
        <w:rPr>
          <w:szCs w:val="21"/>
          <w:lang w:val="en-US"/>
        </w:rPr>
      </w:pPr>
      <w:r w:rsidRPr="00F2534A">
        <w:rPr>
          <w:szCs w:val="21"/>
          <w:lang w:val="en-US"/>
        </w:rPr>
        <w:t xml:space="preserve">Ship-of opportunity (Ferry-box) in situ fluorescence-based chl-a (validated) </w:t>
      </w:r>
      <w:r w:rsidRPr="00F2534A">
        <w:rPr>
          <w:szCs w:val="21"/>
          <w:vertAlign w:val="superscript"/>
          <w:lang w:val="en-US"/>
        </w:rPr>
        <w:t>2</w:t>
      </w:r>
    </w:p>
    <w:p w:rsidR="009B2A47" w:rsidRPr="00F2534A" w:rsidRDefault="009B2A47" w:rsidP="00987279">
      <w:pPr>
        <w:pStyle w:val="ListParagraph"/>
        <w:numPr>
          <w:ilvl w:val="0"/>
          <w:numId w:val="28"/>
        </w:numPr>
        <w:spacing w:line="240" w:lineRule="auto"/>
        <w:rPr>
          <w:szCs w:val="21"/>
          <w:lang w:val="en-US"/>
        </w:rPr>
      </w:pPr>
      <w:r w:rsidRPr="00F2534A">
        <w:rPr>
          <w:szCs w:val="21"/>
          <w:lang w:val="en-US"/>
        </w:rPr>
        <w:t>Earth observation-based chl-a (validated)</w:t>
      </w:r>
      <w:r w:rsidRPr="00F2534A">
        <w:rPr>
          <w:szCs w:val="21"/>
          <w:vertAlign w:val="superscript"/>
          <w:lang w:val="en-US"/>
        </w:rPr>
        <w:t>2</w:t>
      </w:r>
    </w:p>
    <w:p w:rsidR="009B2A47" w:rsidRPr="00F2534A" w:rsidRDefault="009B2A47" w:rsidP="00987279">
      <w:pPr>
        <w:spacing w:line="240" w:lineRule="auto"/>
        <w:ind w:left="360"/>
        <w:rPr>
          <w:szCs w:val="21"/>
          <w:lang w:val="en-US"/>
        </w:rPr>
      </w:pPr>
      <w:r w:rsidRPr="00F2534A">
        <w:rPr>
          <w:szCs w:val="21"/>
          <w:vertAlign w:val="superscript"/>
          <w:lang w:val="en-US"/>
        </w:rPr>
        <w:t>1</w:t>
      </w:r>
      <w:r w:rsidRPr="00F2534A">
        <w:rPr>
          <w:szCs w:val="21"/>
          <w:lang w:val="en-US"/>
        </w:rPr>
        <w:t>CP submissions to HELCOM data consultant (SYKE) by email. Currently there is no online access point. Need for developing SQL database and interface to modernize reporting, QA and maximize the use of and access to data. Development work is ongoing within HELCOM PLUS project.</w:t>
      </w:r>
    </w:p>
    <w:p w:rsidR="009B2A47" w:rsidRPr="00F2534A" w:rsidRDefault="009B2A47" w:rsidP="00987279">
      <w:pPr>
        <w:spacing w:line="240" w:lineRule="auto"/>
        <w:ind w:left="360"/>
        <w:rPr>
          <w:szCs w:val="21"/>
          <w:lang w:val="en-US"/>
        </w:rPr>
      </w:pPr>
      <w:r w:rsidRPr="00F2534A">
        <w:rPr>
          <w:szCs w:val="21"/>
          <w:vertAlign w:val="superscript"/>
          <w:lang w:val="en-US"/>
        </w:rPr>
        <w:t xml:space="preserve">2 </w:t>
      </w:r>
      <w:r w:rsidRPr="00F2534A">
        <w:rPr>
          <w:szCs w:val="21"/>
          <w:lang w:val="en-US"/>
        </w:rPr>
        <w:t xml:space="preserve">Planned to be included into HELCOM operational eutrophication indicator database (EUTRO-OPER project) hosted by ICES. </w:t>
      </w:r>
    </w:p>
    <w:p w:rsidR="00353D3D" w:rsidRDefault="00353D3D" w:rsidP="00987279">
      <w:pPr>
        <w:spacing w:line="240" w:lineRule="auto"/>
        <w:rPr>
          <w:szCs w:val="21"/>
          <w:lang w:val="en-US"/>
        </w:rPr>
      </w:pPr>
    </w:p>
    <w:p w:rsidR="00353D3D" w:rsidRDefault="00353D3D" w:rsidP="00987279">
      <w:pPr>
        <w:spacing w:line="240" w:lineRule="auto"/>
        <w:rPr>
          <w:szCs w:val="21"/>
          <w:lang w:val="en-US"/>
        </w:rPr>
      </w:pPr>
      <w:r>
        <w:rPr>
          <w:szCs w:val="21"/>
          <w:lang w:val="en-US"/>
        </w:rPr>
        <w:t>OSPAR</w:t>
      </w:r>
    </w:p>
    <w:p w:rsidR="009B2A47" w:rsidRPr="00F2534A" w:rsidRDefault="009B2A47" w:rsidP="00987279">
      <w:pPr>
        <w:spacing w:line="240" w:lineRule="auto"/>
        <w:rPr>
          <w:szCs w:val="21"/>
          <w:lang w:val="en-US"/>
        </w:rPr>
      </w:pPr>
      <w:r w:rsidRPr="00F2534A">
        <w:rPr>
          <w:szCs w:val="21"/>
          <w:lang w:val="en-US"/>
        </w:rPr>
        <w:t>Information on the parameters relevant to eutrophication indicators that the OSPAR data streams include can be found below:</w:t>
      </w:r>
    </w:p>
    <w:p w:rsidR="009B2A47" w:rsidRPr="00F2534A" w:rsidRDefault="009B2A47" w:rsidP="00987279">
      <w:pPr>
        <w:pStyle w:val="ListParagraph"/>
        <w:numPr>
          <w:ilvl w:val="0"/>
          <w:numId w:val="31"/>
        </w:numPr>
        <w:spacing w:line="240" w:lineRule="auto"/>
        <w:rPr>
          <w:szCs w:val="21"/>
          <w:lang w:val="en-US"/>
        </w:rPr>
      </w:pPr>
      <w:r w:rsidRPr="00F2534A">
        <w:rPr>
          <w:szCs w:val="21"/>
          <w:lang w:val="en-US"/>
        </w:rPr>
        <w:t>“Comprehensive Atmospheric Monitoring Programme (</w:t>
      </w:r>
      <w:r>
        <w:rPr>
          <w:szCs w:val="21"/>
          <w:lang w:val="en-US"/>
        </w:rPr>
        <w:t xml:space="preserve">CAMP)” includes data and model </w:t>
      </w:r>
      <w:r w:rsidRPr="00F2534A">
        <w:rPr>
          <w:szCs w:val="21"/>
          <w:lang w:val="en-US"/>
        </w:rPr>
        <w:t>results on wet and dry depos</w:t>
      </w:r>
      <w:r w:rsidR="00D40B9B">
        <w:rPr>
          <w:szCs w:val="21"/>
          <w:lang w:val="en-US"/>
        </w:rPr>
        <w:t>ition of nitrogen compounds (oxi</w:t>
      </w:r>
      <w:r w:rsidRPr="00F2534A">
        <w:rPr>
          <w:szCs w:val="21"/>
          <w:lang w:val="en-US"/>
        </w:rPr>
        <w:t xml:space="preserve">dized and reduced). </w:t>
      </w:r>
    </w:p>
    <w:p w:rsidR="009B2A47" w:rsidRPr="00F2534A" w:rsidRDefault="009B2A47" w:rsidP="00987279">
      <w:pPr>
        <w:pStyle w:val="ListParagraph"/>
        <w:numPr>
          <w:ilvl w:val="0"/>
          <w:numId w:val="31"/>
        </w:numPr>
        <w:spacing w:line="240" w:lineRule="auto"/>
        <w:rPr>
          <w:szCs w:val="21"/>
          <w:lang w:val="en-US"/>
        </w:rPr>
      </w:pPr>
      <w:r w:rsidRPr="00F2534A">
        <w:rPr>
          <w:szCs w:val="21"/>
          <w:lang w:val="en-US"/>
        </w:rPr>
        <w:t>“Comprehensive Study of Riverine Inputs and direct Discharges (RID)” includes data compilations of yearly loads from nitrogen (NH4, NO3, TotN) and phosphorus (PO4, TP)  compounds, based on measureme</w:t>
      </w:r>
      <w:r w:rsidR="00D40B9B">
        <w:rPr>
          <w:szCs w:val="21"/>
          <w:lang w:val="en-US"/>
        </w:rPr>
        <w:t>nts (large rivers) and estimate</w:t>
      </w:r>
      <w:r w:rsidRPr="00F2534A">
        <w:rPr>
          <w:szCs w:val="21"/>
          <w:lang w:val="en-US"/>
        </w:rPr>
        <w:t xml:space="preserve">s (smaller tributaries). </w:t>
      </w:r>
    </w:p>
    <w:p w:rsidR="009B2A47" w:rsidRPr="00F2534A" w:rsidRDefault="009B2A47" w:rsidP="00987279">
      <w:pPr>
        <w:pStyle w:val="ListParagraph"/>
        <w:numPr>
          <w:ilvl w:val="0"/>
          <w:numId w:val="31"/>
        </w:numPr>
        <w:spacing w:line="240" w:lineRule="auto"/>
        <w:rPr>
          <w:szCs w:val="21"/>
          <w:lang w:val="en-US"/>
        </w:rPr>
      </w:pPr>
      <w:r w:rsidRPr="00F2534A">
        <w:rPr>
          <w:szCs w:val="21"/>
          <w:lang w:val="en-US"/>
        </w:rPr>
        <w:t xml:space="preserve">“Models used for quantification and reporting of nutrient discharges and losses”. This datastream is currently under development. It is anticipated that model results will provide information on source appointments and trans-boundary nutrient transport of </w:t>
      </w:r>
      <w:r w:rsidR="00580600" w:rsidRPr="00F2534A">
        <w:rPr>
          <w:szCs w:val="21"/>
          <w:lang w:val="en-US"/>
        </w:rPr>
        <w:t>nutrients, that</w:t>
      </w:r>
      <w:r w:rsidRPr="00F2534A">
        <w:rPr>
          <w:szCs w:val="21"/>
          <w:lang w:val="en-US"/>
        </w:rPr>
        <w:t xml:space="preserve"> can be used in eutrophication assessments and plans of measures. </w:t>
      </w:r>
    </w:p>
    <w:p w:rsidR="009B2A47" w:rsidRPr="00F2534A" w:rsidRDefault="009B2A47" w:rsidP="00987279">
      <w:pPr>
        <w:pStyle w:val="ListParagraph"/>
        <w:numPr>
          <w:ilvl w:val="0"/>
          <w:numId w:val="31"/>
        </w:numPr>
        <w:spacing w:line="240" w:lineRule="auto"/>
        <w:rPr>
          <w:szCs w:val="21"/>
          <w:lang w:val="en-US"/>
        </w:rPr>
      </w:pPr>
      <w:r w:rsidRPr="00F2534A">
        <w:rPr>
          <w:szCs w:val="21"/>
          <w:lang w:val="en-US"/>
        </w:rPr>
        <w:t xml:space="preserve">“Comprehensive Environmental Monitoring Programme (CEMP)” contains data on NH4, NO3, NO2, PO4, SiO4, TotN, TotP, Dissolved Oxygen and Chlorophyll-a, as well as a limited amount of data on phytoplankton species counts. </w:t>
      </w:r>
    </w:p>
    <w:p w:rsidR="009B2A47" w:rsidRPr="00F2534A" w:rsidRDefault="009B2A47" w:rsidP="00987279">
      <w:pPr>
        <w:spacing w:line="240" w:lineRule="auto"/>
        <w:rPr>
          <w:szCs w:val="21"/>
          <w:lang w:val="en-US"/>
        </w:rPr>
      </w:pPr>
    </w:p>
    <w:p w:rsidR="008B4A97" w:rsidRDefault="008B4A97" w:rsidP="00987279">
      <w:pPr>
        <w:spacing w:line="240" w:lineRule="auto"/>
        <w:rPr>
          <w:szCs w:val="21"/>
          <w:lang w:val="en-US"/>
        </w:rPr>
      </w:pPr>
    </w:p>
    <w:p w:rsidR="008B4A97" w:rsidRDefault="008B4A97" w:rsidP="00987279">
      <w:pPr>
        <w:spacing w:line="240" w:lineRule="auto"/>
        <w:rPr>
          <w:szCs w:val="21"/>
          <w:lang w:val="en-US"/>
        </w:rPr>
      </w:pPr>
    </w:p>
    <w:p w:rsidR="00353D3D" w:rsidRDefault="00AF31F8" w:rsidP="00987279">
      <w:pPr>
        <w:spacing w:line="240" w:lineRule="auto"/>
        <w:rPr>
          <w:szCs w:val="21"/>
          <w:lang w:val="en-US"/>
        </w:rPr>
      </w:pPr>
      <w:r>
        <w:rPr>
          <w:szCs w:val="21"/>
          <w:lang w:val="en-US"/>
        </w:rPr>
        <w:lastRenderedPageBreak/>
        <w:t>UNEP/MAP</w:t>
      </w:r>
    </w:p>
    <w:p w:rsidR="009B2A47" w:rsidRPr="00F2534A" w:rsidRDefault="009B2A47" w:rsidP="00987279">
      <w:pPr>
        <w:spacing w:line="240" w:lineRule="auto"/>
        <w:rPr>
          <w:szCs w:val="21"/>
          <w:lang w:val="en-US"/>
        </w:rPr>
      </w:pPr>
      <w:r w:rsidRPr="00F2534A">
        <w:rPr>
          <w:szCs w:val="21"/>
          <w:lang w:val="en-US"/>
        </w:rPr>
        <w:t xml:space="preserve">MED POL monitoring data reported by the Contracting Parties to UNEP/MAP-Barcelona Convention are held in the MED POL database (http://195.97.36.231/medpol/). The data are </w:t>
      </w:r>
      <w:r w:rsidR="00580600" w:rsidRPr="00F2534A">
        <w:rPr>
          <w:szCs w:val="21"/>
          <w:lang w:val="en-US"/>
        </w:rPr>
        <w:t>reported by</w:t>
      </w:r>
      <w:r w:rsidRPr="00F2534A">
        <w:rPr>
          <w:szCs w:val="21"/>
          <w:lang w:val="en-US"/>
        </w:rPr>
        <w:t xml:space="preserve"> the end of the year by email. However not all Contracting Parties report data on a regular basis and there are gaps both in terms of temporal and spatial coverage. The data are held in excel format. Metadata are standardized using internal conventions and rules. The MED POL Info System is a networked information system intended to provide the Contracting Parties and MED POL Unit with the tools to manage, share, preserve and analyse MED POL data to MED POL users. The Info System is not yet operational but it will soon be available.</w:t>
      </w:r>
    </w:p>
    <w:p w:rsidR="009B2A47" w:rsidRPr="00F2534A" w:rsidRDefault="009B2A47" w:rsidP="00987279">
      <w:pPr>
        <w:spacing w:line="240" w:lineRule="auto"/>
        <w:rPr>
          <w:szCs w:val="21"/>
          <w:lang w:val="en-US"/>
        </w:rPr>
      </w:pPr>
      <w:r w:rsidRPr="00F2534A">
        <w:rPr>
          <w:szCs w:val="21"/>
          <w:lang w:val="en-US"/>
        </w:rPr>
        <w:t>Information on the parameters relevant to eutrophication indicators that the UNEP/MAP data streams include can be found below:</w:t>
      </w:r>
    </w:p>
    <w:p w:rsidR="009B2A47" w:rsidRPr="00F2534A" w:rsidRDefault="009B2A47" w:rsidP="00987279">
      <w:pPr>
        <w:pStyle w:val="ListParagraph"/>
        <w:numPr>
          <w:ilvl w:val="0"/>
          <w:numId w:val="29"/>
        </w:numPr>
        <w:spacing w:line="240" w:lineRule="auto"/>
        <w:rPr>
          <w:color w:val="000000"/>
          <w:szCs w:val="21"/>
          <w:lang w:val="en-US" w:eastAsia="el-GR"/>
        </w:rPr>
      </w:pPr>
      <w:r w:rsidRPr="00F2534A">
        <w:rPr>
          <w:color w:val="000000"/>
          <w:szCs w:val="21"/>
          <w:lang w:val="en-US" w:eastAsia="el-GR"/>
        </w:rPr>
        <w:t>MED POL data base holding data on NO</w:t>
      </w:r>
      <w:r w:rsidRPr="00F2534A">
        <w:rPr>
          <w:color w:val="000000"/>
          <w:szCs w:val="21"/>
          <w:vertAlign w:val="subscript"/>
          <w:lang w:val="en-US" w:eastAsia="el-GR"/>
        </w:rPr>
        <w:t>3</w:t>
      </w:r>
      <w:r w:rsidRPr="00F2534A">
        <w:rPr>
          <w:color w:val="000000"/>
          <w:szCs w:val="21"/>
          <w:lang w:val="en-US" w:eastAsia="el-GR"/>
        </w:rPr>
        <w:t>, NO</w:t>
      </w:r>
      <w:r w:rsidRPr="00F2534A">
        <w:rPr>
          <w:color w:val="000000"/>
          <w:szCs w:val="21"/>
          <w:vertAlign w:val="subscript"/>
          <w:lang w:val="en-US" w:eastAsia="el-GR"/>
        </w:rPr>
        <w:t>2</w:t>
      </w:r>
      <w:r w:rsidRPr="00F2534A">
        <w:rPr>
          <w:color w:val="000000"/>
          <w:szCs w:val="21"/>
          <w:lang w:val="en-US" w:eastAsia="el-GR"/>
        </w:rPr>
        <w:t>, NH</w:t>
      </w:r>
      <w:r w:rsidRPr="00F2534A">
        <w:rPr>
          <w:color w:val="000000"/>
          <w:szCs w:val="21"/>
          <w:vertAlign w:val="subscript"/>
          <w:lang w:val="en-US" w:eastAsia="el-GR"/>
        </w:rPr>
        <w:t>4</w:t>
      </w:r>
      <w:r w:rsidRPr="00F2534A">
        <w:rPr>
          <w:color w:val="000000"/>
          <w:szCs w:val="21"/>
          <w:lang w:val="en-US" w:eastAsia="el-GR"/>
        </w:rPr>
        <w:t>, PO</w:t>
      </w:r>
      <w:r w:rsidRPr="00F2534A">
        <w:rPr>
          <w:color w:val="000000"/>
          <w:szCs w:val="21"/>
          <w:vertAlign w:val="subscript"/>
          <w:lang w:val="en-US" w:eastAsia="el-GR"/>
        </w:rPr>
        <w:t>4</w:t>
      </w:r>
      <w:r w:rsidRPr="00F2534A">
        <w:rPr>
          <w:color w:val="000000"/>
          <w:szCs w:val="21"/>
          <w:lang w:val="en-US" w:eastAsia="el-GR"/>
        </w:rPr>
        <w:t xml:space="preserve"> (or Total N, Total P) and SiO</w:t>
      </w:r>
      <w:r w:rsidRPr="00F2534A">
        <w:rPr>
          <w:color w:val="000000"/>
          <w:szCs w:val="21"/>
          <w:vertAlign w:val="subscript"/>
          <w:lang w:val="en-US" w:eastAsia="el-GR"/>
        </w:rPr>
        <w:t>4</w:t>
      </w:r>
      <w:r w:rsidRPr="00F2534A">
        <w:rPr>
          <w:color w:val="000000"/>
          <w:szCs w:val="21"/>
          <w:lang w:val="en-US" w:eastAsia="el-GR"/>
        </w:rPr>
        <w:t xml:space="preserve"> (occasionally</w:t>
      </w:r>
      <w:r w:rsidRPr="00F2534A">
        <w:rPr>
          <w:szCs w:val="21"/>
          <w:lang w:val="en-US"/>
        </w:rPr>
        <w:t xml:space="preserve">) and </w:t>
      </w:r>
      <w:r w:rsidRPr="00F2534A">
        <w:rPr>
          <w:color w:val="000000"/>
          <w:szCs w:val="21"/>
          <w:lang w:val="en-US" w:eastAsia="el-GR"/>
        </w:rPr>
        <w:t>general oceanographic parameters (temperature, salinity, dissolved oxygen)</w:t>
      </w:r>
    </w:p>
    <w:p w:rsidR="009B2A47" w:rsidRPr="00F2534A" w:rsidRDefault="009B2A47" w:rsidP="00987279">
      <w:pPr>
        <w:pStyle w:val="ListParagraph"/>
        <w:numPr>
          <w:ilvl w:val="0"/>
          <w:numId w:val="29"/>
        </w:numPr>
        <w:spacing w:line="240" w:lineRule="auto"/>
        <w:rPr>
          <w:color w:val="000000"/>
          <w:szCs w:val="21"/>
          <w:lang w:val="en-US" w:eastAsia="el-GR"/>
        </w:rPr>
      </w:pPr>
      <w:r w:rsidRPr="00F2534A">
        <w:rPr>
          <w:color w:val="000000"/>
          <w:szCs w:val="21"/>
          <w:lang w:val="en-US" w:eastAsia="el-GR"/>
        </w:rPr>
        <w:t>Land-based pollution sources database holding national data on pollutants industrial and municipal discharges collected by national surveys</w:t>
      </w:r>
    </w:p>
    <w:p w:rsidR="009B2A47" w:rsidRPr="00F2534A" w:rsidRDefault="009B2A47" w:rsidP="00987279">
      <w:pPr>
        <w:spacing w:line="240" w:lineRule="auto"/>
        <w:ind w:left="360"/>
        <w:rPr>
          <w:rFonts w:eastAsia="Calibri"/>
          <w:szCs w:val="21"/>
          <w:lang w:val="en-US"/>
        </w:rPr>
      </w:pPr>
    </w:p>
    <w:p w:rsidR="00353D3D" w:rsidRDefault="00353D3D" w:rsidP="00987279">
      <w:pPr>
        <w:pStyle w:val="ListParagraph"/>
        <w:spacing w:line="240" w:lineRule="auto"/>
        <w:ind w:left="0"/>
        <w:rPr>
          <w:rFonts w:eastAsia="Calibri"/>
          <w:szCs w:val="21"/>
          <w:lang w:val="en-US"/>
        </w:rPr>
      </w:pPr>
      <w:r>
        <w:rPr>
          <w:rFonts w:eastAsia="Calibri"/>
          <w:szCs w:val="21"/>
          <w:lang w:val="en-US"/>
        </w:rPr>
        <w:t>BSC</w:t>
      </w:r>
    </w:p>
    <w:p w:rsidR="009B2A47" w:rsidRPr="00F2534A" w:rsidRDefault="009B2A47" w:rsidP="00987279">
      <w:pPr>
        <w:pStyle w:val="ListParagraph"/>
        <w:spacing w:line="240" w:lineRule="auto"/>
        <w:ind w:left="0"/>
        <w:rPr>
          <w:rFonts w:eastAsia="Calibri"/>
          <w:szCs w:val="21"/>
          <w:lang w:val="en-US"/>
        </w:rPr>
      </w:pPr>
      <w:r w:rsidRPr="00F2534A">
        <w:rPr>
          <w:rFonts w:eastAsia="Calibri"/>
          <w:szCs w:val="21"/>
          <w:lang w:val="en-US"/>
        </w:rPr>
        <w:t>T</w:t>
      </w:r>
      <w:r w:rsidRPr="00F2534A">
        <w:rPr>
          <w:rFonts w:eastAsia="Calibri"/>
          <w:szCs w:val="21"/>
        </w:rPr>
        <w:t>he Black Sea Integrated Monitoring and Assessment Programme (BSIMAP) provides common data/information reporting formats and the contracting parties have the obligation to report to the BSC on an annual basis using these agreed formats.</w:t>
      </w:r>
      <w:r w:rsidRPr="00F2534A">
        <w:rPr>
          <w:szCs w:val="21"/>
          <w:lang w:val="en-US"/>
        </w:rPr>
        <w:t xml:space="preserve"> Data are annually collected, though with a different frequency per year.</w:t>
      </w:r>
    </w:p>
    <w:p w:rsidR="009B2A47" w:rsidRPr="00F2534A" w:rsidRDefault="009B2A47" w:rsidP="00987279">
      <w:pPr>
        <w:pStyle w:val="ListParagraph"/>
        <w:spacing w:line="240" w:lineRule="auto"/>
        <w:ind w:left="0"/>
        <w:rPr>
          <w:szCs w:val="21"/>
          <w:lang w:val="en-US"/>
        </w:rPr>
      </w:pPr>
      <w:r w:rsidRPr="00F2534A">
        <w:rPr>
          <w:rFonts w:eastAsia="Calibri"/>
          <w:szCs w:val="21"/>
          <w:lang w:val="en-US"/>
        </w:rPr>
        <w:t xml:space="preserve">The BSC </w:t>
      </w:r>
      <w:r w:rsidRPr="00F2534A">
        <w:rPr>
          <w:szCs w:val="21"/>
          <w:lang w:val="en-US"/>
        </w:rPr>
        <w:t>Regional Database on Pollution is a component of the Black Sea Information System (BSIS) held by the Regional Activity Center for Pollution Monitoring and Assessment (RAC PMA). Nutrients data constitute the major part of the database.</w:t>
      </w:r>
      <w:r w:rsidRPr="00F2534A">
        <w:rPr>
          <w:szCs w:val="21"/>
        </w:rPr>
        <w:t>The Black Sea Regional Database is available through the web site:</w:t>
      </w:r>
      <w:hyperlink r:id="rId42" w:history="1">
        <w:r w:rsidRPr="00F2534A">
          <w:rPr>
            <w:rStyle w:val="Hyperlink"/>
            <w:szCs w:val="21"/>
          </w:rPr>
          <w:t>http://rdbp.sea.gov.ua</w:t>
        </w:r>
      </w:hyperlink>
      <w:r w:rsidR="004B48B8">
        <w:rPr>
          <w:szCs w:val="21"/>
        </w:rPr>
        <w:t xml:space="preserve">. </w:t>
      </w:r>
      <w:r w:rsidRPr="00F2534A">
        <w:rPr>
          <w:szCs w:val="21"/>
        </w:rPr>
        <w:t>Passw</w:t>
      </w:r>
      <w:r w:rsidR="004B48B8">
        <w:rPr>
          <w:szCs w:val="21"/>
        </w:rPr>
        <w:t>or</w:t>
      </w:r>
      <w:r w:rsidRPr="00F2534A">
        <w:rPr>
          <w:szCs w:val="21"/>
        </w:rPr>
        <w:t>d is required for external users to access it. The database is built using a RDBMS system. Metadata descriptions and their standards follow the SeaDataNet approach. Detailed description of the BSC database can be found in the report “The development of a new version of the Regional Data base on Pollution of BSIS” prepared by the RAC PMA under the BSC-Baltic2Black Service contract (rdbp.sea.gov.ua/docs/FINAL_REPORT_RDB.doc</w:t>
      </w:r>
    </w:p>
    <w:p w:rsidR="009B2A47" w:rsidRPr="00F2534A" w:rsidRDefault="009B2A47" w:rsidP="00987279">
      <w:pPr>
        <w:spacing w:line="240" w:lineRule="auto"/>
        <w:rPr>
          <w:szCs w:val="21"/>
          <w:lang w:val="en-US"/>
        </w:rPr>
      </w:pPr>
      <w:r w:rsidRPr="00F2534A">
        <w:rPr>
          <w:szCs w:val="21"/>
          <w:lang w:val="en-US"/>
        </w:rPr>
        <w:t>Information on the parameters relevant to eutrophication indicators that the BSC data streams include can be found below:</w:t>
      </w:r>
    </w:p>
    <w:p w:rsidR="009B2A47" w:rsidRPr="00F2534A" w:rsidRDefault="009B2A47" w:rsidP="00987279">
      <w:pPr>
        <w:pStyle w:val="ListParagraph"/>
        <w:numPr>
          <w:ilvl w:val="0"/>
          <w:numId w:val="30"/>
        </w:numPr>
        <w:spacing w:line="240" w:lineRule="auto"/>
        <w:rPr>
          <w:szCs w:val="21"/>
        </w:rPr>
      </w:pPr>
      <w:r w:rsidRPr="00F2534A">
        <w:rPr>
          <w:szCs w:val="21"/>
        </w:rPr>
        <w:t>Regional Data base on Pollution holding data on NO</w:t>
      </w:r>
      <w:r w:rsidRPr="00F2534A">
        <w:rPr>
          <w:szCs w:val="21"/>
          <w:vertAlign w:val="subscript"/>
        </w:rPr>
        <w:t>2</w:t>
      </w:r>
      <w:r w:rsidRPr="00F2534A">
        <w:rPr>
          <w:szCs w:val="21"/>
        </w:rPr>
        <w:t>, NO</w:t>
      </w:r>
      <w:r w:rsidRPr="00F2534A">
        <w:rPr>
          <w:szCs w:val="21"/>
          <w:vertAlign w:val="subscript"/>
        </w:rPr>
        <w:t>3</w:t>
      </w:r>
      <w:r w:rsidRPr="00F2534A">
        <w:rPr>
          <w:szCs w:val="21"/>
        </w:rPr>
        <w:t>, NH</w:t>
      </w:r>
      <w:r w:rsidRPr="00F2534A">
        <w:rPr>
          <w:szCs w:val="21"/>
          <w:vertAlign w:val="subscript"/>
        </w:rPr>
        <w:t>4</w:t>
      </w:r>
      <w:r w:rsidRPr="00F2534A">
        <w:rPr>
          <w:szCs w:val="21"/>
        </w:rPr>
        <w:t>, Total N, PO</w:t>
      </w:r>
      <w:r w:rsidRPr="00F2534A">
        <w:rPr>
          <w:szCs w:val="21"/>
          <w:vertAlign w:val="subscript"/>
        </w:rPr>
        <w:t>4</w:t>
      </w:r>
      <w:r w:rsidRPr="00F2534A">
        <w:rPr>
          <w:szCs w:val="21"/>
        </w:rPr>
        <w:t>, Total P, SiO</w:t>
      </w:r>
      <w:r w:rsidRPr="00F2534A">
        <w:rPr>
          <w:szCs w:val="21"/>
          <w:vertAlign w:val="subscript"/>
        </w:rPr>
        <w:t>4</w:t>
      </w:r>
      <w:r w:rsidRPr="00F2534A">
        <w:rPr>
          <w:szCs w:val="21"/>
        </w:rPr>
        <w:t>, Chl a, Т, Salinity, O2, O2 % , phytoplankton (total biomass)</w:t>
      </w:r>
    </w:p>
    <w:p w:rsidR="009B2A47" w:rsidRPr="00F2534A" w:rsidRDefault="009B2A47" w:rsidP="00987279">
      <w:pPr>
        <w:pStyle w:val="ListParagraph"/>
        <w:numPr>
          <w:ilvl w:val="0"/>
          <w:numId w:val="30"/>
        </w:numPr>
        <w:spacing w:line="240" w:lineRule="auto"/>
        <w:rPr>
          <w:szCs w:val="21"/>
        </w:rPr>
      </w:pPr>
      <w:r w:rsidRPr="00F2534A">
        <w:rPr>
          <w:szCs w:val="21"/>
        </w:rPr>
        <w:t>Data on input of nutrients from direct sources. The data are stored in the BSC information system as excel files and are not accessible online</w:t>
      </w:r>
    </w:p>
    <w:p w:rsidR="002B05D3" w:rsidRDefault="002B05D3" w:rsidP="00B4323C">
      <w:pPr>
        <w:pStyle w:val="ListParagraph"/>
        <w:spacing w:line="240" w:lineRule="auto"/>
        <w:ind w:left="0"/>
        <w:rPr>
          <w:szCs w:val="21"/>
          <w:lang w:val="en-US"/>
        </w:rPr>
      </w:pPr>
    </w:p>
    <w:p w:rsidR="00353D3D" w:rsidRDefault="00353D3D" w:rsidP="00B4323C">
      <w:pPr>
        <w:pStyle w:val="ListParagraph"/>
        <w:spacing w:line="240" w:lineRule="auto"/>
        <w:ind w:left="0"/>
        <w:rPr>
          <w:szCs w:val="21"/>
          <w:lang w:val="en-US"/>
        </w:rPr>
      </w:pPr>
      <w:r>
        <w:rPr>
          <w:szCs w:val="21"/>
          <w:lang w:val="en-US"/>
        </w:rPr>
        <w:t>EEA</w:t>
      </w:r>
    </w:p>
    <w:p w:rsidR="00A60C9C" w:rsidRDefault="003E50CA">
      <w:pPr>
        <w:pStyle w:val="ListParagraph"/>
        <w:spacing w:line="240" w:lineRule="auto"/>
        <w:ind w:left="0"/>
        <w:rPr>
          <w:szCs w:val="21"/>
          <w:lang w:val="en-US"/>
        </w:rPr>
      </w:pPr>
      <w:r w:rsidRPr="003E50CA">
        <w:rPr>
          <w:szCs w:val="21"/>
          <w:lang w:val="en-US"/>
        </w:rPr>
        <w:t>EEA has organized its data flows with the European environment information and observation network (Eionet), a partnership network of the EEA and 33 members and 6 cooperating countries. Eionet consists of the EEA itself, a number of European Topic Centres (ETCs) – ETC/ICM (Inland, Coastal and Marine Waters) being the water thematic center - and a network of National Focal Points (NFPs) and National Reference Centres (NRCs).</w:t>
      </w:r>
    </w:p>
    <w:p w:rsidR="00A60C9C" w:rsidRDefault="003E50CA">
      <w:pPr>
        <w:pStyle w:val="ListParagraph"/>
        <w:spacing w:line="240" w:lineRule="auto"/>
        <w:ind w:left="0"/>
        <w:rPr>
          <w:szCs w:val="21"/>
          <w:lang w:val="en-US"/>
        </w:rPr>
      </w:pPr>
      <w:r w:rsidRPr="003E50CA">
        <w:rPr>
          <w:szCs w:val="21"/>
          <w:lang w:val="en-US"/>
        </w:rPr>
        <w:t>In the context of the implementation of the Water Framework Directive (WFD), EEA´s Eionet-Water annual data flow for waters was transferred into the WISE ‘State of the Envir</w:t>
      </w:r>
      <w:r w:rsidR="008B4A97">
        <w:rPr>
          <w:szCs w:val="21"/>
          <w:lang w:val="en-US"/>
        </w:rPr>
        <w:t xml:space="preserve">onment’ (SoE) data flow in 2008 </w:t>
      </w:r>
      <w:r w:rsidRPr="003E50CA">
        <w:rPr>
          <w:szCs w:val="21"/>
          <w:lang w:val="en-US"/>
        </w:rPr>
        <w:t>and gained full integration into the reporting under WISE complementary with data reported under the WFD (</w:t>
      </w:r>
      <w:r w:rsidR="00580600" w:rsidRPr="003E50CA">
        <w:rPr>
          <w:szCs w:val="21"/>
          <w:lang w:val="en-US"/>
        </w:rPr>
        <w:t>i.e.</w:t>
      </w:r>
      <w:r w:rsidRPr="003E50CA">
        <w:rPr>
          <w:szCs w:val="21"/>
          <w:lang w:val="en-US"/>
        </w:rPr>
        <w:t xml:space="preserve"> information reported already under the WFD obligatory reporting would not be required again, but used as available in WISE).</w:t>
      </w:r>
    </w:p>
    <w:p w:rsidR="00A60C9C" w:rsidRDefault="003E50CA">
      <w:pPr>
        <w:pStyle w:val="ListParagraph"/>
        <w:spacing w:line="240" w:lineRule="auto"/>
        <w:ind w:left="0"/>
        <w:rPr>
          <w:szCs w:val="21"/>
          <w:lang w:val="en-US"/>
        </w:rPr>
      </w:pPr>
      <w:r w:rsidRPr="003E50CA">
        <w:rPr>
          <w:szCs w:val="21"/>
          <w:lang w:val="en-US"/>
        </w:rPr>
        <w:t>The WISE SoE TCM (Transitional, Coastal and Marine Waters) dataset results from data collected annually both from EEA member countries and from the RSCs through the WISE-SoE TCM data collection process.</w:t>
      </w:r>
    </w:p>
    <w:p w:rsidR="00A60C9C" w:rsidRDefault="003E50CA">
      <w:pPr>
        <w:pStyle w:val="ListParagraph"/>
        <w:spacing w:line="240" w:lineRule="auto"/>
        <w:ind w:left="0"/>
        <w:rPr>
          <w:szCs w:val="21"/>
          <w:lang w:val="en-US"/>
        </w:rPr>
      </w:pPr>
      <w:r w:rsidRPr="003E50CA">
        <w:rPr>
          <w:szCs w:val="21"/>
          <w:lang w:val="en-US"/>
        </w:rPr>
        <w:lastRenderedPageBreak/>
        <w:t>WISE-SoE data collection process is based on the existing monitoring networks in the EEA member countries, where a representative sub-sample of national monitoring sites in rivers, lakes, groundwater and transitional, coastal and marine waters were selected for the European network with no additional</w:t>
      </w:r>
      <w:r w:rsidR="008B4A97">
        <w:rPr>
          <w:szCs w:val="21"/>
          <w:lang w:val="en-US"/>
        </w:rPr>
        <w:t xml:space="preserve"> demands for new data gathering</w:t>
      </w:r>
      <w:r w:rsidRPr="003E50CA">
        <w:rPr>
          <w:szCs w:val="21"/>
          <w:lang w:val="en-US"/>
        </w:rPr>
        <w:t>. WISE-SoE data collection runs annually and traditionally starts at the end of July/beginning of August.</w:t>
      </w:r>
    </w:p>
    <w:p w:rsidR="00A60C9C" w:rsidRDefault="00A60C9C">
      <w:pPr>
        <w:pStyle w:val="ListParagraph"/>
        <w:spacing w:line="240" w:lineRule="auto"/>
        <w:ind w:left="0"/>
        <w:rPr>
          <w:szCs w:val="21"/>
          <w:lang w:val="en-US"/>
        </w:rPr>
      </w:pPr>
    </w:p>
    <w:p w:rsidR="00A60C9C" w:rsidRDefault="003E50CA">
      <w:pPr>
        <w:pStyle w:val="ListParagraph"/>
        <w:spacing w:line="240" w:lineRule="auto"/>
        <w:ind w:left="0"/>
        <w:rPr>
          <w:szCs w:val="21"/>
          <w:lang w:val="en-US"/>
        </w:rPr>
      </w:pPr>
      <w:r w:rsidRPr="003E50CA">
        <w:rPr>
          <w:szCs w:val="21"/>
          <w:lang w:val="en-US"/>
        </w:rPr>
        <w:t>WISE SoE data on transitional, coastal and marine waters (WISE SoE TCM) is reported annually to the EEA by the Eionet countries using the Reportnet tools based on agreed set of specifications, schemas, templates and common dictionaries available to countries for structuring and formatting their deliveries. Countries are responsible for the quality control and assurance of their national datasets. WISE SoE datasets are then further handled by the European Topic Centre on Inland, Coastal and Marine waters (ETC/ICM), where a series of QA and va</w:t>
      </w:r>
      <w:r>
        <w:rPr>
          <w:szCs w:val="21"/>
          <w:lang w:val="en-US"/>
        </w:rPr>
        <w:t>lidation routines are performed</w:t>
      </w:r>
      <w:r w:rsidRPr="003E50CA">
        <w:rPr>
          <w:szCs w:val="21"/>
          <w:lang w:val="en-US"/>
        </w:rPr>
        <w:t xml:space="preserve"> in order to ensure that the data delivered to the EEA are comparable at the European level.</w:t>
      </w:r>
    </w:p>
    <w:p w:rsidR="00A60C9C" w:rsidRDefault="003E50CA">
      <w:pPr>
        <w:pStyle w:val="ListParagraph"/>
        <w:spacing w:line="240" w:lineRule="auto"/>
        <w:ind w:left="0"/>
        <w:rPr>
          <w:szCs w:val="21"/>
          <w:lang w:val="en-US"/>
        </w:rPr>
      </w:pPr>
      <w:r w:rsidRPr="003E50CA">
        <w:rPr>
          <w:szCs w:val="21"/>
          <w:lang w:val="en-US"/>
        </w:rPr>
        <w:t xml:space="preserve">To </w:t>
      </w:r>
      <w:r w:rsidR="001F4A39">
        <w:rPr>
          <w:szCs w:val="21"/>
          <w:lang w:val="en-US"/>
        </w:rPr>
        <w:t>manage the</w:t>
      </w:r>
      <w:r w:rsidRPr="003E50CA">
        <w:rPr>
          <w:szCs w:val="21"/>
          <w:lang w:val="en-US"/>
        </w:rPr>
        <w:t xml:space="preserve"> duplicate submissions within the WISE SoE TCM data flow, an agreement was reached whereby countries were to provide only data that had not already been submitted to the RSC. Data submitted to the RSC is obtained from ICES directly.</w:t>
      </w:r>
    </w:p>
    <w:p w:rsidR="00A60C9C" w:rsidRDefault="003E50CA">
      <w:pPr>
        <w:pStyle w:val="ListParagraph"/>
        <w:spacing w:line="240" w:lineRule="auto"/>
        <w:ind w:left="0"/>
        <w:rPr>
          <w:szCs w:val="21"/>
          <w:lang w:val="en-US"/>
        </w:rPr>
      </w:pPr>
      <w:r w:rsidRPr="003E50CA">
        <w:rPr>
          <w:szCs w:val="21"/>
          <w:lang w:val="en-US"/>
        </w:rPr>
        <w:t>Data and information obtained through the above process</w:t>
      </w:r>
      <w:r>
        <w:rPr>
          <w:szCs w:val="21"/>
          <w:lang w:val="en-US"/>
        </w:rPr>
        <w:t>es</w:t>
      </w:r>
      <w:r w:rsidRPr="003E50CA">
        <w:rPr>
          <w:szCs w:val="21"/>
          <w:lang w:val="en-US"/>
        </w:rPr>
        <w:t xml:space="preserve"> are used to produce indicators upon which EEA assessment reports are based. Collected data are also published in Waterbase, a series of water topic-specific databases and web pages, publicly accessible via the EEA Data Service's web site</w:t>
      </w:r>
    </w:p>
    <w:p w:rsidR="00A60C9C" w:rsidRDefault="003E50CA">
      <w:pPr>
        <w:pStyle w:val="ListParagraph"/>
        <w:spacing w:line="240" w:lineRule="auto"/>
        <w:ind w:left="0"/>
        <w:rPr>
          <w:szCs w:val="21"/>
          <w:lang w:val="en-US"/>
        </w:rPr>
      </w:pPr>
      <w:r w:rsidRPr="003E50CA">
        <w:rPr>
          <w:szCs w:val="21"/>
          <w:lang w:val="en-US"/>
        </w:rPr>
        <w:t>The most recent WISE SoE TCM data can be viewed, analysed and downloaded from the Waterbase – TCM, an EEA data service available at the following website : http://www.eea.europa.eu/data-and-maps/data/waterbase-transitional-coastal-and-marine-waters-9</w:t>
      </w:r>
    </w:p>
    <w:p w:rsidR="009008DF" w:rsidRDefault="003E50CA" w:rsidP="003E50CA">
      <w:pPr>
        <w:pStyle w:val="ListParagraph"/>
        <w:spacing w:line="240" w:lineRule="auto"/>
        <w:ind w:left="0"/>
        <w:rPr>
          <w:szCs w:val="21"/>
          <w:lang w:val="en-US"/>
        </w:rPr>
      </w:pPr>
      <w:r w:rsidRPr="003E50CA">
        <w:rPr>
          <w:szCs w:val="21"/>
          <w:lang w:val="en-US"/>
        </w:rPr>
        <w:t>The WISE SoE TCM dataset contains data on physical characteristics of the transitional, coastal and marine water monitoring and flux stations, proxy pressures on the upstream catchment, basin and River Basin District associated with transitional and coastal waters, chemical quality data on nutrients in seawater and hazardous substances in biota, sediment and seawater, as well as data on direct discharges and riverine input loads.</w:t>
      </w:r>
    </w:p>
    <w:p w:rsidR="003E50CA" w:rsidRDefault="003E50CA" w:rsidP="00B4323C">
      <w:pPr>
        <w:pStyle w:val="ListParagraph"/>
        <w:spacing w:line="240" w:lineRule="auto"/>
        <w:ind w:left="0"/>
        <w:rPr>
          <w:szCs w:val="21"/>
          <w:lang w:val="en-US"/>
        </w:rPr>
      </w:pPr>
    </w:p>
    <w:p w:rsidR="00AD2B97" w:rsidRDefault="00AD2B97" w:rsidP="00B4323C">
      <w:pPr>
        <w:pStyle w:val="ListParagraph"/>
        <w:spacing w:line="240" w:lineRule="auto"/>
        <w:ind w:left="0"/>
        <w:rPr>
          <w:szCs w:val="21"/>
          <w:lang w:val="en-US"/>
        </w:rPr>
      </w:pPr>
      <w:r>
        <w:rPr>
          <w:szCs w:val="21"/>
          <w:lang w:val="en-US"/>
        </w:rPr>
        <w:t>ANALYSIS</w:t>
      </w:r>
    </w:p>
    <w:p w:rsidR="008F7B70" w:rsidRDefault="008323AA" w:rsidP="000D32A8">
      <w:pPr>
        <w:pStyle w:val="ListParagraph"/>
        <w:spacing w:line="240" w:lineRule="auto"/>
        <w:ind w:left="0"/>
        <w:rPr>
          <w:szCs w:val="21"/>
          <w:lang w:val="en-US"/>
        </w:rPr>
      </w:pPr>
      <w:r w:rsidRPr="00D40B9B">
        <w:rPr>
          <w:szCs w:val="21"/>
          <w:lang w:val="en-US"/>
        </w:rPr>
        <w:t>It must be noted that data are not regularly reported to the RSCs for all parameters and by all contracting parties and for some parameters monitoring is currently developing</w:t>
      </w:r>
      <w:r w:rsidR="00D40B9B">
        <w:rPr>
          <w:szCs w:val="21"/>
          <w:lang w:val="en-US"/>
        </w:rPr>
        <w:t>.</w:t>
      </w:r>
      <w:r w:rsidRPr="00D40B9B">
        <w:rPr>
          <w:szCs w:val="21"/>
          <w:lang w:val="en-US"/>
        </w:rPr>
        <w:t xml:space="preserve"> </w:t>
      </w:r>
      <w:r w:rsidR="008F7B70">
        <w:rPr>
          <w:szCs w:val="21"/>
          <w:lang w:val="en-US"/>
        </w:rPr>
        <w:t xml:space="preserve">Thus an analysis was performed on </w:t>
      </w:r>
      <w:r w:rsidR="00FE78B7" w:rsidRPr="00D40B9B">
        <w:rPr>
          <w:szCs w:val="21"/>
          <w:lang w:val="en-US"/>
        </w:rPr>
        <w:t>data relevant</w:t>
      </w:r>
      <w:r w:rsidR="009B2A47" w:rsidRPr="00D40B9B">
        <w:rPr>
          <w:szCs w:val="21"/>
          <w:lang w:val="en-US"/>
        </w:rPr>
        <w:t xml:space="preserve"> to MSFD eutrophication indicators </w:t>
      </w:r>
      <w:r w:rsidRPr="00D40B9B">
        <w:rPr>
          <w:szCs w:val="21"/>
          <w:lang w:val="en-US"/>
        </w:rPr>
        <w:t xml:space="preserve">that </w:t>
      </w:r>
      <w:r w:rsidR="009B2A47" w:rsidRPr="00D40B9B">
        <w:rPr>
          <w:szCs w:val="21"/>
          <w:lang w:val="en-US"/>
        </w:rPr>
        <w:t xml:space="preserve">are actually reported </w:t>
      </w:r>
      <w:r w:rsidR="00B338F0" w:rsidRPr="00D40B9B">
        <w:rPr>
          <w:szCs w:val="21"/>
          <w:lang w:val="en-US"/>
        </w:rPr>
        <w:t xml:space="preserve">to the RSCs </w:t>
      </w:r>
      <w:r w:rsidR="009B2A47" w:rsidRPr="00D40B9B">
        <w:rPr>
          <w:szCs w:val="21"/>
          <w:lang w:val="en-US"/>
        </w:rPr>
        <w:t>by the contracting parties</w:t>
      </w:r>
      <w:r w:rsidR="008F7B70">
        <w:rPr>
          <w:szCs w:val="21"/>
          <w:lang w:val="en-US"/>
        </w:rPr>
        <w:t>.</w:t>
      </w:r>
      <w:r w:rsidR="009B2A47" w:rsidRPr="00D40B9B">
        <w:rPr>
          <w:szCs w:val="21"/>
          <w:lang w:val="en-US"/>
        </w:rPr>
        <w:t xml:space="preserve"> </w:t>
      </w:r>
      <w:r w:rsidR="00462796" w:rsidRPr="00D40B9B">
        <w:rPr>
          <w:szCs w:val="21"/>
          <w:lang w:val="en-US"/>
        </w:rPr>
        <w:t>T</w:t>
      </w:r>
      <w:r w:rsidR="0079438C" w:rsidRPr="00D40B9B">
        <w:rPr>
          <w:szCs w:val="21"/>
          <w:lang w:val="en-US"/>
        </w:rPr>
        <w:t>he parameters</w:t>
      </w:r>
      <w:r w:rsidR="00462796" w:rsidRPr="00D40B9B">
        <w:rPr>
          <w:szCs w:val="21"/>
          <w:lang w:val="en-US"/>
        </w:rPr>
        <w:t>/methods</w:t>
      </w:r>
      <w:r w:rsidR="0079438C" w:rsidRPr="00D40B9B">
        <w:rPr>
          <w:szCs w:val="21"/>
          <w:lang w:val="en-US"/>
        </w:rPr>
        <w:t xml:space="preserve"> </w:t>
      </w:r>
      <w:r w:rsidR="00683377" w:rsidRPr="00D40B9B">
        <w:rPr>
          <w:szCs w:val="21"/>
          <w:lang w:val="en-US"/>
        </w:rPr>
        <w:t>used</w:t>
      </w:r>
      <w:r w:rsidR="0079438C" w:rsidRPr="00D40B9B">
        <w:rPr>
          <w:szCs w:val="21"/>
          <w:lang w:val="en-US"/>
        </w:rPr>
        <w:t xml:space="preserve"> by the MS </w:t>
      </w:r>
      <w:r w:rsidR="00683377" w:rsidRPr="00D40B9B">
        <w:rPr>
          <w:szCs w:val="21"/>
          <w:lang w:val="en-US"/>
        </w:rPr>
        <w:t xml:space="preserve">for reporting </w:t>
      </w:r>
      <w:r w:rsidR="0079438C" w:rsidRPr="00D40B9B">
        <w:rPr>
          <w:szCs w:val="21"/>
          <w:lang w:val="en-US"/>
        </w:rPr>
        <w:t>under articles 8, 9 and 10 of the MSFD</w:t>
      </w:r>
      <w:r w:rsidR="00683377" w:rsidRPr="00D40B9B">
        <w:rPr>
          <w:szCs w:val="21"/>
          <w:lang w:val="en-US"/>
        </w:rPr>
        <w:t>,</w:t>
      </w:r>
      <w:r w:rsidR="0079438C" w:rsidRPr="00D40B9B">
        <w:rPr>
          <w:szCs w:val="21"/>
          <w:lang w:val="en-US"/>
        </w:rPr>
        <w:t xml:space="preserve"> </w:t>
      </w:r>
      <w:r w:rsidR="00683377" w:rsidRPr="00D40B9B">
        <w:rPr>
          <w:szCs w:val="21"/>
          <w:lang w:val="en-US"/>
        </w:rPr>
        <w:t xml:space="preserve">summarized </w:t>
      </w:r>
      <w:r w:rsidR="00B338F0" w:rsidRPr="00D40B9B">
        <w:rPr>
          <w:szCs w:val="21"/>
          <w:lang w:val="en-US"/>
        </w:rPr>
        <w:t xml:space="preserve">and evaluated </w:t>
      </w:r>
      <w:r w:rsidR="00683377" w:rsidRPr="00D40B9B">
        <w:rPr>
          <w:szCs w:val="21"/>
          <w:lang w:val="en-US"/>
        </w:rPr>
        <w:t>by</w:t>
      </w:r>
      <w:r w:rsidR="0079438C" w:rsidRPr="00D40B9B">
        <w:rPr>
          <w:szCs w:val="21"/>
          <w:lang w:val="en-US"/>
        </w:rPr>
        <w:t xml:space="preserve"> JRC </w:t>
      </w:r>
      <w:r w:rsidR="00683377" w:rsidRPr="00D40B9B">
        <w:rPr>
          <w:szCs w:val="21"/>
          <w:lang w:val="en-US"/>
        </w:rPr>
        <w:t xml:space="preserve">(Palialexis et al. 2014) </w:t>
      </w:r>
      <w:r w:rsidR="00B338F0" w:rsidRPr="00D40B9B">
        <w:rPr>
          <w:szCs w:val="21"/>
          <w:lang w:val="en-US"/>
        </w:rPr>
        <w:t xml:space="preserve">were </w:t>
      </w:r>
      <w:r w:rsidR="00462796" w:rsidRPr="00D40B9B">
        <w:rPr>
          <w:szCs w:val="21"/>
          <w:lang w:val="en-US"/>
        </w:rPr>
        <w:t xml:space="preserve">the ones </w:t>
      </w:r>
      <w:r w:rsidR="00B338F0" w:rsidRPr="00D40B9B">
        <w:rPr>
          <w:szCs w:val="21"/>
          <w:lang w:val="en-US"/>
        </w:rPr>
        <w:t>considered</w:t>
      </w:r>
      <w:r w:rsidR="00462796" w:rsidRPr="00D40B9B">
        <w:rPr>
          <w:szCs w:val="21"/>
          <w:lang w:val="en-US"/>
        </w:rPr>
        <w:t xml:space="preserve"> for the analysis of </w:t>
      </w:r>
      <w:r w:rsidR="008F7B70">
        <w:rPr>
          <w:szCs w:val="21"/>
          <w:lang w:val="en-US"/>
        </w:rPr>
        <w:t xml:space="preserve">existing </w:t>
      </w:r>
      <w:r w:rsidR="00462796" w:rsidRPr="00D40B9B">
        <w:rPr>
          <w:szCs w:val="21"/>
          <w:lang w:val="en-US"/>
        </w:rPr>
        <w:t>data flows</w:t>
      </w:r>
      <w:r w:rsidR="0079438C" w:rsidRPr="00D40B9B">
        <w:rPr>
          <w:szCs w:val="21"/>
          <w:lang w:val="en-US"/>
        </w:rPr>
        <w:t>. Data reported to th</w:t>
      </w:r>
      <w:r w:rsidR="000F7BA6" w:rsidRPr="00D40B9B">
        <w:rPr>
          <w:szCs w:val="21"/>
          <w:lang w:val="en-US"/>
        </w:rPr>
        <w:t xml:space="preserve">e RSCs </w:t>
      </w:r>
      <w:r w:rsidR="000A0AEF" w:rsidRPr="00D40B9B">
        <w:rPr>
          <w:szCs w:val="21"/>
          <w:lang w:val="en-US"/>
        </w:rPr>
        <w:t>in 2012 by the cont</w:t>
      </w:r>
      <w:r w:rsidR="006563B0" w:rsidRPr="00D40B9B">
        <w:rPr>
          <w:szCs w:val="21"/>
          <w:lang w:val="en-US"/>
        </w:rPr>
        <w:t>r</w:t>
      </w:r>
      <w:r w:rsidR="000A0AEF" w:rsidRPr="00D40B9B">
        <w:rPr>
          <w:szCs w:val="21"/>
          <w:lang w:val="en-US"/>
        </w:rPr>
        <w:t xml:space="preserve">acting parties that are EU MS </w:t>
      </w:r>
      <w:r w:rsidR="000F7BA6" w:rsidRPr="00D40B9B">
        <w:rPr>
          <w:szCs w:val="21"/>
          <w:lang w:val="en-US"/>
        </w:rPr>
        <w:t>was used</w:t>
      </w:r>
      <w:r w:rsidR="000A0AEF" w:rsidRPr="00D40B9B">
        <w:rPr>
          <w:szCs w:val="21"/>
          <w:lang w:val="en-US"/>
        </w:rPr>
        <w:t xml:space="preserve"> in this analysis</w:t>
      </w:r>
      <w:r w:rsidR="00462796" w:rsidRPr="00D40B9B">
        <w:rPr>
          <w:szCs w:val="21"/>
          <w:lang w:val="en-US"/>
        </w:rPr>
        <w:t xml:space="preserve">. </w:t>
      </w:r>
      <w:r w:rsidR="001531CD">
        <w:rPr>
          <w:szCs w:val="21"/>
          <w:lang w:val="en-US"/>
        </w:rPr>
        <w:t>Data reported to HELCOM and OSPAR was obtained from ICES, UNEP/MAP data was obtained from the MED POL data base and BSC data was provided by the IRIS</w:t>
      </w:r>
      <w:r w:rsidR="00704AA3">
        <w:rPr>
          <w:szCs w:val="21"/>
          <w:lang w:val="en-US"/>
        </w:rPr>
        <w:t xml:space="preserve"> SES</w:t>
      </w:r>
      <w:r w:rsidR="001531CD">
        <w:rPr>
          <w:szCs w:val="21"/>
          <w:lang w:val="en-US"/>
        </w:rPr>
        <w:t xml:space="preserve"> project</w:t>
      </w:r>
      <w:r w:rsidR="00704AA3">
        <w:rPr>
          <w:rStyle w:val="FootnoteReference"/>
          <w:szCs w:val="21"/>
          <w:lang w:val="en-US"/>
        </w:rPr>
        <w:footnoteReference w:id="4"/>
      </w:r>
      <w:r w:rsidR="001531CD">
        <w:rPr>
          <w:szCs w:val="21"/>
          <w:lang w:val="en-US"/>
        </w:rPr>
        <w:t xml:space="preserve">. </w:t>
      </w:r>
      <w:r w:rsidR="00AD27B5" w:rsidRPr="00D40B9B">
        <w:rPr>
          <w:szCs w:val="21"/>
          <w:lang w:val="en-US"/>
        </w:rPr>
        <w:t>Details on data management aspects such as stewardship, quality control, updates of the data sets, sampling frequencies etc. can be found in Annex 1.</w:t>
      </w:r>
      <w:r w:rsidR="00D861A8" w:rsidRPr="00D861A8">
        <w:rPr>
          <w:szCs w:val="21"/>
          <w:lang w:val="en-US"/>
        </w:rPr>
        <w:t xml:space="preserve"> </w:t>
      </w:r>
      <w:r w:rsidR="00D861A8">
        <w:rPr>
          <w:szCs w:val="21"/>
          <w:lang w:val="en-US"/>
        </w:rPr>
        <w:t xml:space="preserve">Data reported through Eionet </w:t>
      </w:r>
      <w:r w:rsidR="000D32A8">
        <w:t xml:space="preserve">(WISE SoE) </w:t>
      </w:r>
      <w:r w:rsidR="00D861A8">
        <w:rPr>
          <w:szCs w:val="21"/>
          <w:lang w:val="en-US"/>
        </w:rPr>
        <w:t xml:space="preserve">within 2008-2012 </w:t>
      </w:r>
      <w:r w:rsidR="00607A55">
        <w:rPr>
          <w:szCs w:val="21"/>
          <w:lang w:val="en-US"/>
        </w:rPr>
        <w:t xml:space="preserve">was </w:t>
      </w:r>
      <w:r w:rsidR="00D861A8">
        <w:rPr>
          <w:szCs w:val="21"/>
          <w:lang w:val="en-US"/>
        </w:rPr>
        <w:t>provided by ICES</w:t>
      </w:r>
      <w:r w:rsidR="00607A55">
        <w:rPr>
          <w:szCs w:val="21"/>
          <w:lang w:val="en-US"/>
        </w:rPr>
        <w:t>.</w:t>
      </w:r>
      <w:r w:rsidR="00642005" w:rsidRPr="00642005">
        <w:t xml:space="preserve"> </w:t>
      </w:r>
    </w:p>
    <w:p w:rsidR="00D861A8" w:rsidRDefault="00D861A8" w:rsidP="00B4323C">
      <w:pPr>
        <w:pStyle w:val="ListParagraph"/>
        <w:spacing w:line="240" w:lineRule="auto"/>
        <w:ind w:left="0"/>
        <w:rPr>
          <w:szCs w:val="21"/>
          <w:lang w:val="en-US"/>
        </w:rPr>
      </w:pPr>
    </w:p>
    <w:p w:rsidR="00230000" w:rsidRDefault="00230000" w:rsidP="00230000">
      <w:pPr>
        <w:pStyle w:val="ListParagraph"/>
        <w:spacing w:line="240" w:lineRule="auto"/>
        <w:ind w:left="0"/>
        <w:rPr>
          <w:szCs w:val="21"/>
          <w:lang w:val="en-US"/>
        </w:rPr>
      </w:pPr>
      <w:r>
        <w:rPr>
          <w:szCs w:val="21"/>
          <w:lang w:val="en-US"/>
        </w:rPr>
        <w:t xml:space="preserve">SUMMARY </w:t>
      </w:r>
    </w:p>
    <w:p w:rsidR="00B4323C" w:rsidRDefault="008F7B70" w:rsidP="00B4323C">
      <w:pPr>
        <w:pStyle w:val="ListParagraph"/>
        <w:spacing w:line="240" w:lineRule="auto"/>
        <w:ind w:left="0"/>
        <w:rPr>
          <w:szCs w:val="21"/>
          <w:lang w:val="en-US"/>
        </w:rPr>
      </w:pPr>
      <w:r w:rsidRPr="00D40B9B">
        <w:rPr>
          <w:szCs w:val="21"/>
          <w:lang w:val="en-US"/>
        </w:rPr>
        <w:t>An overview of data relevant to MSFD eutrophication indicators that are actually reported to the RSCs by the contracting parties and at what frequencies across RSCs is shown in the following tables (Tables 2.4-2.9</w:t>
      </w:r>
      <w:r>
        <w:rPr>
          <w:szCs w:val="21"/>
          <w:lang w:val="en-US"/>
        </w:rPr>
        <w:t>)</w:t>
      </w:r>
      <w:r w:rsidRPr="00D40B9B">
        <w:rPr>
          <w:szCs w:val="21"/>
          <w:lang w:val="en-US"/>
        </w:rPr>
        <w:t>.</w:t>
      </w:r>
      <w:r w:rsidR="006563B0" w:rsidRPr="00D40B9B">
        <w:rPr>
          <w:szCs w:val="21"/>
          <w:lang w:val="en-US"/>
        </w:rPr>
        <w:t xml:space="preserve">The frequency of reporting </w:t>
      </w:r>
      <w:r w:rsidR="00D40B9B">
        <w:rPr>
          <w:szCs w:val="21"/>
          <w:lang w:val="en-US"/>
        </w:rPr>
        <w:t xml:space="preserve">for each RSC </w:t>
      </w:r>
      <w:r w:rsidR="006563B0" w:rsidRPr="00D40B9B">
        <w:rPr>
          <w:szCs w:val="21"/>
          <w:lang w:val="en-US"/>
        </w:rPr>
        <w:t xml:space="preserve">(% of </w:t>
      </w:r>
      <w:r w:rsidR="00852513">
        <w:rPr>
          <w:szCs w:val="21"/>
          <w:lang w:val="en-US"/>
        </w:rPr>
        <w:t>CPs that are EU MS</w:t>
      </w:r>
      <w:r w:rsidR="006563B0" w:rsidRPr="00D40B9B">
        <w:rPr>
          <w:szCs w:val="21"/>
          <w:lang w:val="en-US"/>
        </w:rPr>
        <w:t xml:space="preserve"> reporting to each RSC) for each parameter</w:t>
      </w:r>
      <w:r w:rsidR="006D68DB" w:rsidRPr="00D40B9B">
        <w:rPr>
          <w:szCs w:val="21"/>
          <w:lang w:val="en-US"/>
        </w:rPr>
        <w:t xml:space="preserve"> is </w:t>
      </w:r>
      <w:r w:rsidR="00495678" w:rsidRPr="00D40B9B">
        <w:rPr>
          <w:szCs w:val="21"/>
          <w:lang w:val="en-US"/>
        </w:rPr>
        <w:t>categorized in classes represented</w:t>
      </w:r>
      <w:r w:rsidR="006563B0" w:rsidRPr="00D40B9B">
        <w:rPr>
          <w:szCs w:val="21"/>
          <w:lang w:val="en-US"/>
        </w:rPr>
        <w:t xml:space="preserve"> by </w:t>
      </w:r>
      <w:r w:rsidR="00495678" w:rsidRPr="00D40B9B">
        <w:rPr>
          <w:szCs w:val="21"/>
          <w:lang w:val="en-US"/>
        </w:rPr>
        <w:lastRenderedPageBreak/>
        <w:t xml:space="preserve">different </w:t>
      </w:r>
      <w:r w:rsidR="006563B0" w:rsidRPr="00D40B9B">
        <w:rPr>
          <w:szCs w:val="21"/>
          <w:lang w:val="en-US"/>
        </w:rPr>
        <w:t>colors</w:t>
      </w:r>
      <w:r w:rsidR="006D68DB" w:rsidRPr="00D40B9B">
        <w:rPr>
          <w:szCs w:val="21"/>
          <w:lang w:val="en-US"/>
        </w:rPr>
        <w:t>.</w:t>
      </w:r>
      <w:r w:rsidR="00B121FE" w:rsidRPr="00D40B9B">
        <w:rPr>
          <w:szCs w:val="21"/>
          <w:lang w:val="en-US"/>
        </w:rPr>
        <w:t xml:space="preserve"> T</w:t>
      </w:r>
      <w:r w:rsidR="00B338F0" w:rsidRPr="00D40B9B">
        <w:rPr>
          <w:szCs w:val="21"/>
          <w:lang w:val="en-US"/>
        </w:rPr>
        <w:t xml:space="preserve">he frequency of use of the reported parameters by MS for MSFD reporting in each Region </w:t>
      </w:r>
      <w:r w:rsidR="00B732AC" w:rsidRPr="00D40B9B">
        <w:rPr>
          <w:szCs w:val="21"/>
          <w:lang w:val="en-US"/>
        </w:rPr>
        <w:t>assessed by JRC (Palial</w:t>
      </w:r>
      <w:r w:rsidR="00495678" w:rsidRPr="00D40B9B">
        <w:rPr>
          <w:szCs w:val="21"/>
          <w:lang w:val="en-US"/>
        </w:rPr>
        <w:t>exis et al. 2014) is shown</w:t>
      </w:r>
      <w:r w:rsidR="00A73DC4" w:rsidRPr="00D40B9B">
        <w:rPr>
          <w:szCs w:val="21"/>
          <w:lang w:val="en-US"/>
        </w:rPr>
        <w:t>.</w:t>
      </w:r>
      <w:r w:rsidR="00740BA3">
        <w:rPr>
          <w:szCs w:val="21"/>
          <w:lang w:val="en-US"/>
        </w:rPr>
        <w:t xml:space="preserve"> Relevant EEA and WFD parameters are also shown.</w:t>
      </w:r>
    </w:p>
    <w:p w:rsidR="00852513" w:rsidRDefault="00852513" w:rsidP="00CF776E">
      <w:pPr>
        <w:pStyle w:val="ListParagraph"/>
        <w:spacing w:line="240" w:lineRule="auto"/>
        <w:ind w:left="0"/>
        <w:rPr>
          <w:szCs w:val="21"/>
          <w:lang w:val="en-US"/>
        </w:rPr>
      </w:pPr>
    </w:p>
    <w:p w:rsidR="00852513" w:rsidRDefault="00852513" w:rsidP="00852513">
      <w:pPr>
        <w:rPr>
          <w:szCs w:val="21"/>
          <w:lang w:val="en-US"/>
        </w:rPr>
      </w:pPr>
      <w:r>
        <w:rPr>
          <w:szCs w:val="21"/>
          <w:lang w:val="en-US"/>
        </w:rPr>
        <w:t>Nutrients, chlorophyl a and oxygen are reported by most contracting parties across RSCs.</w:t>
      </w:r>
      <w:r w:rsidR="00EF1EB4" w:rsidRPr="00EF1EB4">
        <w:rPr>
          <w:szCs w:val="21"/>
          <w:lang w:val="en-US"/>
        </w:rPr>
        <w:t xml:space="preserve"> </w:t>
      </w:r>
      <w:r w:rsidR="00EF1EB4">
        <w:rPr>
          <w:szCs w:val="21"/>
          <w:lang w:val="en-US"/>
        </w:rPr>
        <w:t xml:space="preserve">The percentage of CPs reporting on eutrophication to UNEP/MAP was low </w:t>
      </w:r>
      <w:r w:rsidR="00EF1EB4">
        <w:rPr>
          <w:lang w:val="en-US"/>
        </w:rPr>
        <w:t xml:space="preserve">and oxygen was not reported. </w:t>
      </w:r>
      <w:r>
        <w:rPr>
          <w:szCs w:val="21"/>
          <w:lang w:val="en-US"/>
        </w:rPr>
        <w:t xml:space="preserve"> </w:t>
      </w:r>
      <w:r w:rsidR="00EF1EB4">
        <w:rPr>
          <w:szCs w:val="21"/>
          <w:lang w:val="en-US"/>
        </w:rPr>
        <w:t xml:space="preserve">Nutrients, chlorophyl a and oxygen </w:t>
      </w:r>
      <w:r>
        <w:rPr>
          <w:szCs w:val="21"/>
          <w:lang w:val="en-US"/>
        </w:rPr>
        <w:t xml:space="preserve">present high frequency of use </w:t>
      </w:r>
      <w:r w:rsidRPr="00464739">
        <w:rPr>
          <w:szCs w:val="21"/>
          <w:lang w:val="en-US"/>
        </w:rPr>
        <w:t xml:space="preserve">by MS </w:t>
      </w:r>
      <w:r>
        <w:rPr>
          <w:szCs w:val="21"/>
          <w:lang w:val="en-US"/>
        </w:rPr>
        <w:t xml:space="preserve">reporting </w:t>
      </w:r>
      <w:r w:rsidRPr="00464739">
        <w:rPr>
          <w:szCs w:val="21"/>
          <w:lang w:val="en-US"/>
        </w:rPr>
        <w:t>for the implementation of Art 8, 9 and 10</w:t>
      </w:r>
      <w:r>
        <w:rPr>
          <w:szCs w:val="21"/>
          <w:lang w:val="en-US"/>
        </w:rPr>
        <w:t xml:space="preserve"> of the MSFD and are also used in the WFD.  EEA also uses nutrients and chlorophyl data for the two eutrophication indicators CSI021 and CSI023.</w:t>
      </w:r>
      <w:r>
        <w:rPr>
          <w:lang w:val="en-US"/>
        </w:rPr>
        <w:t xml:space="preserve"> </w:t>
      </w:r>
    </w:p>
    <w:p w:rsidR="00852513" w:rsidRDefault="00852513" w:rsidP="00852513">
      <w:pPr>
        <w:rPr>
          <w:szCs w:val="21"/>
          <w:lang w:val="en-US"/>
        </w:rPr>
      </w:pPr>
    </w:p>
    <w:p w:rsidR="000D32A8" w:rsidRDefault="00BE3CF5" w:rsidP="000D32A8">
      <w:pPr>
        <w:pStyle w:val="ListParagraph"/>
        <w:spacing w:line="240" w:lineRule="auto"/>
        <w:ind w:left="0"/>
        <w:rPr>
          <w:szCs w:val="21"/>
          <w:lang w:val="en-US"/>
        </w:rPr>
      </w:pPr>
      <w:r>
        <w:rPr>
          <w:szCs w:val="21"/>
          <w:lang w:val="en-US"/>
        </w:rPr>
        <w:t>Nutrients, chlorophyl a and oxygen data are reported though E</w:t>
      </w:r>
      <w:r w:rsidR="00642005">
        <w:rPr>
          <w:szCs w:val="21"/>
          <w:lang w:val="en-US"/>
        </w:rPr>
        <w:t>ionet</w:t>
      </w:r>
      <w:r>
        <w:rPr>
          <w:szCs w:val="21"/>
          <w:lang w:val="en-US"/>
        </w:rPr>
        <w:t xml:space="preserve"> </w:t>
      </w:r>
      <w:r w:rsidR="008F2590">
        <w:rPr>
          <w:szCs w:val="21"/>
          <w:lang w:val="en-US"/>
        </w:rPr>
        <w:t xml:space="preserve">although </w:t>
      </w:r>
      <w:r>
        <w:rPr>
          <w:szCs w:val="21"/>
          <w:lang w:val="en-US"/>
        </w:rPr>
        <w:t xml:space="preserve">reporting is not </w:t>
      </w:r>
      <w:r w:rsidR="00EF1EB4" w:rsidRPr="00EF1EB4">
        <w:rPr>
          <w:szCs w:val="21"/>
          <w:lang w:val="en-US"/>
        </w:rPr>
        <w:t>identical with RSC reporting (</w:t>
      </w:r>
      <w:r>
        <w:rPr>
          <w:szCs w:val="21"/>
          <w:lang w:val="en-US"/>
        </w:rPr>
        <w:t xml:space="preserve">i.e. </w:t>
      </w:r>
      <w:r w:rsidR="00EF1EB4" w:rsidRPr="00EF1EB4">
        <w:rPr>
          <w:szCs w:val="21"/>
          <w:lang w:val="en-US"/>
        </w:rPr>
        <w:t xml:space="preserve">number of stations is different or number of parameters is different). Some countries report more </w:t>
      </w:r>
      <w:r>
        <w:rPr>
          <w:szCs w:val="21"/>
          <w:lang w:val="en-US"/>
        </w:rPr>
        <w:t>data through</w:t>
      </w:r>
      <w:r w:rsidR="00EF1EB4" w:rsidRPr="00EF1EB4">
        <w:rPr>
          <w:szCs w:val="21"/>
          <w:lang w:val="en-US"/>
        </w:rPr>
        <w:t xml:space="preserve"> E</w:t>
      </w:r>
      <w:r w:rsidR="00642005">
        <w:rPr>
          <w:szCs w:val="21"/>
          <w:lang w:val="en-US"/>
        </w:rPr>
        <w:t>ionet</w:t>
      </w:r>
      <w:r w:rsidR="00EF1EB4" w:rsidRPr="00EF1EB4">
        <w:rPr>
          <w:szCs w:val="21"/>
          <w:lang w:val="en-US"/>
        </w:rPr>
        <w:t xml:space="preserve"> but mostly more data </w:t>
      </w:r>
      <w:r>
        <w:rPr>
          <w:szCs w:val="21"/>
          <w:lang w:val="en-US"/>
        </w:rPr>
        <w:t>is reported through</w:t>
      </w:r>
      <w:r w:rsidR="00EF1EB4" w:rsidRPr="00EF1EB4">
        <w:rPr>
          <w:szCs w:val="21"/>
          <w:lang w:val="en-US"/>
        </w:rPr>
        <w:t xml:space="preserve"> ICES. </w:t>
      </w:r>
      <w:r w:rsidR="00852513">
        <w:rPr>
          <w:szCs w:val="21"/>
          <w:lang w:val="en-US"/>
        </w:rPr>
        <w:t>When comparing OSPAR and HELCOM data flows through E</w:t>
      </w:r>
      <w:r w:rsidR="00642005">
        <w:rPr>
          <w:szCs w:val="21"/>
          <w:lang w:val="en-US"/>
        </w:rPr>
        <w:t>ionet</w:t>
      </w:r>
      <w:r w:rsidR="00852513">
        <w:rPr>
          <w:szCs w:val="21"/>
          <w:lang w:val="en-US"/>
        </w:rPr>
        <w:t xml:space="preserve"> and through ICES</w:t>
      </w:r>
      <w:r>
        <w:rPr>
          <w:szCs w:val="21"/>
          <w:lang w:val="en-US"/>
        </w:rPr>
        <w:t xml:space="preserve"> in terms of number of countries reporting</w:t>
      </w:r>
      <w:r w:rsidR="00852513">
        <w:rPr>
          <w:szCs w:val="21"/>
          <w:lang w:val="en-US"/>
        </w:rPr>
        <w:t xml:space="preserve">, </w:t>
      </w:r>
      <w:r>
        <w:rPr>
          <w:szCs w:val="21"/>
          <w:lang w:val="en-US"/>
        </w:rPr>
        <w:t xml:space="preserve">more countries </w:t>
      </w:r>
      <w:r w:rsidR="00852513">
        <w:rPr>
          <w:szCs w:val="21"/>
          <w:lang w:val="en-US"/>
        </w:rPr>
        <w:t>report n</w:t>
      </w:r>
      <w:r w:rsidR="00852513" w:rsidRPr="002D0105">
        <w:rPr>
          <w:szCs w:val="21"/>
          <w:lang w:val="en-US"/>
        </w:rPr>
        <w:t xml:space="preserve">utrients, chlorophyl a and oxygen </w:t>
      </w:r>
      <w:r w:rsidR="00852513">
        <w:rPr>
          <w:szCs w:val="21"/>
          <w:lang w:val="en-US"/>
        </w:rPr>
        <w:t>data through ICES</w:t>
      </w:r>
      <w:r w:rsidR="00642005" w:rsidRPr="001A173D">
        <w:rPr>
          <w:szCs w:val="21"/>
          <w:lang w:val="en-US"/>
        </w:rPr>
        <w:t>.</w:t>
      </w:r>
      <w:r w:rsidR="00852513" w:rsidRPr="001A173D">
        <w:rPr>
          <w:szCs w:val="21"/>
          <w:lang w:val="en-US"/>
        </w:rPr>
        <w:t xml:space="preserve"> </w:t>
      </w:r>
      <w:r w:rsidR="000D32A8" w:rsidRPr="001A173D">
        <w:rPr>
          <w:szCs w:val="21"/>
          <w:lang w:val="en-US"/>
        </w:rPr>
        <w:t xml:space="preserve">It must be noted that </w:t>
      </w:r>
      <w:r w:rsidR="00B12272" w:rsidRPr="001A173D">
        <w:rPr>
          <w:szCs w:val="21"/>
          <w:lang w:val="en-US"/>
        </w:rPr>
        <w:t xml:space="preserve">data flows through </w:t>
      </w:r>
      <w:r w:rsidR="000D32A8" w:rsidRPr="001A173D">
        <w:rPr>
          <w:szCs w:val="21"/>
          <w:lang w:val="en-US"/>
        </w:rPr>
        <w:t>ICES in fact refers to RSC data flows that are recycled as Eionet data flows, so although agreements are made with RSC or the Eionet, it is in fact possible to use the same data flow for multiple purposes.</w:t>
      </w:r>
      <w:r w:rsidR="000D32A8">
        <w:rPr>
          <w:szCs w:val="21"/>
          <w:lang w:val="en-US"/>
        </w:rPr>
        <w:t xml:space="preserve"> </w:t>
      </w:r>
    </w:p>
    <w:p w:rsidR="00852513" w:rsidRDefault="00852513" w:rsidP="00852513">
      <w:pPr>
        <w:spacing w:line="240" w:lineRule="auto"/>
        <w:rPr>
          <w:szCs w:val="21"/>
          <w:lang w:val="en-US"/>
        </w:rPr>
      </w:pPr>
    </w:p>
    <w:p w:rsidR="00852513" w:rsidRDefault="00852513" w:rsidP="00852513">
      <w:pPr>
        <w:spacing w:line="240" w:lineRule="auto"/>
        <w:rPr>
          <w:szCs w:val="21"/>
          <w:lang w:val="en-US"/>
        </w:rPr>
      </w:pPr>
      <w:r w:rsidRPr="00846680">
        <w:rPr>
          <w:szCs w:val="21"/>
          <w:lang w:val="en-US"/>
        </w:rPr>
        <w:t xml:space="preserve">Information on data flows for nutrient inputs were available per country for HELCOM, OSPAR and BSC. Data reported per country as regards nutrient inputs from rivers and point sources as well as emissions can be found in Annex 1.  All HELCOM CPs reported on nutrient input parameters in 2012 with the exception of one CP as regard inputs from rivers and point sources. OSPAR CPs apart from three reported on water borne nutrient input parameters in 2011, and all CPs apart from one reported on atmospheric nutrient inputs in 2011. BSC data </w:t>
      </w:r>
      <w:r>
        <w:rPr>
          <w:szCs w:val="21"/>
          <w:lang w:val="en-US"/>
        </w:rPr>
        <w:t>used were reported in</w:t>
      </w:r>
      <w:r w:rsidRPr="00846680">
        <w:rPr>
          <w:szCs w:val="21"/>
          <w:lang w:val="en-US"/>
        </w:rPr>
        <w:t xml:space="preserve"> the period 2001-2008</w:t>
      </w:r>
      <w:r>
        <w:rPr>
          <w:szCs w:val="21"/>
          <w:lang w:val="en-US"/>
        </w:rPr>
        <w:t xml:space="preserve"> (BSC, </w:t>
      </w:r>
      <w:r w:rsidRPr="00846680">
        <w:rPr>
          <w:szCs w:val="21"/>
          <w:lang w:val="en-US"/>
        </w:rPr>
        <w:t>2010)</w:t>
      </w:r>
      <w:r>
        <w:rPr>
          <w:szCs w:val="21"/>
          <w:lang w:val="en-US"/>
        </w:rPr>
        <w:t xml:space="preserve">. The two CPs reported nutrient inputs from municipal, industrial and riverine sources during that period. Nutrient inputs in the UNEP/MAP region are reported in the </w:t>
      </w:r>
      <w:r w:rsidRPr="00846680">
        <w:rPr>
          <w:szCs w:val="21"/>
          <w:lang w:val="en-US"/>
        </w:rPr>
        <w:t xml:space="preserve">National Budget (NBB) </w:t>
      </w:r>
      <w:r w:rsidRPr="00302469">
        <w:rPr>
          <w:szCs w:val="21"/>
          <w:lang w:val="en-US"/>
        </w:rPr>
        <w:t>assessing the current trends of the pollutants emissions and releases (2003-2008)</w:t>
      </w:r>
      <w:r>
        <w:rPr>
          <w:szCs w:val="21"/>
          <w:lang w:val="en-US"/>
        </w:rPr>
        <w:t xml:space="preserve"> including data from all CPs apart from two (UNEP/MAP, 2012c).</w:t>
      </w:r>
    </w:p>
    <w:p w:rsidR="00CF776E" w:rsidRDefault="00CF776E" w:rsidP="00B4323C">
      <w:pPr>
        <w:pStyle w:val="ListParagraph"/>
        <w:spacing w:line="240" w:lineRule="auto"/>
        <w:ind w:left="0"/>
        <w:rPr>
          <w:szCs w:val="21"/>
          <w:lang w:val="en-US"/>
        </w:rPr>
      </w:pPr>
    </w:p>
    <w:p w:rsidR="00FE78B7" w:rsidRPr="00E41F11" w:rsidRDefault="00740BA3" w:rsidP="002B05D3">
      <w:pPr>
        <w:spacing w:line="240" w:lineRule="auto"/>
        <w:jc w:val="left"/>
        <w:rPr>
          <w:lang w:val="en-US"/>
        </w:rPr>
        <w:sectPr w:rsidR="00FE78B7" w:rsidRPr="00E41F11" w:rsidSect="00A82751">
          <w:footnotePr>
            <w:numRestart w:val="eachSect"/>
          </w:footnotePr>
          <w:pgSz w:w="11906" w:h="16838" w:code="9"/>
          <w:pgMar w:top="2552" w:right="1094" w:bottom="1077" w:left="2098" w:header="822" w:footer="199" w:gutter="0"/>
          <w:paperSrc w:first="1" w:other="1"/>
          <w:cols w:space="708"/>
          <w:docGrid w:linePitch="360"/>
        </w:sectPr>
      </w:pPr>
      <w:r>
        <w:rPr>
          <w:lang w:val="en-US"/>
        </w:rPr>
        <w:t xml:space="preserve"> </w:t>
      </w:r>
    </w:p>
    <w:p w:rsidR="00B4323C" w:rsidRDefault="00FE78B7" w:rsidP="00B4323C">
      <w:pPr>
        <w:pStyle w:val="Caption"/>
        <w:rPr>
          <w:lang w:val="en-US"/>
        </w:rPr>
      </w:pPr>
      <w:r>
        <w:lastRenderedPageBreak/>
        <w:t>T</w:t>
      </w:r>
      <w:r w:rsidR="00B4323C">
        <w:t xml:space="preserve">able </w:t>
      </w:r>
      <w:r w:rsidR="008135ED">
        <w:fldChar w:fldCharType="begin"/>
      </w:r>
      <w:r w:rsidR="00F15E0D">
        <w:instrText xml:space="preserve"> STYLEREF 1 \s </w:instrText>
      </w:r>
      <w:r w:rsidR="008135ED">
        <w:fldChar w:fldCharType="separate"/>
      </w:r>
      <w:r w:rsidR="00B4323C">
        <w:rPr>
          <w:noProof/>
        </w:rPr>
        <w:t>2</w:t>
      </w:r>
      <w:r w:rsidR="008135ED">
        <w:rPr>
          <w:noProof/>
        </w:rPr>
        <w:fldChar w:fldCharType="end"/>
      </w:r>
      <w:r w:rsidR="00B4323C">
        <w:t>.</w:t>
      </w:r>
      <w:r w:rsidR="008135ED">
        <w:fldChar w:fldCharType="begin"/>
      </w:r>
      <w:r w:rsidR="005959AB">
        <w:instrText xml:space="preserve"> SEQ Table \* ARABIC \s 1 </w:instrText>
      </w:r>
      <w:r w:rsidR="008135ED">
        <w:fldChar w:fldCharType="separate"/>
      </w:r>
      <w:r w:rsidR="00B4323C">
        <w:rPr>
          <w:noProof/>
        </w:rPr>
        <w:t>4</w:t>
      </w:r>
      <w:r w:rsidR="008135ED">
        <w:fldChar w:fldCharType="end"/>
      </w:r>
      <w:r w:rsidR="00B4323C">
        <w:tab/>
        <w:t>P</w:t>
      </w:r>
      <w:r w:rsidR="00B4323C">
        <w:rPr>
          <w:lang w:val="en-US"/>
        </w:rPr>
        <w:t xml:space="preserve">arameters relevant to MSFD indicator 5.1.1: Frequency of reporting to the RSCs by CP and frequency of use by MS for MSFD reporting </w:t>
      </w:r>
    </w:p>
    <w:tbl>
      <w:tblPr>
        <w:tblW w:w="0" w:type="auto"/>
        <w:tblLook w:val="0000"/>
      </w:tblPr>
      <w:tblGrid>
        <w:gridCol w:w="1827"/>
        <w:gridCol w:w="577"/>
        <w:gridCol w:w="587"/>
        <w:gridCol w:w="587"/>
        <w:gridCol w:w="577"/>
        <w:gridCol w:w="526"/>
        <w:gridCol w:w="517"/>
        <w:gridCol w:w="456"/>
        <w:gridCol w:w="447"/>
        <w:gridCol w:w="387"/>
        <w:gridCol w:w="1180"/>
        <w:gridCol w:w="1297"/>
        <w:gridCol w:w="1257"/>
        <w:gridCol w:w="707"/>
        <w:gridCol w:w="708"/>
        <w:gridCol w:w="607"/>
      </w:tblGrid>
      <w:tr w:rsidR="00FE78B7" w:rsidRPr="00A86CEE" w:rsidTr="0079438C">
        <w:trPr>
          <w:trHeight w:val="871"/>
        </w:trPr>
        <w:tc>
          <w:tcPr>
            <w:tcW w:w="0" w:type="auto"/>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Indicator 5.1.1</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PO4</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NO3</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NO2</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NH4</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DIN</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DIP</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TN</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TP</w:t>
            </w:r>
          </w:p>
        </w:tc>
        <w:tc>
          <w:tcPr>
            <w:tcW w:w="0" w:type="auto"/>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SI</w:t>
            </w:r>
          </w:p>
        </w:tc>
        <w:tc>
          <w:tcPr>
            <w:tcW w:w="1180"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nitrogen composition</w:t>
            </w:r>
          </w:p>
        </w:tc>
        <w:tc>
          <w:tcPr>
            <w:tcW w:w="1297"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nutrient concentration</w:t>
            </w:r>
          </w:p>
        </w:tc>
        <w:tc>
          <w:tcPr>
            <w:tcW w:w="1257"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phosphorous composition</w:t>
            </w:r>
          </w:p>
        </w:tc>
        <w:tc>
          <w:tcPr>
            <w:tcW w:w="707"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 xml:space="preserve">ToxN </w:t>
            </w:r>
          </w:p>
        </w:tc>
        <w:tc>
          <w:tcPr>
            <w:tcW w:w="708"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DON</w:t>
            </w:r>
          </w:p>
        </w:tc>
        <w:tc>
          <w:tcPr>
            <w:tcW w:w="607" w:type="dxa"/>
            <w:tcBorders>
              <w:top w:val="single" w:sz="12" w:space="0" w:color="auto"/>
              <w:left w:val="single" w:sz="6" w:space="0" w:color="auto"/>
              <w:bottom w:val="single" w:sz="6" w:space="0" w:color="auto"/>
              <w:right w:val="single" w:sz="12"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POC</w:t>
            </w:r>
          </w:p>
        </w:tc>
      </w:tr>
      <w:tr w:rsidR="00FE78B7" w:rsidRPr="00A86CEE" w:rsidTr="0079438C">
        <w:trPr>
          <w:trHeight w:val="290"/>
        </w:trPr>
        <w:tc>
          <w:tcPr>
            <w:tcW w:w="0" w:type="auto"/>
            <w:tcBorders>
              <w:top w:val="single" w:sz="6" w:space="0" w:color="auto"/>
              <w:left w:val="single" w:sz="12" w:space="0" w:color="auto"/>
              <w:bottom w:val="nil"/>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OSPAR</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CC00" w:fill="auto"/>
          </w:tcPr>
          <w:p w:rsidR="00FE78B7" w:rsidRPr="0054516F" w:rsidRDefault="00AD6D29"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11D9F"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CC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180"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9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5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single" w:sz="6" w:space="0" w:color="auto"/>
              <w:left w:val="single" w:sz="6" w:space="0" w:color="auto"/>
              <w:bottom w:val="nil"/>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FF3C93">
        <w:trPr>
          <w:trHeight w:val="290"/>
        </w:trPr>
        <w:tc>
          <w:tcPr>
            <w:tcW w:w="0" w:type="auto"/>
            <w:tcBorders>
              <w:top w:val="nil"/>
              <w:left w:val="single" w:sz="12" w:space="0" w:color="auto"/>
              <w:bottom w:val="single" w:sz="6" w:space="0" w:color="auto"/>
              <w:right w:val="single" w:sz="6" w:space="0" w:color="auto"/>
            </w:tcBorders>
            <w:shd w:val="clear" w:color="auto" w:fill="D9D9D9" w:themeFill="background1" w:themeFillShade="D9"/>
          </w:tcPr>
          <w:p w:rsidR="00A60C9C" w:rsidRDefault="00FE78B7">
            <w:pPr>
              <w:autoSpaceDE w:val="0"/>
              <w:autoSpaceDN w:val="0"/>
              <w:adjustRightInd w:val="0"/>
              <w:spacing w:line="240" w:lineRule="auto"/>
              <w:ind w:left="170"/>
              <w:rPr>
                <w:b/>
                <w:bCs/>
                <w:color w:val="000000"/>
                <w:sz w:val="18"/>
                <w:szCs w:val="18"/>
              </w:rPr>
            </w:pPr>
            <w:r w:rsidRPr="0054516F">
              <w:rPr>
                <w:color w:val="000000"/>
                <w:sz w:val="18"/>
                <w:szCs w:val="18"/>
              </w:rPr>
              <w:t>MSFD art 8,9,10 *</w:t>
            </w:r>
          </w:p>
        </w:tc>
        <w:tc>
          <w:tcPr>
            <w:tcW w:w="0" w:type="auto"/>
            <w:tcBorders>
              <w:top w:val="nil"/>
              <w:left w:val="single" w:sz="6" w:space="0" w:color="auto"/>
              <w:bottom w:val="single" w:sz="6" w:space="0" w:color="auto"/>
              <w:right w:val="single" w:sz="6" w:space="0" w:color="auto"/>
            </w:tcBorders>
            <w:shd w:val="solid" w:color="00CCFF" w:fill="auto"/>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clear" w:color="auto" w:fill="92D050"/>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00CCFF"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180"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297"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257"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707" w:type="dxa"/>
            <w:tcBorders>
              <w:top w:val="nil"/>
              <w:left w:val="single" w:sz="6" w:space="0" w:color="auto"/>
              <w:bottom w:val="single" w:sz="6" w:space="0" w:color="auto"/>
              <w:right w:val="single" w:sz="6" w:space="0" w:color="auto"/>
            </w:tcBorders>
            <w:shd w:val="solid" w:color="00CCFF"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708"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nil"/>
              <w:left w:val="single" w:sz="6" w:space="0" w:color="auto"/>
              <w:bottom w:val="single" w:sz="6" w:space="0" w:color="auto"/>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79438C">
        <w:trPr>
          <w:trHeight w:val="290"/>
        </w:trPr>
        <w:tc>
          <w:tcPr>
            <w:tcW w:w="0" w:type="auto"/>
            <w:tcBorders>
              <w:top w:val="single" w:sz="6" w:space="0" w:color="auto"/>
              <w:left w:val="single" w:sz="12" w:space="0" w:color="auto"/>
              <w:bottom w:val="nil"/>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HELCOM</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D6D29"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11D9F"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180"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9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5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single" w:sz="6" w:space="0" w:color="auto"/>
              <w:left w:val="single" w:sz="6" w:space="0" w:color="auto"/>
              <w:bottom w:val="nil"/>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FF3C93">
        <w:trPr>
          <w:trHeight w:val="290"/>
        </w:trPr>
        <w:tc>
          <w:tcPr>
            <w:tcW w:w="0" w:type="auto"/>
            <w:tcBorders>
              <w:top w:val="nil"/>
              <w:left w:val="single" w:sz="12" w:space="0" w:color="auto"/>
              <w:bottom w:val="single" w:sz="6" w:space="0" w:color="auto"/>
              <w:right w:val="single" w:sz="6" w:space="0" w:color="auto"/>
            </w:tcBorders>
            <w:shd w:val="clear" w:color="auto" w:fill="D9D9D9" w:themeFill="background1" w:themeFillShade="D9"/>
          </w:tcPr>
          <w:p w:rsidR="00A60C9C" w:rsidRDefault="00FE78B7">
            <w:pPr>
              <w:autoSpaceDE w:val="0"/>
              <w:autoSpaceDN w:val="0"/>
              <w:adjustRightInd w:val="0"/>
              <w:spacing w:line="240" w:lineRule="auto"/>
              <w:ind w:left="170"/>
              <w:rPr>
                <w:b/>
                <w:bCs/>
                <w:color w:val="000000"/>
                <w:sz w:val="18"/>
                <w:szCs w:val="18"/>
              </w:rPr>
            </w:pPr>
            <w:r w:rsidRPr="0054516F">
              <w:rPr>
                <w:color w:val="000000"/>
                <w:sz w:val="18"/>
                <w:szCs w:val="18"/>
              </w:rPr>
              <w:t>MSFD art 8,9,10*</w:t>
            </w:r>
          </w:p>
        </w:tc>
        <w:tc>
          <w:tcPr>
            <w:tcW w:w="0" w:type="auto"/>
            <w:tcBorders>
              <w:top w:val="nil"/>
              <w:left w:val="single" w:sz="6" w:space="0" w:color="auto"/>
              <w:bottom w:val="single" w:sz="6" w:space="0" w:color="auto"/>
              <w:right w:val="single" w:sz="6" w:space="0" w:color="auto"/>
            </w:tcBorders>
            <w:shd w:val="clear" w:color="auto" w:fill="92D050"/>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shd w:val="solid" w:color="FFCC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CC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00CCFF"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180"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297"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257"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707"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nil"/>
              <w:left w:val="single" w:sz="6" w:space="0" w:color="auto"/>
              <w:bottom w:val="single" w:sz="6" w:space="0" w:color="auto"/>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3F3700">
        <w:trPr>
          <w:trHeight w:val="290"/>
        </w:trPr>
        <w:tc>
          <w:tcPr>
            <w:tcW w:w="0" w:type="auto"/>
            <w:tcBorders>
              <w:top w:val="single" w:sz="6" w:space="0" w:color="auto"/>
              <w:left w:val="single" w:sz="12" w:space="0" w:color="auto"/>
              <w:bottom w:val="nil"/>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UNEP/MAP</w:t>
            </w:r>
          </w:p>
        </w:tc>
        <w:tc>
          <w:tcPr>
            <w:tcW w:w="0" w:type="auto"/>
            <w:tcBorders>
              <w:top w:val="single" w:sz="6" w:space="0" w:color="auto"/>
              <w:left w:val="single" w:sz="6" w:space="0" w:color="auto"/>
              <w:bottom w:val="nil"/>
              <w:right w:val="single" w:sz="6" w:space="0" w:color="auto"/>
            </w:tcBorders>
            <w:shd w:val="clear" w:color="auto" w:fill="92D050"/>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clear" w:color="auto" w:fill="92D050"/>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clear" w:color="auto" w:fill="92D050"/>
          </w:tcPr>
          <w:p w:rsidR="00FE78B7" w:rsidRPr="0054516F" w:rsidRDefault="00AD6D29"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clear" w:color="auto" w:fill="92D050"/>
          </w:tcPr>
          <w:p w:rsidR="00FE78B7" w:rsidRPr="0054516F" w:rsidRDefault="00A11D9F"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clear" w:color="auto" w:fill="92D050"/>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 **</w:t>
            </w:r>
          </w:p>
        </w:tc>
        <w:tc>
          <w:tcPr>
            <w:tcW w:w="0" w:type="auto"/>
            <w:tcBorders>
              <w:top w:val="single" w:sz="6" w:space="0" w:color="auto"/>
              <w:left w:val="single" w:sz="6" w:space="0" w:color="auto"/>
              <w:bottom w:val="nil"/>
              <w:right w:val="single" w:sz="6" w:space="0" w:color="auto"/>
            </w:tcBorders>
            <w:shd w:val="clear" w:color="auto" w:fill="92D050"/>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00CCFF"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00CCFF"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180"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9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5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single" w:sz="6" w:space="0" w:color="auto"/>
              <w:left w:val="single" w:sz="6" w:space="0" w:color="auto"/>
              <w:bottom w:val="nil"/>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FF3C93">
        <w:trPr>
          <w:trHeight w:val="290"/>
        </w:trPr>
        <w:tc>
          <w:tcPr>
            <w:tcW w:w="0" w:type="auto"/>
            <w:tcBorders>
              <w:top w:val="nil"/>
              <w:left w:val="single" w:sz="12" w:space="0" w:color="auto"/>
              <w:bottom w:val="single" w:sz="6" w:space="0" w:color="auto"/>
              <w:right w:val="single" w:sz="6" w:space="0" w:color="auto"/>
            </w:tcBorders>
            <w:shd w:val="clear" w:color="auto" w:fill="D9D9D9" w:themeFill="background1" w:themeFillShade="D9"/>
          </w:tcPr>
          <w:p w:rsidR="00A60C9C" w:rsidRDefault="00FE78B7">
            <w:pPr>
              <w:autoSpaceDE w:val="0"/>
              <w:autoSpaceDN w:val="0"/>
              <w:adjustRightInd w:val="0"/>
              <w:spacing w:line="240" w:lineRule="auto"/>
              <w:ind w:left="170"/>
              <w:rPr>
                <w:b/>
                <w:bCs/>
                <w:color w:val="000000"/>
                <w:sz w:val="18"/>
                <w:szCs w:val="18"/>
              </w:rPr>
            </w:pPr>
            <w:r w:rsidRPr="0054516F">
              <w:rPr>
                <w:color w:val="000000"/>
                <w:sz w:val="18"/>
                <w:szCs w:val="18"/>
              </w:rPr>
              <w:t>MSFD art 8,9,10*</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180"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297" w:type="dxa"/>
            <w:tcBorders>
              <w:top w:val="nil"/>
              <w:left w:val="single" w:sz="6" w:space="0" w:color="auto"/>
              <w:bottom w:val="single" w:sz="6" w:space="0" w:color="auto"/>
              <w:right w:val="single" w:sz="6" w:space="0" w:color="auto"/>
            </w:tcBorders>
            <w:shd w:val="solid" w:color="FFCC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257" w:type="dxa"/>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707"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nil"/>
              <w:left w:val="single" w:sz="6" w:space="0" w:color="auto"/>
              <w:bottom w:val="single" w:sz="6" w:space="0" w:color="auto"/>
              <w:right w:val="single" w:sz="6" w:space="0" w:color="auto"/>
            </w:tcBorders>
            <w:shd w:val="clear" w:color="auto" w:fill="92D050"/>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607" w:type="dxa"/>
            <w:tcBorders>
              <w:top w:val="nil"/>
              <w:left w:val="single" w:sz="6" w:space="0" w:color="auto"/>
              <w:bottom w:val="single" w:sz="6" w:space="0" w:color="auto"/>
              <w:right w:val="single" w:sz="12" w:space="0" w:color="auto"/>
            </w:tcBorders>
            <w:shd w:val="clear" w:color="auto" w:fill="92D050"/>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r>
      <w:tr w:rsidR="00FE78B7" w:rsidRPr="00A86CEE" w:rsidTr="0079438C">
        <w:trPr>
          <w:trHeight w:val="290"/>
        </w:trPr>
        <w:tc>
          <w:tcPr>
            <w:tcW w:w="0" w:type="auto"/>
            <w:tcBorders>
              <w:top w:val="single" w:sz="6" w:space="0" w:color="auto"/>
              <w:left w:val="single" w:sz="12" w:space="0" w:color="auto"/>
              <w:bottom w:val="nil"/>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BSC</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D6D29"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A11D9F"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 **</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nil"/>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1180"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9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5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single" w:sz="6" w:space="0" w:color="auto"/>
              <w:left w:val="single" w:sz="6" w:space="0" w:color="auto"/>
              <w:bottom w:val="nil"/>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single" w:sz="6" w:space="0" w:color="auto"/>
              <w:left w:val="single" w:sz="6" w:space="0" w:color="auto"/>
              <w:bottom w:val="nil"/>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79438C">
        <w:trPr>
          <w:trHeight w:val="290"/>
        </w:trPr>
        <w:tc>
          <w:tcPr>
            <w:tcW w:w="0" w:type="auto"/>
            <w:tcBorders>
              <w:top w:val="nil"/>
              <w:left w:val="single" w:sz="12" w:space="0" w:color="auto"/>
              <w:bottom w:val="single" w:sz="6" w:space="0" w:color="auto"/>
              <w:right w:val="single" w:sz="6" w:space="0" w:color="auto"/>
            </w:tcBorders>
            <w:shd w:val="clear" w:color="auto" w:fill="D9D9D9" w:themeFill="background1" w:themeFillShade="D9"/>
          </w:tcPr>
          <w:p w:rsidR="00A60C9C" w:rsidRDefault="00FE78B7">
            <w:pPr>
              <w:autoSpaceDE w:val="0"/>
              <w:autoSpaceDN w:val="0"/>
              <w:adjustRightInd w:val="0"/>
              <w:spacing w:line="240" w:lineRule="auto"/>
              <w:ind w:left="170"/>
              <w:rPr>
                <w:b/>
                <w:bCs/>
                <w:color w:val="000000"/>
                <w:sz w:val="18"/>
                <w:szCs w:val="18"/>
              </w:rPr>
            </w:pPr>
            <w:r w:rsidRPr="0054516F">
              <w:rPr>
                <w:color w:val="000000"/>
                <w:sz w:val="18"/>
                <w:szCs w:val="18"/>
              </w:rPr>
              <w:t>MSFD art 8,9,10*</w:t>
            </w:r>
          </w:p>
        </w:tc>
        <w:tc>
          <w:tcPr>
            <w:tcW w:w="0" w:type="auto"/>
            <w:tcBorders>
              <w:top w:val="nil"/>
              <w:left w:val="single" w:sz="6" w:space="0" w:color="auto"/>
              <w:bottom w:val="single" w:sz="6" w:space="0" w:color="auto"/>
              <w:right w:val="single" w:sz="6" w:space="0" w:color="auto"/>
            </w:tcBorders>
            <w:shd w:val="solid" w:color="FF0000" w:fill="auto"/>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00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AD6D29"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0000" w:fill="auto"/>
          </w:tcPr>
          <w:p w:rsidR="00FE78B7" w:rsidRPr="0054516F" w:rsidRDefault="00A11D9F"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shd w:val="solid" w:color="FFFF00" w:fill="auto"/>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180"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97"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57"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nil"/>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nil"/>
              <w:left w:val="single" w:sz="6" w:space="0" w:color="auto"/>
              <w:bottom w:val="single" w:sz="6" w:space="0" w:color="auto"/>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79438C">
        <w:trPr>
          <w:trHeight w:val="290"/>
        </w:trPr>
        <w:tc>
          <w:tcPr>
            <w:tcW w:w="0" w:type="auto"/>
            <w:tcBorders>
              <w:top w:val="single" w:sz="6" w:space="0" w:color="auto"/>
              <w:left w:val="single" w:sz="12" w:space="0" w:color="auto"/>
              <w:bottom w:val="single" w:sz="6"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WFD</w:t>
            </w:r>
            <w:r w:rsidR="00740BA3">
              <w:rPr>
                <w:color w:val="000000"/>
                <w:sz w:val="18"/>
                <w:szCs w:val="18"/>
              </w:rPr>
              <w:t>*</w:t>
            </w: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740BA3" w:rsidP="00740BA3">
            <w:pPr>
              <w:autoSpaceDE w:val="0"/>
              <w:autoSpaceDN w:val="0"/>
              <w:adjustRightInd w:val="0"/>
              <w:spacing w:line="240" w:lineRule="auto"/>
              <w:jc w:val="left"/>
              <w:rPr>
                <w:color w:val="000000"/>
                <w:sz w:val="18"/>
                <w:szCs w:val="18"/>
              </w:rPr>
            </w:pPr>
            <w:r>
              <w:rPr>
                <w:color w:val="000000"/>
                <w:sz w:val="18"/>
                <w:szCs w:val="18"/>
              </w:rPr>
              <w:t>x</w:t>
            </w: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A11D9F" w:rsidP="00740BA3">
            <w:pPr>
              <w:autoSpaceDE w:val="0"/>
              <w:autoSpaceDN w:val="0"/>
              <w:adjustRightInd w:val="0"/>
              <w:spacing w:line="240" w:lineRule="auto"/>
              <w:jc w:val="left"/>
              <w:rPr>
                <w:color w:val="000000"/>
                <w:sz w:val="18"/>
                <w:szCs w:val="18"/>
              </w:rPr>
            </w:pPr>
            <w:r>
              <w:rPr>
                <w:color w:val="000000"/>
                <w:sz w:val="18"/>
                <w:szCs w:val="18"/>
              </w:rPr>
              <w:t>X</w:t>
            </w: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0" w:type="auto"/>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1180" w:type="dxa"/>
            <w:tcBorders>
              <w:top w:val="single" w:sz="6" w:space="0" w:color="auto"/>
              <w:left w:val="single" w:sz="6" w:space="0" w:color="auto"/>
              <w:bottom w:val="single" w:sz="6" w:space="0" w:color="auto"/>
              <w:right w:val="single" w:sz="6" w:space="0" w:color="auto"/>
            </w:tcBorders>
          </w:tcPr>
          <w:p w:rsidR="00FE78B7" w:rsidRPr="0054516F" w:rsidRDefault="00FE78B7" w:rsidP="00740BA3">
            <w:pPr>
              <w:autoSpaceDE w:val="0"/>
              <w:autoSpaceDN w:val="0"/>
              <w:adjustRightInd w:val="0"/>
              <w:spacing w:line="240" w:lineRule="auto"/>
              <w:jc w:val="left"/>
              <w:rPr>
                <w:color w:val="000000"/>
                <w:sz w:val="18"/>
                <w:szCs w:val="18"/>
              </w:rPr>
            </w:pPr>
          </w:p>
        </w:tc>
        <w:tc>
          <w:tcPr>
            <w:tcW w:w="1297" w:type="dxa"/>
            <w:tcBorders>
              <w:top w:val="single" w:sz="6" w:space="0" w:color="auto"/>
              <w:left w:val="single" w:sz="6" w:space="0" w:color="auto"/>
              <w:bottom w:val="single" w:sz="6" w:space="0" w:color="auto"/>
              <w:right w:val="single" w:sz="6" w:space="0" w:color="auto"/>
            </w:tcBorders>
          </w:tcPr>
          <w:p w:rsidR="00FE78B7" w:rsidRPr="0054516F" w:rsidRDefault="00740BA3" w:rsidP="00740BA3">
            <w:pPr>
              <w:autoSpaceDE w:val="0"/>
              <w:autoSpaceDN w:val="0"/>
              <w:adjustRightInd w:val="0"/>
              <w:spacing w:line="240" w:lineRule="auto"/>
              <w:jc w:val="left"/>
              <w:rPr>
                <w:color w:val="000000"/>
                <w:sz w:val="18"/>
                <w:szCs w:val="18"/>
              </w:rPr>
            </w:pPr>
            <w:r>
              <w:rPr>
                <w:color w:val="000000"/>
                <w:sz w:val="18"/>
                <w:szCs w:val="18"/>
              </w:rPr>
              <w:t>x</w:t>
            </w:r>
          </w:p>
        </w:tc>
        <w:tc>
          <w:tcPr>
            <w:tcW w:w="1257" w:type="dxa"/>
            <w:tcBorders>
              <w:top w:val="single" w:sz="6" w:space="0" w:color="auto"/>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single" w:sz="6" w:space="0" w:color="auto"/>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single" w:sz="6" w:space="0" w:color="auto"/>
              <w:left w:val="single" w:sz="6" w:space="0" w:color="auto"/>
              <w:bottom w:val="single" w:sz="6"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single" w:sz="6" w:space="0" w:color="auto"/>
              <w:left w:val="single" w:sz="6" w:space="0" w:color="auto"/>
              <w:bottom w:val="single" w:sz="6" w:space="0" w:color="auto"/>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r w:rsidR="00FE78B7" w:rsidRPr="00A86CEE" w:rsidTr="0079438C">
        <w:trPr>
          <w:trHeight w:val="302"/>
        </w:trPr>
        <w:tc>
          <w:tcPr>
            <w:tcW w:w="0" w:type="auto"/>
            <w:tcBorders>
              <w:top w:val="single" w:sz="6" w:space="0" w:color="auto"/>
              <w:left w:val="single" w:sz="12" w:space="0" w:color="auto"/>
              <w:bottom w:val="single" w:sz="12" w:space="0" w:color="auto"/>
              <w:right w:val="single" w:sz="6" w:space="0" w:color="auto"/>
            </w:tcBorders>
            <w:shd w:val="clear" w:color="auto" w:fill="D9D9D9" w:themeFill="background1" w:themeFillShade="D9"/>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EEA</w:t>
            </w: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AD2B9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AD6D29" w:rsidP="0079438C">
            <w:pPr>
              <w:autoSpaceDE w:val="0"/>
              <w:autoSpaceDN w:val="0"/>
              <w:adjustRightInd w:val="0"/>
              <w:spacing w:line="240" w:lineRule="auto"/>
              <w:rPr>
                <w:color w:val="000000"/>
                <w:sz w:val="18"/>
                <w:szCs w:val="18"/>
              </w:rPr>
            </w:pPr>
            <w:r w:rsidRPr="0054516F">
              <w:rPr>
                <w:color w:val="000000"/>
                <w:sz w:val="18"/>
                <w:szCs w:val="18"/>
              </w:rPr>
              <w:t>X</w:t>
            </w: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0" w:type="auto"/>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180" w:type="dxa"/>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97" w:type="dxa"/>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1257" w:type="dxa"/>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7" w:type="dxa"/>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708" w:type="dxa"/>
            <w:tcBorders>
              <w:top w:val="single" w:sz="6" w:space="0" w:color="auto"/>
              <w:left w:val="single" w:sz="6" w:space="0" w:color="auto"/>
              <w:bottom w:val="single" w:sz="12" w:space="0" w:color="auto"/>
              <w:right w:val="single" w:sz="6"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c>
          <w:tcPr>
            <w:tcW w:w="607" w:type="dxa"/>
            <w:tcBorders>
              <w:top w:val="single" w:sz="6" w:space="0" w:color="auto"/>
              <w:left w:val="single" w:sz="6" w:space="0" w:color="auto"/>
              <w:bottom w:val="single" w:sz="12" w:space="0" w:color="auto"/>
              <w:right w:val="single" w:sz="12" w:space="0" w:color="auto"/>
            </w:tcBorders>
          </w:tcPr>
          <w:p w:rsidR="00FE78B7" w:rsidRPr="0054516F" w:rsidRDefault="00FE78B7" w:rsidP="0079438C">
            <w:pPr>
              <w:autoSpaceDE w:val="0"/>
              <w:autoSpaceDN w:val="0"/>
              <w:adjustRightInd w:val="0"/>
              <w:spacing w:line="240" w:lineRule="auto"/>
              <w:jc w:val="right"/>
              <w:rPr>
                <w:color w:val="000000"/>
                <w:sz w:val="18"/>
                <w:szCs w:val="18"/>
              </w:rPr>
            </w:pPr>
          </w:p>
        </w:tc>
      </w:tr>
    </w:tbl>
    <w:p w:rsidR="00FE78B7" w:rsidRDefault="00FE78B7" w:rsidP="00FE78B7">
      <w:pPr>
        <w:pStyle w:val="ListParagraph"/>
        <w:spacing w:line="240" w:lineRule="auto"/>
        <w:ind w:left="0"/>
        <w:rPr>
          <w:sz w:val="16"/>
          <w:szCs w:val="16"/>
          <w:lang w:val="en-US"/>
        </w:rPr>
      </w:pPr>
      <w:r w:rsidRPr="00B4323C">
        <w:rPr>
          <w:sz w:val="16"/>
          <w:szCs w:val="16"/>
          <w:lang w:val="en-US"/>
        </w:rPr>
        <w:t>* Palialexis et</w:t>
      </w:r>
      <w:r>
        <w:rPr>
          <w:sz w:val="16"/>
          <w:szCs w:val="16"/>
          <w:lang w:val="en-US"/>
        </w:rPr>
        <w:t xml:space="preserve"> al. </w:t>
      </w:r>
      <w:r w:rsidRPr="00B4323C">
        <w:rPr>
          <w:sz w:val="16"/>
          <w:szCs w:val="16"/>
          <w:lang w:val="en-US"/>
        </w:rPr>
        <w:t>2014</w:t>
      </w:r>
    </w:p>
    <w:p w:rsidR="00FE78B7" w:rsidRPr="00B4323C" w:rsidRDefault="00FE78B7" w:rsidP="00FE78B7">
      <w:pPr>
        <w:pStyle w:val="ListParagraph"/>
        <w:spacing w:line="240" w:lineRule="auto"/>
        <w:ind w:left="0"/>
        <w:rPr>
          <w:sz w:val="16"/>
          <w:szCs w:val="16"/>
          <w:lang w:val="en-US"/>
        </w:rPr>
      </w:pPr>
      <w:r>
        <w:rPr>
          <w:sz w:val="16"/>
          <w:szCs w:val="16"/>
          <w:lang w:val="en-US"/>
        </w:rPr>
        <w:t>** DIN can be calculated</w:t>
      </w:r>
    </w:p>
    <w:tbl>
      <w:tblPr>
        <w:tblStyle w:val="TableGrid"/>
        <w:tblW w:w="0" w:type="auto"/>
        <w:tblLook w:val="04A0"/>
      </w:tblPr>
      <w:tblGrid>
        <w:gridCol w:w="1018"/>
        <w:gridCol w:w="937"/>
        <w:gridCol w:w="837"/>
        <w:gridCol w:w="837"/>
        <w:gridCol w:w="837"/>
        <w:gridCol w:w="737"/>
      </w:tblGrid>
      <w:tr w:rsidR="00FE78B7" w:rsidRPr="00B4323C" w:rsidTr="0079438C">
        <w:tc>
          <w:tcPr>
            <w:tcW w:w="0" w:type="auto"/>
            <w:vAlign w:val="bottom"/>
          </w:tcPr>
          <w:p w:rsidR="00FE78B7" w:rsidRPr="00B4323C" w:rsidRDefault="00FE78B7" w:rsidP="0079438C">
            <w:pPr>
              <w:tabs>
                <w:tab w:val="left" w:pos="3537"/>
              </w:tabs>
              <w:ind w:left="-49"/>
              <w:rPr>
                <w:rFonts w:cs="Times New Roman"/>
                <w:color w:val="000000"/>
                <w:sz w:val="18"/>
                <w:szCs w:val="18"/>
                <w:lang w:eastAsia="el-GR"/>
              </w:rPr>
            </w:pPr>
            <w:r w:rsidRPr="00B4323C">
              <w:rPr>
                <w:rFonts w:cs="Times New Roman"/>
                <w:color w:val="000000"/>
                <w:sz w:val="18"/>
                <w:szCs w:val="18"/>
                <w:lang w:eastAsia="el-GR"/>
              </w:rPr>
              <w:t>Frequency</w:t>
            </w:r>
          </w:p>
        </w:tc>
        <w:tc>
          <w:tcPr>
            <w:tcW w:w="0" w:type="auto"/>
            <w:shd w:val="clear" w:color="auto" w:fill="FF0000"/>
            <w:vAlign w:val="bottom"/>
          </w:tcPr>
          <w:p w:rsidR="00FE78B7" w:rsidRPr="00B4323C" w:rsidRDefault="00FE78B7" w:rsidP="0079438C">
            <w:pPr>
              <w:jc w:val="center"/>
              <w:rPr>
                <w:rFonts w:cs="Times New Roman"/>
                <w:color w:val="FF0000"/>
                <w:sz w:val="18"/>
                <w:szCs w:val="18"/>
                <w:lang w:eastAsia="el-GR"/>
              </w:rPr>
            </w:pPr>
            <w:r w:rsidRPr="00B4323C">
              <w:rPr>
                <w:rFonts w:cs="Times New Roman"/>
                <w:color w:val="000000"/>
                <w:sz w:val="18"/>
                <w:szCs w:val="18"/>
                <w:lang w:eastAsia="el-GR"/>
              </w:rPr>
              <w:t>100-81%</w:t>
            </w:r>
          </w:p>
        </w:tc>
        <w:tc>
          <w:tcPr>
            <w:tcW w:w="0" w:type="auto"/>
            <w:shd w:val="clear" w:color="auto" w:fill="FFC000"/>
            <w:vAlign w:val="bottom"/>
          </w:tcPr>
          <w:p w:rsidR="00FE78B7" w:rsidRPr="00B4323C" w:rsidRDefault="00FE78B7" w:rsidP="0079438C">
            <w:pPr>
              <w:jc w:val="center"/>
              <w:rPr>
                <w:rFonts w:cs="Times New Roman"/>
                <w:color w:val="000000"/>
                <w:sz w:val="18"/>
                <w:szCs w:val="18"/>
                <w:lang w:eastAsia="el-GR"/>
              </w:rPr>
            </w:pPr>
            <w:r w:rsidRPr="00B4323C">
              <w:rPr>
                <w:rFonts w:cs="Times New Roman"/>
                <w:color w:val="000000"/>
                <w:sz w:val="18"/>
                <w:szCs w:val="18"/>
                <w:lang w:eastAsia="el-GR"/>
              </w:rPr>
              <w:t>80-61%</w:t>
            </w:r>
          </w:p>
        </w:tc>
        <w:tc>
          <w:tcPr>
            <w:tcW w:w="0" w:type="auto"/>
            <w:shd w:val="clear" w:color="auto" w:fill="FFFF00"/>
            <w:vAlign w:val="bottom"/>
          </w:tcPr>
          <w:p w:rsidR="00FE78B7" w:rsidRPr="00B4323C" w:rsidRDefault="00FE78B7" w:rsidP="0079438C">
            <w:pPr>
              <w:jc w:val="center"/>
              <w:rPr>
                <w:rFonts w:cs="Times New Roman"/>
                <w:color w:val="000000"/>
                <w:sz w:val="18"/>
                <w:szCs w:val="18"/>
                <w:lang w:eastAsia="el-GR"/>
              </w:rPr>
            </w:pPr>
            <w:r w:rsidRPr="00B4323C">
              <w:rPr>
                <w:rFonts w:cs="Times New Roman"/>
                <w:color w:val="000000"/>
                <w:sz w:val="18"/>
                <w:szCs w:val="18"/>
                <w:lang w:eastAsia="el-GR"/>
              </w:rPr>
              <w:t>60-41%</w:t>
            </w:r>
          </w:p>
        </w:tc>
        <w:tc>
          <w:tcPr>
            <w:tcW w:w="0" w:type="auto"/>
            <w:shd w:val="clear" w:color="auto" w:fill="92D050"/>
            <w:vAlign w:val="bottom"/>
          </w:tcPr>
          <w:p w:rsidR="00FE78B7" w:rsidRPr="00B4323C" w:rsidRDefault="00FE78B7" w:rsidP="0079438C">
            <w:pPr>
              <w:jc w:val="center"/>
              <w:rPr>
                <w:rFonts w:cs="Times New Roman"/>
                <w:color w:val="000000"/>
                <w:sz w:val="18"/>
                <w:szCs w:val="18"/>
                <w:lang w:eastAsia="el-GR"/>
              </w:rPr>
            </w:pPr>
            <w:r w:rsidRPr="00B4323C">
              <w:rPr>
                <w:rFonts w:cs="Times New Roman"/>
                <w:color w:val="000000"/>
                <w:sz w:val="18"/>
                <w:szCs w:val="18"/>
                <w:lang w:eastAsia="el-GR"/>
              </w:rPr>
              <w:t>40-21%</w:t>
            </w:r>
          </w:p>
        </w:tc>
        <w:tc>
          <w:tcPr>
            <w:tcW w:w="0" w:type="auto"/>
            <w:shd w:val="clear" w:color="auto" w:fill="00B0F0"/>
            <w:vAlign w:val="bottom"/>
          </w:tcPr>
          <w:p w:rsidR="00FE78B7" w:rsidRPr="00B4323C" w:rsidRDefault="00FE78B7" w:rsidP="0079438C">
            <w:pPr>
              <w:jc w:val="center"/>
              <w:rPr>
                <w:rFonts w:cs="Times New Roman"/>
                <w:color w:val="000000"/>
                <w:sz w:val="18"/>
                <w:szCs w:val="18"/>
                <w:lang w:eastAsia="el-GR"/>
              </w:rPr>
            </w:pPr>
            <w:r w:rsidRPr="00B4323C">
              <w:rPr>
                <w:rFonts w:cs="Times New Roman"/>
                <w:color w:val="000000"/>
                <w:sz w:val="18"/>
                <w:szCs w:val="18"/>
                <w:lang w:eastAsia="el-GR"/>
              </w:rPr>
              <w:t>20-0%</w:t>
            </w:r>
          </w:p>
        </w:tc>
      </w:tr>
    </w:tbl>
    <w:p w:rsidR="00FE78B7" w:rsidRDefault="00FE78B7" w:rsidP="00FE78B7">
      <w:pPr>
        <w:rPr>
          <w:lang w:val="en-US"/>
        </w:rPr>
      </w:pPr>
    </w:p>
    <w:p w:rsidR="008634BE" w:rsidRDefault="008634BE" w:rsidP="00FE78B7">
      <w:pPr>
        <w:rPr>
          <w:lang w:val="en-US"/>
        </w:rPr>
      </w:pPr>
    </w:p>
    <w:p w:rsidR="008634BE" w:rsidRDefault="008634BE" w:rsidP="00FE78B7">
      <w:pPr>
        <w:rPr>
          <w:lang w:val="en-US"/>
        </w:rPr>
      </w:pPr>
    </w:p>
    <w:p w:rsidR="008634BE" w:rsidRDefault="008634BE" w:rsidP="00FE78B7">
      <w:pPr>
        <w:rPr>
          <w:lang w:val="en-US"/>
        </w:rPr>
      </w:pPr>
    </w:p>
    <w:p w:rsidR="008634BE" w:rsidRDefault="008634BE" w:rsidP="00FE78B7">
      <w:pPr>
        <w:rPr>
          <w:lang w:val="en-US"/>
        </w:rPr>
      </w:pPr>
    </w:p>
    <w:p w:rsidR="008634BE" w:rsidRDefault="008634BE" w:rsidP="00FE78B7">
      <w:pPr>
        <w:rPr>
          <w:lang w:val="en-US"/>
        </w:rPr>
      </w:pPr>
    </w:p>
    <w:p w:rsidR="00FE78B7" w:rsidRDefault="00FE78B7">
      <w:pPr>
        <w:spacing w:line="240" w:lineRule="auto"/>
        <w:jc w:val="left"/>
        <w:rPr>
          <w:szCs w:val="21"/>
          <w:lang w:val="en-US"/>
        </w:rPr>
      </w:pPr>
      <w:r>
        <w:rPr>
          <w:szCs w:val="21"/>
          <w:lang w:val="en-US"/>
        </w:rPr>
        <w:br w:type="page"/>
      </w:r>
    </w:p>
    <w:p w:rsidR="008634BE" w:rsidRDefault="008634BE" w:rsidP="00A86CEE">
      <w:pPr>
        <w:pStyle w:val="Caption"/>
        <w:ind w:left="0" w:firstLine="0"/>
        <w:sectPr w:rsidR="008634BE" w:rsidSect="008634BE">
          <w:pgSz w:w="16838" w:h="11906" w:orient="landscape" w:code="9"/>
          <w:pgMar w:top="1094" w:right="1077" w:bottom="2098" w:left="2552" w:header="822" w:footer="198" w:gutter="0"/>
          <w:paperSrc w:first="7" w:other="7"/>
          <w:cols w:space="708"/>
          <w:docGrid w:linePitch="360"/>
        </w:sectPr>
      </w:pPr>
    </w:p>
    <w:p w:rsidR="002B659F" w:rsidRPr="00F2534A" w:rsidRDefault="002B659F" w:rsidP="00A86CEE">
      <w:pPr>
        <w:pStyle w:val="Caption"/>
        <w:ind w:left="0" w:firstLine="0"/>
        <w:rPr>
          <w:lang w:val="en-US"/>
        </w:rPr>
      </w:pPr>
      <w:r>
        <w:lastRenderedPageBreak/>
        <w:t xml:space="preserve">Table </w:t>
      </w:r>
      <w:r w:rsidR="008135ED">
        <w:fldChar w:fldCharType="begin"/>
      </w:r>
      <w:r w:rsidR="00F15E0D">
        <w:instrText xml:space="preserve"> STYLEREF 1 \s </w:instrText>
      </w:r>
      <w:r w:rsidR="008135ED">
        <w:fldChar w:fldCharType="separate"/>
      </w:r>
      <w:r>
        <w:rPr>
          <w:noProof/>
        </w:rPr>
        <w:t>2</w:t>
      </w:r>
      <w:r w:rsidR="008135ED">
        <w:rPr>
          <w:noProof/>
        </w:rPr>
        <w:fldChar w:fldCharType="end"/>
      </w:r>
      <w:r>
        <w:t>.</w:t>
      </w:r>
      <w:r w:rsidR="00B4323C">
        <w:t>5</w:t>
      </w:r>
      <w:r>
        <w:tab/>
        <w:t>P</w:t>
      </w:r>
      <w:r>
        <w:rPr>
          <w:lang w:val="en-US"/>
        </w:rPr>
        <w:t xml:space="preserve">arameters relevant to MSFD indicator 5.2.1: Frequency of reporting to the RSCs by CP and frequency of use by MS for MSFD reporting </w:t>
      </w:r>
    </w:p>
    <w:tbl>
      <w:tblPr>
        <w:tblW w:w="84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0"/>
        <w:gridCol w:w="1780"/>
        <w:gridCol w:w="2000"/>
        <w:gridCol w:w="1940"/>
      </w:tblGrid>
      <w:tr w:rsidR="008323AA" w:rsidRPr="00A86CEE" w:rsidTr="0079438C">
        <w:trPr>
          <w:trHeight w:val="576"/>
        </w:trPr>
        <w:tc>
          <w:tcPr>
            <w:tcW w:w="2720" w:type="dxa"/>
            <w:shd w:val="clear" w:color="auto" w:fill="D9D9D9" w:themeFill="background1" w:themeFillShade="D9"/>
            <w:noWrap/>
            <w:vAlign w:val="bottom"/>
            <w:hideMark/>
          </w:tcPr>
          <w:p w:rsidR="008323AA" w:rsidRPr="00421C58" w:rsidRDefault="008323AA" w:rsidP="0079438C">
            <w:pPr>
              <w:spacing w:line="240" w:lineRule="auto"/>
              <w:rPr>
                <w:color w:val="000000"/>
                <w:sz w:val="18"/>
                <w:szCs w:val="18"/>
                <w:lang w:eastAsia="el-GR"/>
              </w:rPr>
            </w:pPr>
            <w:r w:rsidRPr="00A86CEE">
              <w:rPr>
                <w:color w:val="000000"/>
                <w:sz w:val="18"/>
                <w:szCs w:val="18"/>
                <w:lang w:val="en-US" w:eastAsia="el-GR"/>
              </w:rPr>
              <w:t>I</w:t>
            </w:r>
            <w:r w:rsidRPr="00421C58">
              <w:rPr>
                <w:color w:val="000000"/>
                <w:sz w:val="18"/>
                <w:szCs w:val="18"/>
                <w:lang w:eastAsia="el-GR"/>
              </w:rPr>
              <w:t>ndicator 5.2.1</w:t>
            </w:r>
          </w:p>
        </w:tc>
        <w:tc>
          <w:tcPr>
            <w:tcW w:w="1780" w:type="dxa"/>
            <w:shd w:val="clear" w:color="auto" w:fill="D9D9D9" w:themeFill="background1" w:themeFillShade="D9"/>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Chlorophyl a</w:t>
            </w:r>
          </w:p>
        </w:tc>
        <w:tc>
          <w:tcPr>
            <w:tcW w:w="2000" w:type="dxa"/>
            <w:shd w:val="clear" w:color="auto" w:fill="D9D9D9" w:themeFill="background1" w:themeFillShade="D9"/>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Phytoplankton biomass</w:t>
            </w:r>
          </w:p>
        </w:tc>
        <w:tc>
          <w:tcPr>
            <w:tcW w:w="1940" w:type="dxa"/>
            <w:shd w:val="clear" w:color="auto" w:fill="D9D9D9" w:themeFill="background1" w:themeFillShade="D9"/>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Phytoplankton biovolume</w:t>
            </w:r>
          </w:p>
        </w:tc>
      </w:tr>
      <w:tr w:rsidR="008323AA" w:rsidRPr="00421C58" w:rsidTr="008C44D1">
        <w:trPr>
          <w:trHeight w:val="288"/>
        </w:trPr>
        <w:tc>
          <w:tcPr>
            <w:tcW w:w="2720" w:type="dxa"/>
            <w:shd w:val="clear" w:color="auto" w:fill="D9D9D9" w:themeFill="background1" w:themeFillShade="D9"/>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OSPAR</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r w:rsidR="008323AA" w:rsidRPr="00421C58" w:rsidTr="008C44D1">
        <w:trPr>
          <w:trHeight w:val="288"/>
        </w:trPr>
        <w:tc>
          <w:tcPr>
            <w:tcW w:w="2720" w:type="dxa"/>
            <w:shd w:val="clear" w:color="auto" w:fill="D9D9D9" w:themeFill="background1" w:themeFillShade="D9"/>
            <w:noWrap/>
            <w:vAlign w:val="bottom"/>
            <w:hideMark/>
          </w:tcPr>
          <w:p w:rsidR="00A60C9C" w:rsidRDefault="008323AA">
            <w:pPr>
              <w:spacing w:line="240" w:lineRule="auto"/>
              <w:ind w:left="227"/>
              <w:rPr>
                <w:b/>
                <w:bCs/>
                <w:color w:val="000000"/>
                <w:sz w:val="18"/>
                <w:szCs w:val="18"/>
                <w:lang w:val="en-US" w:eastAsia="el-GR"/>
              </w:rPr>
            </w:pPr>
            <w:r w:rsidRPr="00421C58">
              <w:rPr>
                <w:color w:val="000000"/>
                <w:sz w:val="18"/>
                <w:szCs w:val="18"/>
                <w:lang w:eastAsia="el-GR"/>
              </w:rPr>
              <w:t xml:space="preserve">MSFD art 8,9, 10 </w:t>
            </w:r>
            <w:r w:rsidRPr="00A86CEE">
              <w:rPr>
                <w:color w:val="000000"/>
                <w:sz w:val="18"/>
                <w:szCs w:val="18"/>
                <w:lang w:val="en-US" w:eastAsia="el-GR"/>
              </w:rPr>
              <w:t>*</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000000" w:fill="00B0F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r>
      <w:tr w:rsidR="008323AA" w:rsidRPr="00421C58" w:rsidTr="008C44D1">
        <w:trPr>
          <w:trHeight w:val="288"/>
        </w:trPr>
        <w:tc>
          <w:tcPr>
            <w:tcW w:w="2720" w:type="dxa"/>
            <w:shd w:val="clear" w:color="auto" w:fill="D9D9D9" w:themeFill="background1" w:themeFillShade="D9"/>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HELCOM</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r w:rsidR="00FE78B7" w:rsidRPr="00A86CEE" w:rsidTr="008C44D1">
        <w:trPr>
          <w:trHeight w:val="288"/>
        </w:trPr>
        <w:tc>
          <w:tcPr>
            <w:tcW w:w="2720" w:type="dxa"/>
            <w:shd w:val="clear" w:color="auto" w:fill="D9D9D9" w:themeFill="background1" w:themeFillShade="D9"/>
            <w:noWrap/>
            <w:vAlign w:val="bottom"/>
            <w:hideMark/>
          </w:tcPr>
          <w:p w:rsidR="00A60C9C" w:rsidRDefault="008323AA">
            <w:pPr>
              <w:spacing w:line="240" w:lineRule="auto"/>
              <w:ind w:left="227"/>
              <w:rPr>
                <w:b/>
                <w:bCs/>
                <w:color w:val="000000"/>
                <w:sz w:val="18"/>
                <w:szCs w:val="18"/>
                <w:lang w:val="en-US" w:eastAsia="el-GR"/>
              </w:rPr>
            </w:pPr>
            <w:r w:rsidRPr="00421C58">
              <w:rPr>
                <w:color w:val="000000"/>
                <w:sz w:val="18"/>
                <w:szCs w:val="18"/>
                <w:lang w:eastAsia="el-GR"/>
              </w:rPr>
              <w:t xml:space="preserve">MSFD art 8,9, 10 </w:t>
            </w:r>
            <w:r w:rsidRPr="00A86CEE">
              <w:rPr>
                <w:color w:val="000000"/>
                <w:sz w:val="18"/>
                <w:szCs w:val="18"/>
                <w:lang w:val="en-US" w:eastAsia="el-GR"/>
              </w:rPr>
              <w:t>*</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000000" w:fill="00B0F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1940" w:type="dxa"/>
            <w:shd w:val="clear" w:color="000000" w:fill="00B0F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r>
      <w:tr w:rsidR="008323AA" w:rsidRPr="00421C58" w:rsidTr="003F3700">
        <w:trPr>
          <w:trHeight w:val="288"/>
        </w:trPr>
        <w:tc>
          <w:tcPr>
            <w:tcW w:w="2720" w:type="dxa"/>
            <w:shd w:val="clear" w:color="auto" w:fill="D9D9D9" w:themeFill="background1" w:themeFillShade="D9"/>
            <w:noWrap/>
            <w:vAlign w:val="bottom"/>
            <w:hideMark/>
          </w:tcPr>
          <w:p w:rsidR="008323AA" w:rsidRPr="00421C58" w:rsidRDefault="008C44D1" w:rsidP="0079438C">
            <w:pPr>
              <w:spacing w:line="240" w:lineRule="auto"/>
              <w:rPr>
                <w:color w:val="000000"/>
                <w:sz w:val="18"/>
                <w:szCs w:val="18"/>
                <w:lang w:eastAsia="el-GR"/>
              </w:rPr>
            </w:pPr>
            <w:r>
              <w:rPr>
                <w:color w:val="000000"/>
                <w:sz w:val="18"/>
                <w:szCs w:val="18"/>
                <w:lang w:eastAsia="el-GR"/>
              </w:rPr>
              <w:t>UNEP/MAP</w:t>
            </w:r>
          </w:p>
        </w:tc>
        <w:tc>
          <w:tcPr>
            <w:tcW w:w="1780" w:type="dxa"/>
            <w:shd w:val="clear" w:color="auto" w:fill="00B0F0"/>
            <w:noWrap/>
            <w:vAlign w:val="bottom"/>
            <w:hideMark/>
          </w:tcPr>
          <w:p w:rsidR="008323AA" w:rsidRPr="00421C58" w:rsidRDefault="003F3700" w:rsidP="0079438C">
            <w:pPr>
              <w:spacing w:line="240" w:lineRule="auto"/>
              <w:rPr>
                <w:color w:val="000000"/>
                <w:sz w:val="18"/>
                <w:szCs w:val="18"/>
                <w:lang w:eastAsia="el-GR"/>
              </w:rPr>
            </w:pPr>
            <w:r>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r w:rsidR="008323AA" w:rsidRPr="00421C58" w:rsidTr="008C44D1">
        <w:trPr>
          <w:trHeight w:val="288"/>
        </w:trPr>
        <w:tc>
          <w:tcPr>
            <w:tcW w:w="2720" w:type="dxa"/>
            <w:shd w:val="clear" w:color="auto" w:fill="D9D9D9" w:themeFill="background1" w:themeFillShade="D9"/>
            <w:noWrap/>
            <w:vAlign w:val="bottom"/>
            <w:hideMark/>
          </w:tcPr>
          <w:p w:rsidR="00A60C9C" w:rsidRDefault="008323AA">
            <w:pPr>
              <w:spacing w:line="240" w:lineRule="auto"/>
              <w:ind w:left="227"/>
              <w:rPr>
                <w:b/>
                <w:bCs/>
                <w:color w:val="000000"/>
                <w:sz w:val="18"/>
                <w:szCs w:val="18"/>
                <w:lang w:val="en-US" w:eastAsia="el-GR"/>
              </w:rPr>
            </w:pPr>
            <w:r w:rsidRPr="00421C58">
              <w:rPr>
                <w:color w:val="000000"/>
                <w:sz w:val="18"/>
                <w:szCs w:val="18"/>
                <w:lang w:eastAsia="el-GR"/>
              </w:rPr>
              <w:t xml:space="preserve">MSFD art 8,9, 10 </w:t>
            </w:r>
            <w:r w:rsidRPr="00A86CEE">
              <w:rPr>
                <w:color w:val="000000"/>
                <w:sz w:val="18"/>
                <w:szCs w:val="18"/>
                <w:lang w:val="en-US" w:eastAsia="el-GR"/>
              </w:rPr>
              <w:t>*</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r w:rsidR="008323AA" w:rsidRPr="00421C58" w:rsidTr="008C44D1">
        <w:trPr>
          <w:trHeight w:val="288"/>
        </w:trPr>
        <w:tc>
          <w:tcPr>
            <w:tcW w:w="2720" w:type="dxa"/>
            <w:shd w:val="clear" w:color="auto" w:fill="D9D9D9" w:themeFill="background1" w:themeFillShade="D9"/>
            <w:noWrap/>
            <w:vAlign w:val="bottom"/>
            <w:hideMark/>
          </w:tcPr>
          <w:p w:rsidR="008323AA" w:rsidRPr="00421C58" w:rsidRDefault="008C44D1" w:rsidP="0079438C">
            <w:pPr>
              <w:spacing w:line="240" w:lineRule="auto"/>
              <w:rPr>
                <w:color w:val="000000"/>
                <w:sz w:val="18"/>
                <w:szCs w:val="18"/>
                <w:lang w:eastAsia="el-GR"/>
              </w:rPr>
            </w:pPr>
            <w:r>
              <w:rPr>
                <w:color w:val="000000"/>
                <w:sz w:val="18"/>
                <w:szCs w:val="18"/>
                <w:lang w:eastAsia="el-GR"/>
              </w:rPr>
              <w:t>BSC</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r w:rsidR="008323AA" w:rsidRPr="00421C58" w:rsidTr="008C44D1">
        <w:trPr>
          <w:trHeight w:val="288"/>
        </w:trPr>
        <w:tc>
          <w:tcPr>
            <w:tcW w:w="2720" w:type="dxa"/>
            <w:shd w:val="clear" w:color="auto" w:fill="D9D9D9" w:themeFill="background1" w:themeFillShade="D9"/>
            <w:noWrap/>
            <w:vAlign w:val="bottom"/>
            <w:hideMark/>
          </w:tcPr>
          <w:p w:rsidR="00A60C9C" w:rsidRDefault="008323AA">
            <w:pPr>
              <w:spacing w:line="240" w:lineRule="auto"/>
              <w:ind w:left="227"/>
              <w:rPr>
                <w:b/>
                <w:bCs/>
                <w:color w:val="000000"/>
                <w:sz w:val="18"/>
                <w:szCs w:val="18"/>
                <w:lang w:val="en-US" w:eastAsia="el-GR"/>
              </w:rPr>
            </w:pPr>
            <w:r w:rsidRPr="00421C58">
              <w:rPr>
                <w:color w:val="000000"/>
                <w:sz w:val="18"/>
                <w:szCs w:val="18"/>
                <w:lang w:eastAsia="el-GR"/>
              </w:rPr>
              <w:t xml:space="preserve">MSFD art 8,9, 10 </w:t>
            </w:r>
            <w:r w:rsidRPr="00A86CEE">
              <w:rPr>
                <w:color w:val="000000"/>
                <w:sz w:val="18"/>
                <w:szCs w:val="18"/>
                <w:lang w:val="en-US" w:eastAsia="el-GR"/>
              </w:rPr>
              <w:t>*</w:t>
            </w:r>
          </w:p>
        </w:tc>
        <w:tc>
          <w:tcPr>
            <w:tcW w:w="1780" w:type="dxa"/>
            <w:shd w:val="clear" w:color="000000" w:fill="FF0000"/>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p>
        </w:tc>
        <w:tc>
          <w:tcPr>
            <w:tcW w:w="1940" w:type="dxa"/>
            <w:shd w:val="clear" w:color="auto" w:fill="auto"/>
            <w:noWrap/>
            <w:vAlign w:val="bottom"/>
            <w:hideMark/>
          </w:tcPr>
          <w:p w:rsidR="008323AA" w:rsidRPr="00421C58" w:rsidRDefault="008323AA" w:rsidP="0079438C">
            <w:pPr>
              <w:spacing w:line="240" w:lineRule="auto"/>
              <w:rPr>
                <w:sz w:val="18"/>
                <w:szCs w:val="18"/>
                <w:lang w:eastAsia="el-GR"/>
              </w:rPr>
            </w:pPr>
            <w:r w:rsidRPr="00421C58">
              <w:rPr>
                <w:sz w:val="18"/>
                <w:szCs w:val="18"/>
                <w:lang w:eastAsia="el-GR"/>
              </w:rPr>
              <w:t> </w:t>
            </w:r>
          </w:p>
        </w:tc>
      </w:tr>
      <w:tr w:rsidR="008323AA" w:rsidRPr="00421C58" w:rsidTr="0079438C">
        <w:trPr>
          <w:trHeight w:val="288"/>
        </w:trPr>
        <w:tc>
          <w:tcPr>
            <w:tcW w:w="2720" w:type="dxa"/>
            <w:shd w:val="clear" w:color="auto" w:fill="D9D9D9" w:themeFill="background1" w:themeFillShade="D9"/>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WFD</w:t>
            </w:r>
            <w:r w:rsidR="00740BA3">
              <w:rPr>
                <w:color w:val="000000"/>
                <w:sz w:val="18"/>
                <w:szCs w:val="18"/>
                <w:lang w:eastAsia="el-GR"/>
              </w:rPr>
              <w:t>*</w:t>
            </w:r>
          </w:p>
        </w:tc>
        <w:tc>
          <w:tcPr>
            <w:tcW w:w="178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740BA3" w:rsidP="0079438C">
            <w:pPr>
              <w:spacing w:line="240" w:lineRule="auto"/>
              <w:rPr>
                <w:color w:val="000000"/>
                <w:sz w:val="18"/>
                <w:szCs w:val="18"/>
                <w:lang w:eastAsia="el-GR"/>
              </w:rPr>
            </w:pPr>
            <w:r>
              <w:rPr>
                <w:color w:val="000000"/>
                <w:sz w:val="18"/>
                <w:szCs w:val="18"/>
                <w:lang w:eastAsia="el-GR"/>
              </w:rPr>
              <w:t>x</w:t>
            </w: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r w:rsidR="008323AA" w:rsidRPr="00421C58" w:rsidTr="0079438C">
        <w:trPr>
          <w:trHeight w:val="300"/>
        </w:trPr>
        <w:tc>
          <w:tcPr>
            <w:tcW w:w="2720" w:type="dxa"/>
            <w:shd w:val="clear" w:color="auto" w:fill="D9D9D9" w:themeFill="background1" w:themeFillShade="D9"/>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EEA</w:t>
            </w:r>
          </w:p>
        </w:tc>
        <w:tc>
          <w:tcPr>
            <w:tcW w:w="178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x</w:t>
            </w:r>
          </w:p>
        </w:tc>
        <w:tc>
          <w:tcPr>
            <w:tcW w:w="200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c>
          <w:tcPr>
            <w:tcW w:w="1940" w:type="dxa"/>
            <w:shd w:val="clear" w:color="auto" w:fill="auto"/>
            <w:noWrap/>
            <w:vAlign w:val="bottom"/>
            <w:hideMark/>
          </w:tcPr>
          <w:p w:rsidR="008323AA" w:rsidRPr="00421C58" w:rsidRDefault="008323AA" w:rsidP="0079438C">
            <w:pPr>
              <w:spacing w:line="240" w:lineRule="auto"/>
              <w:rPr>
                <w:color w:val="000000"/>
                <w:sz w:val="18"/>
                <w:szCs w:val="18"/>
                <w:lang w:eastAsia="el-GR"/>
              </w:rPr>
            </w:pPr>
            <w:r w:rsidRPr="00421C58">
              <w:rPr>
                <w:color w:val="000000"/>
                <w:sz w:val="18"/>
                <w:szCs w:val="18"/>
                <w:lang w:eastAsia="el-GR"/>
              </w:rPr>
              <w:t> </w:t>
            </w:r>
          </w:p>
        </w:tc>
      </w:tr>
    </w:tbl>
    <w:p w:rsidR="008323AA" w:rsidRPr="00B4323C" w:rsidRDefault="00B4323C" w:rsidP="00987279">
      <w:pPr>
        <w:pStyle w:val="ListParagraph"/>
        <w:spacing w:line="240" w:lineRule="auto"/>
        <w:ind w:left="0"/>
        <w:rPr>
          <w:sz w:val="16"/>
          <w:szCs w:val="16"/>
          <w:lang w:val="en-US"/>
        </w:rPr>
      </w:pPr>
      <w:r w:rsidRPr="00B4323C">
        <w:rPr>
          <w:sz w:val="16"/>
          <w:szCs w:val="16"/>
          <w:lang w:val="en-US"/>
        </w:rPr>
        <w:t>* Palialexis et</w:t>
      </w:r>
      <w:r>
        <w:rPr>
          <w:sz w:val="16"/>
          <w:szCs w:val="16"/>
          <w:lang w:val="en-US"/>
        </w:rPr>
        <w:t xml:space="preserve"> al. </w:t>
      </w:r>
      <w:r w:rsidRPr="00B4323C">
        <w:rPr>
          <w:sz w:val="16"/>
          <w:szCs w:val="16"/>
          <w:lang w:val="en-US"/>
        </w:rPr>
        <w:t>2014</w:t>
      </w:r>
    </w:p>
    <w:tbl>
      <w:tblPr>
        <w:tblStyle w:val="TableGrid"/>
        <w:tblW w:w="0" w:type="auto"/>
        <w:tblLook w:val="04A0"/>
      </w:tblPr>
      <w:tblGrid>
        <w:gridCol w:w="1018"/>
        <w:gridCol w:w="937"/>
        <w:gridCol w:w="837"/>
        <w:gridCol w:w="837"/>
        <w:gridCol w:w="837"/>
        <w:gridCol w:w="737"/>
      </w:tblGrid>
      <w:tr w:rsidR="00B4323C" w:rsidRPr="00A86CEE" w:rsidTr="0079438C">
        <w:tc>
          <w:tcPr>
            <w:tcW w:w="0" w:type="auto"/>
            <w:vAlign w:val="bottom"/>
          </w:tcPr>
          <w:p w:rsidR="00B4323C" w:rsidRPr="00A86CEE" w:rsidRDefault="00B4323C" w:rsidP="0079438C">
            <w:pPr>
              <w:tabs>
                <w:tab w:val="left" w:pos="3537"/>
              </w:tabs>
              <w:ind w:left="-49"/>
              <w:rPr>
                <w:rFonts w:cs="Times New Roman"/>
                <w:color w:val="000000"/>
                <w:sz w:val="18"/>
                <w:szCs w:val="18"/>
                <w:lang w:eastAsia="el-GR"/>
              </w:rPr>
            </w:pPr>
            <w:r w:rsidRPr="00A86CEE">
              <w:rPr>
                <w:rFonts w:cs="Times New Roman"/>
                <w:color w:val="000000"/>
                <w:sz w:val="18"/>
                <w:szCs w:val="18"/>
                <w:lang w:eastAsia="el-GR"/>
              </w:rPr>
              <w:t>Frequency</w:t>
            </w:r>
          </w:p>
        </w:tc>
        <w:tc>
          <w:tcPr>
            <w:tcW w:w="0" w:type="auto"/>
            <w:shd w:val="clear" w:color="auto" w:fill="FF0000"/>
            <w:vAlign w:val="bottom"/>
          </w:tcPr>
          <w:p w:rsidR="00B4323C" w:rsidRPr="00A86CEE" w:rsidRDefault="00B4323C" w:rsidP="0079438C">
            <w:pPr>
              <w:jc w:val="center"/>
              <w:rPr>
                <w:rFonts w:cs="Times New Roman"/>
                <w:color w:val="FF0000"/>
                <w:sz w:val="18"/>
                <w:szCs w:val="18"/>
                <w:lang w:eastAsia="el-GR"/>
              </w:rPr>
            </w:pPr>
            <w:r w:rsidRPr="00A86CEE">
              <w:rPr>
                <w:rFonts w:cs="Times New Roman"/>
                <w:color w:val="000000"/>
                <w:sz w:val="18"/>
                <w:szCs w:val="18"/>
                <w:lang w:eastAsia="el-GR"/>
              </w:rPr>
              <w:t>100-81%</w:t>
            </w:r>
          </w:p>
        </w:tc>
        <w:tc>
          <w:tcPr>
            <w:tcW w:w="0" w:type="auto"/>
            <w:shd w:val="clear" w:color="auto" w:fill="FFC000"/>
            <w:vAlign w:val="bottom"/>
          </w:tcPr>
          <w:p w:rsidR="00B4323C" w:rsidRPr="00A86CEE" w:rsidRDefault="00B4323C" w:rsidP="0079438C">
            <w:pPr>
              <w:jc w:val="center"/>
              <w:rPr>
                <w:rFonts w:cs="Times New Roman"/>
                <w:color w:val="000000"/>
                <w:sz w:val="18"/>
                <w:szCs w:val="18"/>
                <w:lang w:eastAsia="el-GR"/>
              </w:rPr>
            </w:pPr>
            <w:r w:rsidRPr="00A86CEE">
              <w:rPr>
                <w:rFonts w:cs="Times New Roman"/>
                <w:color w:val="000000"/>
                <w:sz w:val="18"/>
                <w:szCs w:val="18"/>
                <w:lang w:eastAsia="el-GR"/>
              </w:rPr>
              <w:t>80-61%</w:t>
            </w:r>
          </w:p>
        </w:tc>
        <w:tc>
          <w:tcPr>
            <w:tcW w:w="0" w:type="auto"/>
            <w:shd w:val="clear" w:color="auto" w:fill="FFFF00"/>
            <w:vAlign w:val="bottom"/>
          </w:tcPr>
          <w:p w:rsidR="00B4323C" w:rsidRPr="00A86CEE" w:rsidRDefault="00B4323C" w:rsidP="0079438C">
            <w:pPr>
              <w:jc w:val="center"/>
              <w:rPr>
                <w:rFonts w:cs="Times New Roman"/>
                <w:color w:val="000000"/>
                <w:sz w:val="18"/>
                <w:szCs w:val="18"/>
                <w:lang w:eastAsia="el-GR"/>
              </w:rPr>
            </w:pPr>
            <w:r w:rsidRPr="00A86CEE">
              <w:rPr>
                <w:rFonts w:cs="Times New Roman"/>
                <w:color w:val="000000"/>
                <w:sz w:val="18"/>
                <w:szCs w:val="18"/>
                <w:lang w:eastAsia="el-GR"/>
              </w:rPr>
              <w:t>60-41%</w:t>
            </w:r>
          </w:p>
        </w:tc>
        <w:tc>
          <w:tcPr>
            <w:tcW w:w="0" w:type="auto"/>
            <w:shd w:val="clear" w:color="auto" w:fill="92D050"/>
            <w:vAlign w:val="bottom"/>
          </w:tcPr>
          <w:p w:rsidR="00B4323C" w:rsidRPr="00A86CEE" w:rsidRDefault="00B4323C" w:rsidP="0079438C">
            <w:pPr>
              <w:jc w:val="center"/>
              <w:rPr>
                <w:rFonts w:cs="Times New Roman"/>
                <w:color w:val="000000"/>
                <w:sz w:val="18"/>
                <w:szCs w:val="18"/>
                <w:lang w:eastAsia="el-GR"/>
              </w:rPr>
            </w:pPr>
            <w:r w:rsidRPr="00A86CEE">
              <w:rPr>
                <w:rFonts w:cs="Times New Roman"/>
                <w:color w:val="000000"/>
                <w:sz w:val="18"/>
                <w:szCs w:val="18"/>
                <w:lang w:eastAsia="el-GR"/>
              </w:rPr>
              <w:t>40-21%</w:t>
            </w:r>
          </w:p>
        </w:tc>
        <w:tc>
          <w:tcPr>
            <w:tcW w:w="0" w:type="auto"/>
            <w:shd w:val="clear" w:color="auto" w:fill="00B0F0"/>
            <w:vAlign w:val="bottom"/>
          </w:tcPr>
          <w:p w:rsidR="00B4323C" w:rsidRPr="00A86CEE" w:rsidRDefault="00B4323C" w:rsidP="0079438C">
            <w:pPr>
              <w:jc w:val="center"/>
              <w:rPr>
                <w:rFonts w:cs="Times New Roman"/>
                <w:color w:val="000000"/>
                <w:sz w:val="18"/>
                <w:szCs w:val="18"/>
                <w:lang w:eastAsia="el-GR"/>
              </w:rPr>
            </w:pPr>
            <w:r w:rsidRPr="00A86CEE">
              <w:rPr>
                <w:rFonts w:cs="Times New Roman"/>
                <w:color w:val="000000"/>
                <w:sz w:val="18"/>
                <w:szCs w:val="18"/>
                <w:lang w:eastAsia="el-GR"/>
              </w:rPr>
              <w:t>20-0%</w:t>
            </w:r>
          </w:p>
        </w:tc>
      </w:tr>
      <w:tr w:rsidR="00FE78B7" w:rsidRPr="00A86CEE" w:rsidTr="0079438C">
        <w:tc>
          <w:tcPr>
            <w:tcW w:w="0" w:type="auto"/>
            <w:vAlign w:val="bottom"/>
          </w:tcPr>
          <w:p w:rsidR="00FE78B7" w:rsidRPr="00A86CEE" w:rsidRDefault="00FE78B7" w:rsidP="0079438C">
            <w:pPr>
              <w:tabs>
                <w:tab w:val="left" w:pos="3537"/>
              </w:tabs>
              <w:ind w:left="-49"/>
              <w:rPr>
                <w:rFonts w:cs="Times New Roman"/>
                <w:color w:val="000000"/>
                <w:sz w:val="18"/>
                <w:szCs w:val="18"/>
                <w:lang w:eastAsia="el-GR"/>
              </w:rPr>
            </w:pPr>
          </w:p>
        </w:tc>
        <w:tc>
          <w:tcPr>
            <w:tcW w:w="0" w:type="auto"/>
            <w:shd w:val="clear" w:color="auto" w:fill="FF0000"/>
            <w:vAlign w:val="bottom"/>
          </w:tcPr>
          <w:p w:rsidR="00FE78B7" w:rsidRPr="00A86CEE" w:rsidRDefault="00FE78B7" w:rsidP="0079438C">
            <w:pPr>
              <w:jc w:val="center"/>
              <w:rPr>
                <w:rFonts w:cs="Times New Roman"/>
                <w:color w:val="000000"/>
                <w:sz w:val="18"/>
                <w:szCs w:val="18"/>
                <w:lang w:eastAsia="el-GR"/>
              </w:rPr>
            </w:pPr>
          </w:p>
        </w:tc>
        <w:tc>
          <w:tcPr>
            <w:tcW w:w="0" w:type="auto"/>
            <w:shd w:val="clear" w:color="auto" w:fill="FFC000"/>
            <w:vAlign w:val="bottom"/>
          </w:tcPr>
          <w:p w:rsidR="00FE78B7" w:rsidRPr="00A86CEE" w:rsidRDefault="00FE78B7" w:rsidP="0079438C">
            <w:pPr>
              <w:jc w:val="center"/>
              <w:rPr>
                <w:rFonts w:cs="Times New Roman"/>
                <w:color w:val="000000"/>
                <w:sz w:val="18"/>
                <w:szCs w:val="18"/>
                <w:lang w:eastAsia="el-GR"/>
              </w:rPr>
            </w:pPr>
          </w:p>
        </w:tc>
        <w:tc>
          <w:tcPr>
            <w:tcW w:w="0" w:type="auto"/>
            <w:shd w:val="clear" w:color="auto" w:fill="FFFF00"/>
            <w:vAlign w:val="bottom"/>
          </w:tcPr>
          <w:p w:rsidR="00FE78B7" w:rsidRPr="00A86CEE" w:rsidRDefault="00FE78B7" w:rsidP="0079438C">
            <w:pPr>
              <w:jc w:val="center"/>
              <w:rPr>
                <w:rFonts w:cs="Times New Roman"/>
                <w:color w:val="000000"/>
                <w:sz w:val="18"/>
                <w:szCs w:val="18"/>
                <w:lang w:eastAsia="el-GR"/>
              </w:rPr>
            </w:pPr>
          </w:p>
        </w:tc>
        <w:tc>
          <w:tcPr>
            <w:tcW w:w="0" w:type="auto"/>
            <w:shd w:val="clear" w:color="auto" w:fill="92D050"/>
            <w:vAlign w:val="bottom"/>
          </w:tcPr>
          <w:p w:rsidR="00FE78B7" w:rsidRPr="00A86CEE" w:rsidRDefault="00FE78B7" w:rsidP="0079438C">
            <w:pPr>
              <w:jc w:val="center"/>
              <w:rPr>
                <w:rFonts w:cs="Times New Roman"/>
                <w:color w:val="000000"/>
                <w:sz w:val="18"/>
                <w:szCs w:val="18"/>
                <w:lang w:eastAsia="el-GR"/>
              </w:rPr>
            </w:pPr>
          </w:p>
        </w:tc>
        <w:tc>
          <w:tcPr>
            <w:tcW w:w="0" w:type="auto"/>
            <w:shd w:val="clear" w:color="auto" w:fill="00B0F0"/>
            <w:vAlign w:val="bottom"/>
          </w:tcPr>
          <w:p w:rsidR="00FE78B7" w:rsidRPr="00A86CEE" w:rsidRDefault="00FE78B7" w:rsidP="0079438C">
            <w:pPr>
              <w:jc w:val="center"/>
              <w:rPr>
                <w:rFonts w:cs="Times New Roman"/>
                <w:color w:val="000000"/>
                <w:sz w:val="18"/>
                <w:szCs w:val="18"/>
                <w:lang w:eastAsia="el-GR"/>
              </w:rPr>
            </w:pPr>
          </w:p>
        </w:tc>
      </w:tr>
    </w:tbl>
    <w:p w:rsidR="00A86CEE" w:rsidRDefault="00A86CEE" w:rsidP="00987279">
      <w:pPr>
        <w:spacing w:line="240" w:lineRule="auto"/>
        <w:rPr>
          <w:szCs w:val="21"/>
          <w:lang w:val="en-US"/>
        </w:rPr>
      </w:pPr>
    </w:p>
    <w:p w:rsidR="00A86CEE" w:rsidRDefault="00A86CEE" w:rsidP="00FE78B7">
      <w:pPr>
        <w:pStyle w:val="Caption"/>
      </w:pPr>
    </w:p>
    <w:p w:rsidR="00FE78B7" w:rsidRPr="00F2534A" w:rsidRDefault="00FE78B7" w:rsidP="00FE78B7">
      <w:pPr>
        <w:pStyle w:val="Caption"/>
        <w:rPr>
          <w:lang w:val="en-US"/>
        </w:rPr>
      </w:pPr>
      <w:r>
        <w:t xml:space="preserve">Table </w:t>
      </w:r>
      <w:r w:rsidR="008135ED">
        <w:fldChar w:fldCharType="begin"/>
      </w:r>
      <w:r w:rsidR="00F15E0D">
        <w:instrText xml:space="preserve"> STYLEREF 1 \s </w:instrText>
      </w:r>
      <w:r w:rsidR="008135ED">
        <w:fldChar w:fldCharType="separate"/>
      </w:r>
      <w:r>
        <w:rPr>
          <w:noProof/>
        </w:rPr>
        <w:t>2</w:t>
      </w:r>
      <w:r w:rsidR="008135ED">
        <w:rPr>
          <w:noProof/>
        </w:rPr>
        <w:fldChar w:fldCharType="end"/>
      </w:r>
      <w:r>
        <w:t>.6</w:t>
      </w:r>
      <w:r>
        <w:tab/>
        <w:t>P</w:t>
      </w:r>
      <w:r>
        <w:rPr>
          <w:lang w:val="en-US"/>
        </w:rPr>
        <w:t xml:space="preserve">arameters relevant to MSFD indicator </w:t>
      </w:r>
      <w:r w:rsidR="00A86CEE">
        <w:rPr>
          <w:lang w:val="en-US"/>
        </w:rPr>
        <w:t>5.2.2</w:t>
      </w:r>
      <w:r>
        <w:rPr>
          <w:lang w:val="en-US"/>
        </w:rPr>
        <w:t xml:space="preserve">: Frequency of reporting to the RSCs by CP and frequency of use by MS for MSFD reporting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7"/>
        <w:gridCol w:w="1805"/>
        <w:gridCol w:w="2318"/>
      </w:tblGrid>
      <w:tr w:rsidR="00A86CEE" w:rsidRPr="00655104" w:rsidTr="0079438C">
        <w:trPr>
          <w:trHeight w:val="581"/>
        </w:trPr>
        <w:tc>
          <w:tcPr>
            <w:tcW w:w="2407"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A86CEE">
              <w:rPr>
                <w:color w:val="000000"/>
                <w:sz w:val="18"/>
                <w:szCs w:val="18"/>
                <w:lang w:val="en-US"/>
              </w:rPr>
              <w:t>I</w:t>
            </w:r>
            <w:r w:rsidRPr="00655104">
              <w:rPr>
                <w:color w:val="000000"/>
                <w:sz w:val="18"/>
                <w:szCs w:val="18"/>
              </w:rPr>
              <w:t>ndicator 5.2.2</w:t>
            </w:r>
          </w:p>
        </w:tc>
        <w:tc>
          <w:tcPr>
            <w:tcW w:w="1805"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Water Transparency</w:t>
            </w:r>
          </w:p>
        </w:tc>
        <w:tc>
          <w:tcPr>
            <w:tcW w:w="2318"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Total suspended solids</w:t>
            </w:r>
          </w:p>
        </w:tc>
      </w:tr>
      <w:tr w:rsidR="00A86CEE" w:rsidRPr="00655104" w:rsidTr="008C44D1">
        <w:trPr>
          <w:trHeight w:val="290"/>
        </w:trPr>
        <w:tc>
          <w:tcPr>
            <w:tcW w:w="2407"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OSPAR</w:t>
            </w:r>
          </w:p>
        </w:tc>
        <w:tc>
          <w:tcPr>
            <w:tcW w:w="1805" w:type="dxa"/>
          </w:tcPr>
          <w:p w:rsidR="00A86CEE" w:rsidRPr="00655104" w:rsidRDefault="00A86CEE" w:rsidP="0079438C">
            <w:pPr>
              <w:autoSpaceDE w:val="0"/>
              <w:autoSpaceDN w:val="0"/>
              <w:adjustRightInd w:val="0"/>
              <w:spacing w:line="240" w:lineRule="auto"/>
              <w:jc w:val="right"/>
              <w:rPr>
                <w:color w:val="000000"/>
                <w:sz w:val="18"/>
                <w:szCs w:val="18"/>
              </w:rPr>
            </w:pP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FF3C93">
        <w:trPr>
          <w:trHeight w:val="290"/>
        </w:trPr>
        <w:tc>
          <w:tcPr>
            <w:tcW w:w="2407" w:type="dxa"/>
            <w:shd w:val="clear" w:color="auto" w:fill="D9D9D9" w:themeFill="background1" w:themeFillShade="D9"/>
          </w:tcPr>
          <w:p w:rsidR="00A60C9C" w:rsidRDefault="00A86CEE">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86CEE">
              <w:rPr>
                <w:color w:val="000000"/>
                <w:sz w:val="18"/>
                <w:szCs w:val="18"/>
                <w:lang w:val="en-US"/>
              </w:rPr>
              <w:t>*</w:t>
            </w:r>
          </w:p>
        </w:tc>
        <w:tc>
          <w:tcPr>
            <w:tcW w:w="1805" w:type="dxa"/>
            <w:shd w:val="clear" w:color="auto" w:fill="92D050"/>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c>
          <w:tcPr>
            <w:tcW w:w="2318" w:type="dxa"/>
            <w:shd w:val="solid" w:color="00CCFF" w:fill="auto"/>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r>
      <w:tr w:rsidR="00A86CEE" w:rsidRPr="00655104" w:rsidTr="008C44D1">
        <w:trPr>
          <w:trHeight w:val="290"/>
        </w:trPr>
        <w:tc>
          <w:tcPr>
            <w:tcW w:w="2407"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HELCOM</w:t>
            </w:r>
          </w:p>
        </w:tc>
        <w:tc>
          <w:tcPr>
            <w:tcW w:w="1805" w:type="dxa"/>
            <w:shd w:val="solid" w:color="FF6600" w:fill="auto"/>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8C44D1">
        <w:trPr>
          <w:trHeight w:val="290"/>
        </w:trPr>
        <w:tc>
          <w:tcPr>
            <w:tcW w:w="2407" w:type="dxa"/>
            <w:shd w:val="clear" w:color="auto" w:fill="D9D9D9" w:themeFill="background1" w:themeFillShade="D9"/>
          </w:tcPr>
          <w:p w:rsidR="00A60C9C" w:rsidRDefault="00A86CEE">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86CEE">
              <w:rPr>
                <w:color w:val="000000"/>
                <w:sz w:val="18"/>
                <w:szCs w:val="18"/>
                <w:lang w:val="en-US"/>
              </w:rPr>
              <w:t>*</w:t>
            </w:r>
          </w:p>
        </w:tc>
        <w:tc>
          <w:tcPr>
            <w:tcW w:w="1805" w:type="dxa"/>
            <w:shd w:val="solid" w:color="FF0000" w:fill="auto"/>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8C44D1">
        <w:trPr>
          <w:trHeight w:val="290"/>
        </w:trPr>
        <w:tc>
          <w:tcPr>
            <w:tcW w:w="2407" w:type="dxa"/>
            <w:shd w:val="clear" w:color="auto" w:fill="D9D9D9" w:themeFill="background1" w:themeFillShade="D9"/>
          </w:tcPr>
          <w:p w:rsidR="00A86CEE" w:rsidRPr="00655104" w:rsidRDefault="008C44D1" w:rsidP="0079438C">
            <w:pPr>
              <w:autoSpaceDE w:val="0"/>
              <w:autoSpaceDN w:val="0"/>
              <w:adjustRightInd w:val="0"/>
              <w:spacing w:line="240" w:lineRule="auto"/>
              <w:rPr>
                <w:color w:val="000000"/>
                <w:sz w:val="18"/>
                <w:szCs w:val="18"/>
              </w:rPr>
            </w:pPr>
            <w:r>
              <w:rPr>
                <w:color w:val="000000"/>
                <w:sz w:val="18"/>
                <w:szCs w:val="18"/>
              </w:rPr>
              <w:t>UNEP/MAP</w:t>
            </w:r>
          </w:p>
        </w:tc>
        <w:tc>
          <w:tcPr>
            <w:tcW w:w="1805" w:type="dxa"/>
          </w:tcPr>
          <w:p w:rsidR="00A86CEE" w:rsidRPr="00655104" w:rsidRDefault="00A86CEE" w:rsidP="0079438C">
            <w:pPr>
              <w:autoSpaceDE w:val="0"/>
              <w:autoSpaceDN w:val="0"/>
              <w:adjustRightInd w:val="0"/>
              <w:spacing w:line="240" w:lineRule="auto"/>
              <w:jc w:val="right"/>
              <w:rPr>
                <w:color w:val="000000"/>
                <w:sz w:val="18"/>
                <w:szCs w:val="18"/>
              </w:rPr>
            </w:pP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FF3C93">
        <w:trPr>
          <w:trHeight w:val="290"/>
        </w:trPr>
        <w:tc>
          <w:tcPr>
            <w:tcW w:w="2407" w:type="dxa"/>
            <w:shd w:val="clear" w:color="auto" w:fill="D9D9D9" w:themeFill="background1" w:themeFillShade="D9"/>
          </w:tcPr>
          <w:p w:rsidR="00A60C9C" w:rsidRDefault="00A86CEE">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86CEE">
              <w:rPr>
                <w:color w:val="000000"/>
                <w:sz w:val="18"/>
                <w:szCs w:val="18"/>
                <w:lang w:val="en-US"/>
              </w:rPr>
              <w:t>*</w:t>
            </w:r>
          </w:p>
        </w:tc>
        <w:tc>
          <w:tcPr>
            <w:tcW w:w="1805" w:type="dxa"/>
            <w:shd w:val="solid" w:color="FF6600" w:fill="auto"/>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c>
          <w:tcPr>
            <w:tcW w:w="2318" w:type="dxa"/>
            <w:shd w:val="clear" w:color="auto" w:fill="92D050"/>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r>
      <w:tr w:rsidR="00A86CEE" w:rsidRPr="00655104" w:rsidTr="008C44D1">
        <w:trPr>
          <w:trHeight w:val="290"/>
        </w:trPr>
        <w:tc>
          <w:tcPr>
            <w:tcW w:w="2407" w:type="dxa"/>
            <w:shd w:val="clear" w:color="auto" w:fill="D9D9D9" w:themeFill="background1" w:themeFillShade="D9"/>
          </w:tcPr>
          <w:p w:rsidR="00A86CEE" w:rsidRPr="00655104" w:rsidRDefault="008C44D1" w:rsidP="0079438C">
            <w:pPr>
              <w:autoSpaceDE w:val="0"/>
              <w:autoSpaceDN w:val="0"/>
              <w:adjustRightInd w:val="0"/>
              <w:spacing w:line="240" w:lineRule="auto"/>
              <w:rPr>
                <w:color w:val="000000"/>
                <w:sz w:val="18"/>
                <w:szCs w:val="18"/>
              </w:rPr>
            </w:pPr>
            <w:r>
              <w:rPr>
                <w:color w:val="000000"/>
                <w:sz w:val="18"/>
                <w:szCs w:val="18"/>
              </w:rPr>
              <w:t>BSC</w:t>
            </w:r>
          </w:p>
        </w:tc>
        <w:tc>
          <w:tcPr>
            <w:tcW w:w="1805" w:type="dxa"/>
            <w:shd w:val="solid" w:color="FF0000" w:fill="auto"/>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8C44D1">
        <w:trPr>
          <w:trHeight w:val="290"/>
        </w:trPr>
        <w:tc>
          <w:tcPr>
            <w:tcW w:w="2407" w:type="dxa"/>
            <w:shd w:val="clear" w:color="auto" w:fill="D9D9D9" w:themeFill="background1" w:themeFillShade="D9"/>
          </w:tcPr>
          <w:p w:rsidR="00A60C9C" w:rsidRDefault="00A86CEE">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86CEE">
              <w:rPr>
                <w:color w:val="000000"/>
                <w:sz w:val="18"/>
                <w:szCs w:val="18"/>
                <w:lang w:val="en-US"/>
              </w:rPr>
              <w:t>*</w:t>
            </w:r>
          </w:p>
        </w:tc>
        <w:tc>
          <w:tcPr>
            <w:tcW w:w="1805" w:type="dxa"/>
            <w:shd w:val="solid" w:color="FF0000" w:fill="auto"/>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x</w:t>
            </w: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79438C">
        <w:trPr>
          <w:trHeight w:val="290"/>
        </w:trPr>
        <w:tc>
          <w:tcPr>
            <w:tcW w:w="2407"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WFD</w:t>
            </w:r>
          </w:p>
        </w:tc>
        <w:tc>
          <w:tcPr>
            <w:tcW w:w="1805" w:type="dxa"/>
          </w:tcPr>
          <w:p w:rsidR="00A86CEE" w:rsidRPr="00655104" w:rsidRDefault="00740BA3" w:rsidP="00740BA3">
            <w:pPr>
              <w:autoSpaceDE w:val="0"/>
              <w:autoSpaceDN w:val="0"/>
              <w:adjustRightInd w:val="0"/>
              <w:spacing w:line="240" w:lineRule="auto"/>
              <w:jc w:val="left"/>
              <w:rPr>
                <w:color w:val="000000"/>
                <w:sz w:val="18"/>
                <w:szCs w:val="18"/>
              </w:rPr>
            </w:pPr>
            <w:r>
              <w:rPr>
                <w:color w:val="000000"/>
                <w:sz w:val="18"/>
                <w:szCs w:val="18"/>
              </w:rPr>
              <w:t>x</w:t>
            </w: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r w:rsidR="00A86CEE" w:rsidRPr="00655104" w:rsidTr="0079438C">
        <w:trPr>
          <w:trHeight w:val="302"/>
        </w:trPr>
        <w:tc>
          <w:tcPr>
            <w:tcW w:w="2407" w:type="dxa"/>
            <w:shd w:val="clear" w:color="auto" w:fill="D9D9D9" w:themeFill="background1" w:themeFillShade="D9"/>
          </w:tcPr>
          <w:p w:rsidR="00A86CEE" w:rsidRPr="00655104" w:rsidRDefault="00A86CEE" w:rsidP="0079438C">
            <w:pPr>
              <w:autoSpaceDE w:val="0"/>
              <w:autoSpaceDN w:val="0"/>
              <w:adjustRightInd w:val="0"/>
              <w:spacing w:line="240" w:lineRule="auto"/>
              <w:rPr>
                <w:color w:val="000000"/>
                <w:sz w:val="18"/>
                <w:szCs w:val="18"/>
              </w:rPr>
            </w:pPr>
            <w:r w:rsidRPr="00655104">
              <w:rPr>
                <w:color w:val="000000"/>
                <w:sz w:val="18"/>
                <w:szCs w:val="18"/>
              </w:rPr>
              <w:t>EEA</w:t>
            </w:r>
          </w:p>
        </w:tc>
        <w:tc>
          <w:tcPr>
            <w:tcW w:w="1805" w:type="dxa"/>
          </w:tcPr>
          <w:p w:rsidR="00A86CEE" w:rsidRPr="00655104" w:rsidRDefault="00A86CEE" w:rsidP="0079438C">
            <w:pPr>
              <w:autoSpaceDE w:val="0"/>
              <w:autoSpaceDN w:val="0"/>
              <w:adjustRightInd w:val="0"/>
              <w:spacing w:line="240" w:lineRule="auto"/>
              <w:jc w:val="right"/>
              <w:rPr>
                <w:color w:val="000000"/>
                <w:sz w:val="18"/>
                <w:szCs w:val="18"/>
              </w:rPr>
            </w:pPr>
          </w:p>
        </w:tc>
        <w:tc>
          <w:tcPr>
            <w:tcW w:w="2318" w:type="dxa"/>
          </w:tcPr>
          <w:p w:rsidR="00A86CEE" w:rsidRPr="00655104" w:rsidRDefault="00A86CEE" w:rsidP="0079438C">
            <w:pPr>
              <w:autoSpaceDE w:val="0"/>
              <w:autoSpaceDN w:val="0"/>
              <w:adjustRightInd w:val="0"/>
              <w:spacing w:line="240" w:lineRule="auto"/>
              <w:jc w:val="right"/>
              <w:rPr>
                <w:color w:val="000000"/>
                <w:sz w:val="18"/>
                <w:szCs w:val="18"/>
              </w:rPr>
            </w:pPr>
          </w:p>
        </w:tc>
      </w:tr>
    </w:tbl>
    <w:p w:rsidR="00A86CEE" w:rsidRPr="00B4323C" w:rsidRDefault="00A86CEE" w:rsidP="00A86CEE">
      <w:pPr>
        <w:pStyle w:val="ListParagraph"/>
        <w:spacing w:line="240" w:lineRule="auto"/>
        <w:ind w:left="0"/>
        <w:rPr>
          <w:sz w:val="16"/>
          <w:szCs w:val="16"/>
          <w:lang w:val="en-US"/>
        </w:rPr>
      </w:pPr>
      <w:r w:rsidRPr="00B4323C">
        <w:rPr>
          <w:sz w:val="16"/>
          <w:szCs w:val="16"/>
          <w:lang w:val="en-US"/>
        </w:rPr>
        <w:t>* Palialexis et</w:t>
      </w:r>
      <w:r>
        <w:rPr>
          <w:sz w:val="16"/>
          <w:szCs w:val="16"/>
          <w:lang w:val="en-US"/>
        </w:rPr>
        <w:t xml:space="preserve"> al. </w:t>
      </w:r>
      <w:r w:rsidRPr="00B4323C">
        <w:rPr>
          <w:sz w:val="16"/>
          <w:szCs w:val="16"/>
          <w:lang w:val="en-US"/>
        </w:rPr>
        <w:t>2014</w:t>
      </w:r>
    </w:p>
    <w:tbl>
      <w:tblPr>
        <w:tblStyle w:val="TableGrid"/>
        <w:tblW w:w="0" w:type="auto"/>
        <w:tblLook w:val="04A0"/>
      </w:tblPr>
      <w:tblGrid>
        <w:gridCol w:w="1018"/>
        <w:gridCol w:w="937"/>
        <w:gridCol w:w="837"/>
        <w:gridCol w:w="837"/>
        <w:gridCol w:w="837"/>
        <w:gridCol w:w="737"/>
      </w:tblGrid>
      <w:tr w:rsidR="00A86CEE" w:rsidRPr="00B4323C" w:rsidTr="0079438C">
        <w:tc>
          <w:tcPr>
            <w:tcW w:w="0" w:type="auto"/>
            <w:vAlign w:val="bottom"/>
          </w:tcPr>
          <w:p w:rsidR="00A86CEE" w:rsidRPr="00B4323C" w:rsidRDefault="00A86CEE" w:rsidP="0079438C">
            <w:pPr>
              <w:tabs>
                <w:tab w:val="left" w:pos="3537"/>
              </w:tabs>
              <w:ind w:left="-49"/>
              <w:rPr>
                <w:rFonts w:cs="Times New Roman"/>
                <w:color w:val="000000"/>
                <w:sz w:val="18"/>
                <w:szCs w:val="18"/>
                <w:lang w:eastAsia="el-GR"/>
              </w:rPr>
            </w:pPr>
            <w:r w:rsidRPr="00B4323C">
              <w:rPr>
                <w:rFonts w:cs="Times New Roman"/>
                <w:color w:val="000000"/>
                <w:sz w:val="18"/>
                <w:szCs w:val="18"/>
                <w:lang w:eastAsia="el-GR"/>
              </w:rPr>
              <w:t>Frequency</w:t>
            </w:r>
          </w:p>
        </w:tc>
        <w:tc>
          <w:tcPr>
            <w:tcW w:w="0" w:type="auto"/>
            <w:shd w:val="clear" w:color="auto" w:fill="FF0000"/>
            <w:vAlign w:val="bottom"/>
          </w:tcPr>
          <w:p w:rsidR="00A86CEE" w:rsidRPr="00B4323C" w:rsidRDefault="00A86CEE" w:rsidP="0079438C">
            <w:pPr>
              <w:jc w:val="center"/>
              <w:rPr>
                <w:rFonts w:cs="Times New Roman"/>
                <w:color w:val="FF0000"/>
                <w:sz w:val="18"/>
                <w:szCs w:val="18"/>
                <w:lang w:eastAsia="el-GR"/>
              </w:rPr>
            </w:pPr>
            <w:r w:rsidRPr="00B4323C">
              <w:rPr>
                <w:rFonts w:cs="Times New Roman"/>
                <w:color w:val="000000"/>
                <w:sz w:val="18"/>
                <w:szCs w:val="18"/>
                <w:lang w:eastAsia="el-GR"/>
              </w:rPr>
              <w:t>100-81%</w:t>
            </w:r>
          </w:p>
        </w:tc>
        <w:tc>
          <w:tcPr>
            <w:tcW w:w="0" w:type="auto"/>
            <w:shd w:val="clear" w:color="auto" w:fill="FFC000"/>
            <w:vAlign w:val="bottom"/>
          </w:tcPr>
          <w:p w:rsidR="00A86CEE" w:rsidRPr="00B4323C" w:rsidRDefault="00A86CEE" w:rsidP="0079438C">
            <w:pPr>
              <w:jc w:val="center"/>
              <w:rPr>
                <w:rFonts w:cs="Times New Roman"/>
                <w:color w:val="000000"/>
                <w:sz w:val="18"/>
                <w:szCs w:val="18"/>
                <w:lang w:eastAsia="el-GR"/>
              </w:rPr>
            </w:pPr>
            <w:r w:rsidRPr="00B4323C">
              <w:rPr>
                <w:rFonts w:cs="Times New Roman"/>
                <w:color w:val="000000"/>
                <w:sz w:val="18"/>
                <w:szCs w:val="18"/>
                <w:lang w:eastAsia="el-GR"/>
              </w:rPr>
              <w:t>80-61%</w:t>
            </w:r>
          </w:p>
        </w:tc>
        <w:tc>
          <w:tcPr>
            <w:tcW w:w="0" w:type="auto"/>
            <w:shd w:val="clear" w:color="auto" w:fill="FFFF00"/>
            <w:vAlign w:val="bottom"/>
          </w:tcPr>
          <w:p w:rsidR="00A86CEE" w:rsidRPr="00B4323C" w:rsidRDefault="00A86CEE" w:rsidP="0079438C">
            <w:pPr>
              <w:jc w:val="center"/>
              <w:rPr>
                <w:rFonts w:cs="Times New Roman"/>
                <w:color w:val="000000"/>
                <w:sz w:val="18"/>
                <w:szCs w:val="18"/>
                <w:lang w:eastAsia="el-GR"/>
              </w:rPr>
            </w:pPr>
            <w:r w:rsidRPr="00B4323C">
              <w:rPr>
                <w:rFonts w:cs="Times New Roman"/>
                <w:color w:val="000000"/>
                <w:sz w:val="18"/>
                <w:szCs w:val="18"/>
                <w:lang w:eastAsia="el-GR"/>
              </w:rPr>
              <w:t>60-41%</w:t>
            </w:r>
          </w:p>
        </w:tc>
        <w:tc>
          <w:tcPr>
            <w:tcW w:w="0" w:type="auto"/>
            <w:shd w:val="clear" w:color="auto" w:fill="92D050"/>
            <w:vAlign w:val="bottom"/>
          </w:tcPr>
          <w:p w:rsidR="00A86CEE" w:rsidRPr="00B4323C" w:rsidRDefault="00A86CEE" w:rsidP="0079438C">
            <w:pPr>
              <w:jc w:val="center"/>
              <w:rPr>
                <w:rFonts w:cs="Times New Roman"/>
                <w:color w:val="000000"/>
                <w:sz w:val="18"/>
                <w:szCs w:val="18"/>
                <w:lang w:eastAsia="el-GR"/>
              </w:rPr>
            </w:pPr>
            <w:r w:rsidRPr="00B4323C">
              <w:rPr>
                <w:rFonts w:cs="Times New Roman"/>
                <w:color w:val="000000"/>
                <w:sz w:val="18"/>
                <w:szCs w:val="18"/>
                <w:lang w:eastAsia="el-GR"/>
              </w:rPr>
              <w:t>40-21%</w:t>
            </w:r>
          </w:p>
        </w:tc>
        <w:tc>
          <w:tcPr>
            <w:tcW w:w="0" w:type="auto"/>
            <w:shd w:val="clear" w:color="auto" w:fill="00B0F0"/>
            <w:vAlign w:val="bottom"/>
          </w:tcPr>
          <w:p w:rsidR="00A86CEE" w:rsidRPr="00B4323C" w:rsidRDefault="00A86CEE" w:rsidP="0079438C">
            <w:pPr>
              <w:jc w:val="center"/>
              <w:rPr>
                <w:rFonts w:cs="Times New Roman"/>
                <w:color w:val="000000"/>
                <w:sz w:val="18"/>
                <w:szCs w:val="18"/>
                <w:lang w:eastAsia="el-GR"/>
              </w:rPr>
            </w:pPr>
            <w:r w:rsidRPr="00B4323C">
              <w:rPr>
                <w:rFonts w:cs="Times New Roman"/>
                <w:color w:val="000000"/>
                <w:sz w:val="18"/>
                <w:szCs w:val="18"/>
                <w:lang w:eastAsia="el-GR"/>
              </w:rPr>
              <w:t>20-0%</w:t>
            </w:r>
          </w:p>
        </w:tc>
      </w:tr>
      <w:tr w:rsidR="00A86CEE" w:rsidRPr="00B4323C" w:rsidTr="0079438C">
        <w:tc>
          <w:tcPr>
            <w:tcW w:w="0" w:type="auto"/>
            <w:vAlign w:val="bottom"/>
          </w:tcPr>
          <w:p w:rsidR="00A86CEE" w:rsidRPr="00B4323C" w:rsidRDefault="00A86CEE" w:rsidP="0079438C">
            <w:pPr>
              <w:tabs>
                <w:tab w:val="left" w:pos="3537"/>
              </w:tabs>
              <w:ind w:left="-49"/>
              <w:rPr>
                <w:rFonts w:cs="Times New Roman"/>
                <w:color w:val="000000"/>
                <w:sz w:val="18"/>
                <w:szCs w:val="18"/>
                <w:lang w:eastAsia="el-GR"/>
              </w:rPr>
            </w:pPr>
          </w:p>
        </w:tc>
        <w:tc>
          <w:tcPr>
            <w:tcW w:w="0" w:type="auto"/>
            <w:shd w:val="clear" w:color="auto" w:fill="FF0000"/>
            <w:vAlign w:val="bottom"/>
          </w:tcPr>
          <w:p w:rsidR="00A86CEE" w:rsidRPr="00B4323C" w:rsidRDefault="00A86CEE" w:rsidP="0079438C">
            <w:pPr>
              <w:jc w:val="center"/>
              <w:rPr>
                <w:rFonts w:cs="Times New Roman"/>
                <w:color w:val="000000"/>
                <w:sz w:val="18"/>
                <w:szCs w:val="18"/>
                <w:lang w:eastAsia="el-GR"/>
              </w:rPr>
            </w:pPr>
          </w:p>
        </w:tc>
        <w:tc>
          <w:tcPr>
            <w:tcW w:w="0" w:type="auto"/>
            <w:shd w:val="clear" w:color="auto" w:fill="FFC000"/>
            <w:vAlign w:val="bottom"/>
          </w:tcPr>
          <w:p w:rsidR="00A86CEE" w:rsidRPr="00B4323C" w:rsidRDefault="00A86CEE" w:rsidP="0079438C">
            <w:pPr>
              <w:jc w:val="center"/>
              <w:rPr>
                <w:rFonts w:cs="Times New Roman"/>
                <w:color w:val="000000"/>
                <w:sz w:val="18"/>
                <w:szCs w:val="18"/>
                <w:lang w:eastAsia="el-GR"/>
              </w:rPr>
            </w:pPr>
          </w:p>
        </w:tc>
        <w:tc>
          <w:tcPr>
            <w:tcW w:w="0" w:type="auto"/>
            <w:shd w:val="clear" w:color="auto" w:fill="FFFF00"/>
            <w:vAlign w:val="bottom"/>
          </w:tcPr>
          <w:p w:rsidR="00A86CEE" w:rsidRPr="00B4323C" w:rsidRDefault="00A86CEE" w:rsidP="0079438C">
            <w:pPr>
              <w:jc w:val="center"/>
              <w:rPr>
                <w:rFonts w:cs="Times New Roman"/>
                <w:color w:val="000000"/>
                <w:sz w:val="18"/>
                <w:szCs w:val="18"/>
                <w:lang w:eastAsia="el-GR"/>
              </w:rPr>
            </w:pPr>
          </w:p>
        </w:tc>
        <w:tc>
          <w:tcPr>
            <w:tcW w:w="0" w:type="auto"/>
            <w:shd w:val="clear" w:color="auto" w:fill="92D050"/>
            <w:vAlign w:val="bottom"/>
          </w:tcPr>
          <w:p w:rsidR="00A86CEE" w:rsidRPr="00B4323C" w:rsidRDefault="00A86CEE" w:rsidP="0079438C">
            <w:pPr>
              <w:jc w:val="center"/>
              <w:rPr>
                <w:rFonts w:cs="Times New Roman"/>
                <w:color w:val="000000"/>
                <w:sz w:val="18"/>
                <w:szCs w:val="18"/>
                <w:lang w:eastAsia="el-GR"/>
              </w:rPr>
            </w:pPr>
          </w:p>
        </w:tc>
        <w:tc>
          <w:tcPr>
            <w:tcW w:w="0" w:type="auto"/>
            <w:shd w:val="clear" w:color="auto" w:fill="00B0F0"/>
            <w:vAlign w:val="bottom"/>
          </w:tcPr>
          <w:p w:rsidR="00A86CEE" w:rsidRPr="00B4323C" w:rsidRDefault="00A86CEE" w:rsidP="0079438C">
            <w:pPr>
              <w:jc w:val="center"/>
              <w:rPr>
                <w:rFonts w:cs="Times New Roman"/>
                <w:color w:val="000000"/>
                <w:sz w:val="18"/>
                <w:szCs w:val="18"/>
                <w:lang w:eastAsia="el-GR"/>
              </w:rPr>
            </w:pPr>
          </w:p>
        </w:tc>
      </w:tr>
    </w:tbl>
    <w:p w:rsidR="00FE78B7" w:rsidRDefault="00FE78B7" w:rsidP="00987279">
      <w:pPr>
        <w:spacing w:line="240" w:lineRule="auto"/>
        <w:rPr>
          <w:szCs w:val="21"/>
          <w:lang w:val="en-US"/>
        </w:rPr>
      </w:pPr>
    </w:p>
    <w:p w:rsidR="00A86CEE" w:rsidRDefault="00A86CEE" w:rsidP="00987279">
      <w:pPr>
        <w:spacing w:line="240" w:lineRule="auto"/>
        <w:rPr>
          <w:szCs w:val="21"/>
          <w:lang w:val="en-US"/>
        </w:rPr>
      </w:pPr>
    </w:p>
    <w:p w:rsidR="00A86CEE" w:rsidRDefault="00A86CEE" w:rsidP="00987279">
      <w:pPr>
        <w:spacing w:line="240" w:lineRule="auto"/>
        <w:rPr>
          <w:szCs w:val="21"/>
          <w:lang w:val="en-US"/>
        </w:rPr>
        <w:sectPr w:rsidR="00A86CEE" w:rsidSect="008634BE">
          <w:pgSz w:w="11906" w:h="16838" w:code="9"/>
          <w:pgMar w:top="2552" w:right="1094" w:bottom="1077" w:left="2098" w:header="822" w:footer="198" w:gutter="0"/>
          <w:cols w:space="708"/>
          <w:docGrid w:linePitch="360"/>
        </w:sectPr>
      </w:pPr>
    </w:p>
    <w:p w:rsidR="008634BE" w:rsidRDefault="008634BE" w:rsidP="008634BE">
      <w:pPr>
        <w:pStyle w:val="Caption"/>
        <w:rPr>
          <w:lang w:val="en-US"/>
        </w:rPr>
      </w:pPr>
      <w:r>
        <w:lastRenderedPageBreak/>
        <w:t xml:space="preserve">Table </w:t>
      </w:r>
      <w:r w:rsidR="008135ED">
        <w:fldChar w:fldCharType="begin"/>
      </w:r>
      <w:r w:rsidR="00F15E0D">
        <w:instrText xml:space="preserve"> STYLEREF 1 \s </w:instrText>
      </w:r>
      <w:r w:rsidR="008135ED">
        <w:fldChar w:fldCharType="separate"/>
      </w:r>
      <w:r>
        <w:rPr>
          <w:noProof/>
        </w:rPr>
        <w:t>2</w:t>
      </w:r>
      <w:r w:rsidR="008135ED">
        <w:rPr>
          <w:noProof/>
        </w:rPr>
        <w:fldChar w:fldCharType="end"/>
      </w:r>
      <w:r>
        <w:t>.7</w:t>
      </w:r>
      <w:r>
        <w:tab/>
        <w:t>P</w:t>
      </w:r>
      <w:r>
        <w:rPr>
          <w:lang w:val="en-US"/>
        </w:rPr>
        <w:t>arameters relevant to MSFD indicator 5.2.</w:t>
      </w:r>
      <w:r w:rsidR="0079438C">
        <w:rPr>
          <w:lang w:val="en-US"/>
        </w:rPr>
        <w:t>4</w:t>
      </w:r>
      <w:r>
        <w:rPr>
          <w:lang w:val="en-US"/>
        </w:rPr>
        <w:t xml:space="preserve">: Frequency of reporting to the RSCs by CP and frequency of use by MS for MSFD reporting </w:t>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7"/>
        <w:gridCol w:w="992"/>
        <w:gridCol w:w="1416"/>
        <w:gridCol w:w="850"/>
        <w:gridCol w:w="1419"/>
        <w:gridCol w:w="1416"/>
        <w:gridCol w:w="1278"/>
        <w:gridCol w:w="1244"/>
        <w:gridCol w:w="1120"/>
        <w:gridCol w:w="1078"/>
      </w:tblGrid>
      <w:tr w:rsidR="00044F95" w:rsidRPr="0080069B" w:rsidTr="00044F95">
        <w:trPr>
          <w:trHeight w:val="871"/>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Pr>
                <w:color w:val="000000"/>
                <w:sz w:val="18"/>
                <w:szCs w:val="18"/>
                <w:lang w:val="en-US"/>
              </w:rPr>
              <w:t>I</w:t>
            </w:r>
            <w:r w:rsidRPr="00655104">
              <w:rPr>
                <w:color w:val="000000"/>
                <w:sz w:val="18"/>
                <w:szCs w:val="18"/>
              </w:rPr>
              <w:t>ndicator 5.2.4</w:t>
            </w:r>
          </w:p>
        </w:tc>
        <w:tc>
          <w:tcPr>
            <w:tcW w:w="382"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Pelagic shift</w:t>
            </w:r>
          </w:p>
        </w:tc>
        <w:tc>
          <w:tcPr>
            <w:tcW w:w="545"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Phytoplankton blooms</w:t>
            </w:r>
          </w:p>
        </w:tc>
        <w:tc>
          <w:tcPr>
            <w:tcW w:w="327"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Toxic algae</w:t>
            </w:r>
          </w:p>
        </w:tc>
        <w:tc>
          <w:tcPr>
            <w:tcW w:w="546"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 of Dinoflagellates</w:t>
            </w:r>
          </w:p>
        </w:tc>
        <w:tc>
          <w:tcPr>
            <w:tcW w:w="545"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Phytoplankton quality</w:t>
            </w:r>
          </w:p>
        </w:tc>
        <w:tc>
          <w:tcPr>
            <w:tcW w:w="492"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Phycocyanin</w:t>
            </w:r>
          </w:p>
        </w:tc>
        <w:tc>
          <w:tcPr>
            <w:tcW w:w="479" w:type="pct"/>
            <w:shd w:val="clear" w:color="auto" w:fill="D9D9D9" w:themeFill="background1" w:themeFillShade="D9"/>
          </w:tcPr>
          <w:p w:rsidR="00044F95" w:rsidRDefault="0079438C" w:rsidP="0079438C">
            <w:pPr>
              <w:autoSpaceDE w:val="0"/>
              <w:autoSpaceDN w:val="0"/>
              <w:adjustRightInd w:val="0"/>
              <w:spacing w:line="240" w:lineRule="auto"/>
              <w:rPr>
                <w:color w:val="000000"/>
                <w:sz w:val="18"/>
                <w:szCs w:val="18"/>
              </w:rPr>
            </w:pPr>
            <w:r w:rsidRPr="00655104">
              <w:rPr>
                <w:color w:val="000000"/>
                <w:sz w:val="18"/>
                <w:szCs w:val="18"/>
              </w:rPr>
              <w:t>Eutro_</w:t>
            </w:r>
          </w:p>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plankt_index</w:t>
            </w:r>
          </w:p>
        </w:tc>
        <w:tc>
          <w:tcPr>
            <w:tcW w:w="431"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Benthic shift</w:t>
            </w:r>
          </w:p>
        </w:tc>
        <w:tc>
          <w:tcPr>
            <w:tcW w:w="415"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Cyanobact blooms</w:t>
            </w:r>
          </w:p>
        </w:tc>
      </w:tr>
      <w:tr w:rsidR="00044F95" w:rsidRPr="0080069B" w:rsidTr="00044F95">
        <w:trPr>
          <w:trHeight w:val="290"/>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OSPAR</w:t>
            </w:r>
          </w:p>
        </w:tc>
        <w:tc>
          <w:tcPr>
            <w:tcW w:w="38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A60C9C" w:rsidRDefault="0079438C">
            <w:pPr>
              <w:autoSpaceDE w:val="0"/>
              <w:autoSpaceDN w:val="0"/>
              <w:adjustRightInd w:val="0"/>
              <w:spacing w:line="240" w:lineRule="auto"/>
              <w:ind w:left="170"/>
              <w:rPr>
                <w:color w:val="000000"/>
                <w:sz w:val="18"/>
                <w:szCs w:val="18"/>
                <w:lang w:val="en-US"/>
              </w:rPr>
            </w:pPr>
            <w:r w:rsidRPr="00655104">
              <w:rPr>
                <w:color w:val="000000"/>
                <w:sz w:val="18"/>
                <w:szCs w:val="18"/>
              </w:rPr>
              <w:t xml:space="preserve">MSFD art 8,9, 10 </w:t>
            </w:r>
            <w:r>
              <w:rPr>
                <w:color w:val="000000"/>
                <w:sz w:val="18"/>
                <w:szCs w:val="18"/>
                <w:lang w:val="en-US"/>
              </w:rPr>
              <w:t>*</w:t>
            </w:r>
          </w:p>
        </w:tc>
        <w:tc>
          <w:tcPr>
            <w:tcW w:w="382" w:type="pct"/>
            <w:shd w:val="clear" w:color="auto" w:fill="92D050"/>
          </w:tcPr>
          <w:p w:rsidR="0079438C" w:rsidRPr="00655104" w:rsidRDefault="00AD2B97" w:rsidP="0079438C">
            <w:pPr>
              <w:autoSpaceDE w:val="0"/>
              <w:autoSpaceDN w:val="0"/>
              <w:adjustRightInd w:val="0"/>
              <w:spacing w:line="240" w:lineRule="auto"/>
              <w:rPr>
                <w:color w:val="000000"/>
                <w:sz w:val="18"/>
                <w:szCs w:val="18"/>
              </w:rPr>
            </w:pPr>
            <w:r w:rsidRPr="00655104">
              <w:rPr>
                <w:color w:val="000000"/>
                <w:sz w:val="18"/>
                <w:szCs w:val="18"/>
              </w:rPr>
              <w:t>X</w:t>
            </w:r>
          </w:p>
        </w:tc>
        <w:tc>
          <w:tcPr>
            <w:tcW w:w="545" w:type="pct"/>
            <w:shd w:val="clear" w:color="auto" w:fill="92D050"/>
          </w:tcPr>
          <w:p w:rsidR="0079438C" w:rsidRPr="00655104" w:rsidRDefault="00AD6D29" w:rsidP="0079438C">
            <w:pPr>
              <w:autoSpaceDE w:val="0"/>
              <w:autoSpaceDN w:val="0"/>
              <w:adjustRightInd w:val="0"/>
              <w:spacing w:line="240" w:lineRule="auto"/>
              <w:rPr>
                <w:color w:val="000000"/>
                <w:sz w:val="18"/>
                <w:szCs w:val="18"/>
              </w:rPr>
            </w:pPr>
            <w:r w:rsidRPr="00655104">
              <w:rPr>
                <w:color w:val="000000"/>
                <w:sz w:val="18"/>
                <w:szCs w:val="18"/>
              </w:rPr>
              <w:t>X</w:t>
            </w:r>
          </w:p>
        </w:tc>
        <w:tc>
          <w:tcPr>
            <w:tcW w:w="327"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431"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HELCOM</w:t>
            </w:r>
          </w:p>
        </w:tc>
        <w:tc>
          <w:tcPr>
            <w:tcW w:w="38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A60C9C" w:rsidRDefault="0079438C">
            <w:pPr>
              <w:autoSpaceDE w:val="0"/>
              <w:autoSpaceDN w:val="0"/>
              <w:adjustRightInd w:val="0"/>
              <w:spacing w:line="240" w:lineRule="auto"/>
              <w:ind w:left="170"/>
              <w:rPr>
                <w:color w:val="000000"/>
                <w:sz w:val="18"/>
                <w:szCs w:val="18"/>
                <w:lang w:val="en-US"/>
              </w:rPr>
            </w:pPr>
            <w:r w:rsidRPr="00655104">
              <w:rPr>
                <w:color w:val="000000"/>
                <w:sz w:val="18"/>
                <w:szCs w:val="18"/>
              </w:rPr>
              <w:t xml:space="preserve">MSFD art 8,9, 10 </w:t>
            </w:r>
            <w:r>
              <w:rPr>
                <w:color w:val="000000"/>
                <w:sz w:val="18"/>
                <w:szCs w:val="18"/>
                <w:lang w:val="en-US"/>
              </w:rPr>
              <w:t>*</w:t>
            </w:r>
          </w:p>
        </w:tc>
        <w:tc>
          <w:tcPr>
            <w:tcW w:w="382" w:type="pct"/>
            <w:shd w:val="solid" w:color="FFFF00" w:fill="auto"/>
          </w:tcPr>
          <w:p w:rsidR="0079438C" w:rsidRPr="00655104" w:rsidRDefault="00AD2B97" w:rsidP="0079438C">
            <w:pPr>
              <w:autoSpaceDE w:val="0"/>
              <w:autoSpaceDN w:val="0"/>
              <w:adjustRightInd w:val="0"/>
              <w:spacing w:line="240" w:lineRule="auto"/>
              <w:rPr>
                <w:color w:val="000000"/>
                <w:sz w:val="18"/>
                <w:szCs w:val="18"/>
              </w:rPr>
            </w:pPr>
            <w:r w:rsidRPr="00655104">
              <w:rPr>
                <w:color w:val="000000"/>
                <w:sz w:val="18"/>
                <w:szCs w:val="18"/>
              </w:rPr>
              <w:t>X</w:t>
            </w: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327"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546"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415" w:type="pct"/>
            <w:shd w:val="clear" w:color="auto" w:fill="92D050"/>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r>
      <w:tr w:rsidR="00044F95" w:rsidRPr="0080069B" w:rsidTr="00044F95">
        <w:trPr>
          <w:trHeight w:val="290"/>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lang w:val="en-US"/>
              </w:rPr>
            </w:pPr>
            <w:r>
              <w:rPr>
                <w:color w:val="000000"/>
                <w:sz w:val="18"/>
                <w:szCs w:val="18"/>
                <w:lang w:val="en-US"/>
              </w:rPr>
              <w:t>UNEP/MAp</w:t>
            </w:r>
          </w:p>
        </w:tc>
        <w:tc>
          <w:tcPr>
            <w:tcW w:w="38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A60C9C" w:rsidRDefault="0079438C">
            <w:pPr>
              <w:autoSpaceDE w:val="0"/>
              <w:autoSpaceDN w:val="0"/>
              <w:adjustRightInd w:val="0"/>
              <w:spacing w:line="240" w:lineRule="auto"/>
              <w:ind w:left="170"/>
              <w:rPr>
                <w:color w:val="000000"/>
                <w:sz w:val="18"/>
                <w:szCs w:val="18"/>
                <w:lang w:val="en-US"/>
              </w:rPr>
            </w:pPr>
            <w:r w:rsidRPr="00655104">
              <w:rPr>
                <w:color w:val="000000"/>
                <w:sz w:val="18"/>
                <w:szCs w:val="18"/>
              </w:rPr>
              <w:t xml:space="preserve">MSFD art 8,9, 10 </w:t>
            </w:r>
            <w:r>
              <w:rPr>
                <w:color w:val="000000"/>
                <w:sz w:val="18"/>
                <w:szCs w:val="18"/>
                <w:lang w:val="en-US"/>
              </w:rPr>
              <w:t>*</w:t>
            </w:r>
          </w:p>
        </w:tc>
        <w:tc>
          <w:tcPr>
            <w:tcW w:w="382" w:type="pct"/>
            <w:shd w:val="clear" w:color="auto" w:fill="92D050"/>
          </w:tcPr>
          <w:p w:rsidR="0079438C" w:rsidRPr="00655104" w:rsidRDefault="00AD2B97" w:rsidP="0079438C">
            <w:pPr>
              <w:autoSpaceDE w:val="0"/>
              <w:autoSpaceDN w:val="0"/>
              <w:adjustRightInd w:val="0"/>
              <w:spacing w:line="240" w:lineRule="auto"/>
              <w:rPr>
                <w:color w:val="000000"/>
                <w:sz w:val="18"/>
                <w:szCs w:val="18"/>
              </w:rPr>
            </w:pPr>
            <w:r w:rsidRPr="00655104">
              <w:rPr>
                <w:color w:val="000000"/>
                <w:sz w:val="18"/>
                <w:szCs w:val="18"/>
              </w:rPr>
              <w:t>X</w:t>
            </w:r>
          </w:p>
        </w:tc>
        <w:tc>
          <w:tcPr>
            <w:tcW w:w="545" w:type="pct"/>
            <w:shd w:val="solid" w:color="00CCFF" w:fill="auto"/>
          </w:tcPr>
          <w:p w:rsidR="0079438C" w:rsidRPr="00655104" w:rsidRDefault="00AD6D29" w:rsidP="0079438C">
            <w:pPr>
              <w:autoSpaceDE w:val="0"/>
              <w:autoSpaceDN w:val="0"/>
              <w:adjustRightInd w:val="0"/>
              <w:spacing w:line="240" w:lineRule="auto"/>
              <w:rPr>
                <w:color w:val="000000"/>
                <w:sz w:val="18"/>
                <w:szCs w:val="18"/>
              </w:rPr>
            </w:pPr>
            <w:r w:rsidRPr="00655104">
              <w:rPr>
                <w:color w:val="000000"/>
                <w:sz w:val="18"/>
                <w:szCs w:val="18"/>
              </w:rPr>
              <w:t>X</w:t>
            </w:r>
          </w:p>
        </w:tc>
        <w:tc>
          <w:tcPr>
            <w:tcW w:w="327"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shd w:val="solid" w:color="00CCFF"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431" w:type="pct"/>
            <w:shd w:val="solid" w:color="00CCFF" w:fill="auto"/>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lang w:val="en-US"/>
              </w:rPr>
            </w:pPr>
            <w:r>
              <w:rPr>
                <w:color w:val="000000"/>
                <w:sz w:val="18"/>
                <w:szCs w:val="18"/>
                <w:lang w:val="en-US"/>
              </w:rPr>
              <w:t>BSC</w:t>
            </w:r>
          </w:p>
        </w:tc>
        <w:tc>
          <w:tcPr>
            <w:tcW w:w="38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shd w:val="clear" w:color="auto" w:fill="92D050"/>
          </w:tcPr>
          <w:p w:rsidR="0079438C" w:rsidRPr="00655104" w:rsidRDefault="00AD6D29" w:rsidP="0079438C">
            <w:pPr>
              <w:autoSpaceDE w:val="0"/>
              <w:autoSpaceDN w:val="0"/>
              <w:adjustRightInd w:val="0"/>
              <w:spacing w:line="240" w:lineRule="auto"/>
              <w:rPr>
                <w:color w:val="000000"/>
                <w:sz w:val="18"/>
                <w:szCs w:val="18"/>
              </w:rPr>
            </w:pPr>
            <w:r w:rsidRPr="00655104">
              <w:rPr>
                <w:color w:val="000000"/>
                <w:sz w:val="18"/>
                <w:szCs w:val="18"/>
              </w:rPr>
              <w:t>X</w:t>
            </w: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A60C9C" w:rsidRDefault="0079438C">
            <w:pPr>
              <w:autoSpaceDE w:val="0"/>
              <w:autoSpaceDN w:val="0"/>
              <w:adjustRightInd w:val="0"/>
              <w:spacing w:line="240" w:lineRule="auto"/>
              <w:ind w:left="170"/>
              <w:rPr>
                <w:color w:val="000000"/>
                <w:sz w:val="18"/>
                <w:szCs w:val="18"/>
                <w:lang w:val="en-US"/>
              </w:rPr>
            </w:pPr>
            <w:r w:rsidRPr="00655104">
              <w:rPr>
                <w:color w:val="000000"/>
                <w:sz w:val="18"/>
                <w:szCs w:val="18"/>
              </w:rPr>
              <w:t xml:space="preserve">MSFD art 8,9, 10 </w:t>
            </w:r>
            <w:r>
              <w:rPr>
                <w:color w:val="000000"/>
                <w:sz w:val="18"/>
                <w:szCs w:val="18"/>
                <w:lang w:val="en-US"/>
              </w:rPr>
              <w:t>*</w:t>
            </w:r>
          </w:p>
        </w:tc>
        <w:tc>
          <w:tcPr>
            <w:tcW w:w="382" w:type="pct"/>
            <w:shd w:val="solid" w:color="FFFF00" w:fill="auto"/>
          </w:tcPr>
          <w:p w:rsidR="0079438C" w:rsidRPr="00655104" w:rsidRDefault="00AD2B97" w:rsidP="0079438C">
            <w:pPr>
              <w:autoSpaceDE w:val="0"/>
              <w:autoSpaceDN w:val="0"/>
              <w:adjustRightInd w:val="0"/>
              <w:spacing w:line="240" w:lineRule="auto"/>
              <w:rPr>
                <w:color w:val="000000"/>
                <w:sz w:val="18"/>
                <w:szCs w:val="18"/>
              </w:rPr>
            </w:pPr>
            <w:r w:rsidRPr="00655104">
              <w:rPr>
                <w:color w:val="000000"/>
                <w:sz w:val="18"/>
                <w:szCs w:val="18"/>
              </w:rPr>
              <w:t>X</w:t>
            </w:r>
          </w:p>
        </w:tc>
        <w:tc>
          <w:tcPr>
            <w:tcW w:w="545" w:type="pct"/>
            <w:shd w:val="solid" w:color="FFFF00" w:fill="auto"/>
          </w:tcPr>
          <w:p w:rsidR="0079438C" w:rsidRPr="00655104" w:rsidRDefault="00AD6D29" w:rsidP="0079438C">
            <w:pPr>
              <w:autoSpaceDE w:val="0"/>
              <w:autoSpaceDN w:val="0"/>
              <w:adjustRightInd w:val="0"/>
              <w:spacing w:line="240" w:lineRule="auto"/>
              <w:rPr>
                <w:color w:val="000000"/>
                <w:sz w:val="18"/>
                <w:szCs w:val="18"/>
              </w:rPr>
            </w:pPr>
            <w:r w:rsidRPr="00655104">
              <w:rPr>
                <w:color w:val="000000"/>
                <w:sz w:val="18"/>
                <w:szCs w:val="18"/>
              </w:rPr>
              <w:t>X</w:t>
            </w: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shd w:val="solid" w:color="FF0000" w:fill="auto"/>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x</w:t>
            </w: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290"/>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WFD</w:t>
            </w:r>
          </w:p>
        </w:tc>
        <w:tc>
          <w:tcPr>
            <w:tcW w:w="38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AD6D29" w:rsidP="00740BA3">
            <w:pPr>
              <w:autoSpaceDE w:val="0"/>
              <w:autoSpaceDN w:val="0"/>
              <w:adjustRightInd w:val="0"/>
              <w:spacing w:line="240" w:lineRule="auto"/>
              <w:jc w:val="left"/>
              <w:rPr>
                <w:color w:val="000000"/>
                <w:sz w:val="18"/>
                <w:szCs w:val="18"/>
              </w:rPr>
            </w:pPr>
            <w:r>
              <w:rPr>
                <w:color w:val="000000"/>
                <w:sz w:val="18"/>
                <w:szCs w:val="18"/>
              </w:rPr>
              <w:t>X</w:t>
            </w: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r w:rsidR="00044F95" w:rsidRPr="0080069B" w:rsidTr="00044F95">
        <w:trPr>
          <w:trHeight w:val="302"/>
        </w:trPr>
        <w:tc>
          <w:tcPr>
            <w:tcW w:w="838" w:type="pct"/>
            <w:shd w:val="clear" w:color="auto" w:fill="D9D9D9" w:themeFill="background1" w:themeFillShade="D9"/>
          </w:tcPr>
          <w:p w:rsidR="0079438C" w:rsidRPr="00655104" w:rsidRDefault="0079438C" w:rsidP="0079438C">
            <w:pPr>
              <w:autoSpaceDE w:val="0"/>
              <w:autoSpaceDN w:val="0"/>
              <w:adjustRightInd w:val="0"/>
              <w:spacing w:line="240" w:lineRule="auto"/>
              <w:rPr>
                <w:color w:val="000000"/>
                <w:sz w:val="18"/>
                <w:szCs w:val="18"/>
              </w:rPr>
            </w:pPr>
            <w:r w:rsidRPr="00655104">
              <w:rPr>
                <w:color w:val="000000"/>
                <w:sz w:val="18"/>
                <w:szCs w:val="18"/>
              </w:rPr>
              <w:t>EEA</w:t>
            </w:r>
          </w:p>
        </w:tc>
        <w:tc>
          <w:tcPr>
            <w:tcW w:w="38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327"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6"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545"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92"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79"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31" w:type="pct"/>
          </w:tcPr>
          <w:p w:rsidR="0079438C" w:rsidRPr="00655104" w:rsidRDefault="0079438C" w:rsidP="0079438C">
            <w:pPr>
              <w:autoSpaceDE w:val="0"/>
              <w:autoSpaceDN w:val="0"/>
              <w:adjustRightInd w:val="0"/>
              <w:spacing w:line="240" w:lineRule="auto"/>
              <w:jc w:val="right"/>
              <w:rPr>
                <w:color w:val="000000"/>
                <w:sz w:val="18"/>
                <w:szCs w:val="18"/>
              </w:rPr>
            </w:pPr>
          </w:p>
        </w:tc>
        <w:tc>
          <w:tcPr>
            <w:tcW w:w="415" w:type="pct"/>
          </w:tcPr>
          <w:p w:rsidR="0079438C" w:rsidRPr="00655104" w:rsidRDefault="0079438C" w:rsidP="0079438C">
            <w:pPr>
              <w:autoSpaceDE w:val="0"/>
              <w:autoSpaceDN w:val="0"/>
              <w:adjustRightInd w:val="0"/>
              <w:spacing w:line="240" w:lineRule="auto"/>
              <w:jc w:val="right"/>
              <w:rPr>
                <w:color w:val="000000"/>
                <w:sz w:val="18"/>
                <w:szCs w:val="18"/>
              </w:rPr>
            </w:pPr>
          </w:p>
        </w:tc>
      </w:tr>
    </w:tbl>
    <w:p w:rsidR="0079438C" w:rsidRPr="00B4323C" w:rsidRDefault="0079438C" w:rsidP="0079438C">
      <w:pPr>
        <w:pStyle w:val="ListParagraph"/>
        <w:spacing w:line="240" w:lineRule="auto"/>
        <w:ind w:left="0"/>
        <w:rPr>
          <w:sz w:val="16"/>
          <w:szCs w:val="16"/>
          <w:lang w:val="en-US"/>
        </w:rPr>
      </w:pPr>
      <w:r w:rsidRPr="00B4323C">
        <w:rPr>
          <w:sz w:val="16"/>
          <w:szCs w:val="16"/>
          <w:lang w:val="en-US"/>
        </w:rPr>
        <w:t>* Palialexis et</w:t>
      </w:r>
      <w:r>
        <w:rPr>
          <w:sz w:val="16"/>
          <w:szCs w:val="16"/>
          <w:lang w:val="en-US"/>
        </w:rPr>
        <w:t xml:space="preserve"> al. </w:t>
      </w:r>
      <w:r w:rsidRPr="00B4323C">
        <w:rPr>
          <w:sz w:val="16"/>
          <w:szCs w:val="16"/>
          <w:lang w:val="en-US"/>
        </w:rPr>
        <w:t>2014</w:t>
      </w:r>
    </w:p>
    <w:tbl>
      <w:tblPr>
        <w:tblStyle w:val="TableGrid"/>
        <w:tblW w:w="0" w:type="auto"/>
        <w:tblLook w:val="04A0"/>
      </w:tblPr>
      <w:tblGrid>
        <w:gridCol w:w="1018"/>
        <w:gridCol w:w="937"/>
        <w:gridCol w:w="837"/>
        <w:gridCol w:w="837"/>
        <w:gridCol w:w="837"/>
        <w:gridCol w:w="737"/>
      </w:tblGrid>
      <w:tr w:rsidR="0079438C" w:rsidRPr="00B4323C" w:rsidTr="0079438C">
        <w:tc>
          <w:tcPr>
            <w:tcW w:w="0" w:type="auto"/>
            <w:vAlign w:val="bottom"/>
          </w:tcPr>
          <w:p w:rsidR="0079438C" w:rsidRPr="00B4323C" w:rsidRDefault="0079438C" w:rsidP="0079438C">
            <w:pPr>
              <w:tabs>
                <w:tab w:val="left" w:pos="3537"/>
              </w:tabs>
              <w:ind w:left="-49"/>
              <w:rPr>
                <w:rFonts w:cs="Times New Roman"/>
                <w:color w:val="000000"/>
                <w:sz w:val="18"/>
                <w:szCs w:val="18"/>
                <w:lang w:eastAsia="el-GR"/>
              </w:rPr>
            </w:pPr>
            <w:r w:rsidRPr="00B4323C">
              <w:rPr>
                <w:rFonts w:cs="Times New Roman"/>
                <w:color w:val="000000"/>
                <w:sz w:val="18"/>
                <w:szCs w:val="18"/>
                <w:lang w:eastAsia="el-GR"/>
              </w:rPr>
              <w:t>Frequency</w:t>
            </w:r>
          </w:p>
        </w:tc>
        <w:tc>
          <w:tcPr>
            <w:tcW w:w="0" w:type="auto"/>
            <w:shd w:val="clear" w:color="auto" w:fill="FF0000"/>
            <w:vAlign w:val="bottom"/>
          </w:tcPr>
          <w:p w:rsidR="0079438C" w:rsidRPr="00B4323C" w:rsidRDefault="0079438C" w:rsidP="0079438C">
            <w:pPr>
              <w:jc w:val="center"/>
              <w:rPr>
                <w:rFonts w:cs="Times New Roman"/>
                <w:color w:val="FF0000"/>
                <w:sz w:val="18"/>
                <w:szCs w:val="18"/>
                <w:lang w:eastAsia="el-GR"/>
              </w:rPr>
            </w:pPr>
            <w:r w:rsidRPr="00B4323C">
              <w:rPr>
                <w:rFonts w:cs="Times New Roman"/>
                <w:color w:val="000000"/>
                <w:sz w:val="18"/>
                <w:szCs w:val="18"/>
                <w:lang w:eastAsia="el-GR"/>
              </w:rPr>
              <w:t>100-81%</w:t>
            </w:r>
          </w:p>
        </w:tc>
        <w:tc>
          <w:tcPr>
            <w:tcW w:w="0" w:type="auto"/>
            <w:shd w:val="clear" w:color="auto" w:fill="FFC000"/>
            <w:vAlign w:val="bottom"/>
          </w:tcPr>
          <w:p w:rsidR="0079438C" w:rsidRPr="00B4323C" w:rsidRDefault="0079438C" w:rsidP="0079438C">
            <w:pPr>
              <w:jc w:val="center"/>
              <w:rPr>
                <w:rFonts w:cs="Times New Roman"/>
                <w:color w:val="000000"/>
                <w:sz w:val="18"/>
                <w:szCs w:val="18"/>
                <w:lang w:eastAsia="el-GR"/>
              </w:rPr>
            </w:pPr>
            <w:r w:rsidRPr="00B4323C">
              <w:rPr>
                <w:rFonts w:cs="Times New Roman"/>
                <w:color w:val="000000"/>
                <w:sz w:val="18"/>
                <w:szCs w:val="18"/>
                <w:lang w:eastAsia="el-GR"/>
              </w:rPr>
              <w:t>80-61%</w:t>
            </w:r>
          </w:p>
        </w:tc>
        <w:tc>
          <w:tcPr>
            <w:tcW w:w="0" w:type="auto"/>
            <w:shd w:val="clear" w:color="auto" w:fill="FFFF00"/>
            <w:vAlign w:val="bottom"/>
          </w:tcPr>
          <w:p w:rsidR="0079438C" w:rsidRPr="00B4323C" w:rsidRDefault="0079438C" w:rsidP="0079438C">
            <w:pPr>
              <w:jc w:val="center"/>
              <w:rPr>
                <w:rFonts w:cs="Times New Roman"/>
                <w:color w:val="000000"/>
                <w:sz w:val="18"/>
                <w:szCs w:val="18"/>
                <w:lang w:eastAsia="el-GR"/>
              </w:rPr>
            </w:pPr>
            <w:r w:rsidRPr="00B4323C">
              <w:rPr>
                <w:rFonts w:cs="Times New Roman"/>
                <w:color w:val="000000"/>
                <w:sz w:val="18"/>
                <w:szCs w:val="18"/>
                <w:lang w:eastAsia="el-GR"/>
              </w:rPr>
              <w:t>60-41%</w:t>
            </w:r>
          </w:p>
        </w:tc>
        <w:tc>
          <w:tcPr>
            <w:tcW w:w="0" w:type="auto"/>
            <w:shd w:val="clear" w:color="auto" w:fill="92D050"/>
            <w:vAlign w:val="bottom"/>
          </w:tcPr>
          <w:p w:rsidR="0079438C" w:rsidRPr="00B4323C" w:rsidRDefault="0079438C" w:rsidP="0079438C">
            <w:pPr>
              <w:jc w:val="center"/>
              <w:rPr>
                <w:rFonts w:cs="Times New Roman"/>
                <w:color w:val="000000"/>
                <w:sz w:val="18"/>
                <w:szCs w:val="18"/>
                <w:lang w:eastAsia="el-GR"/>
              </w:rPr>
            </w:pPr>
            <w:r w:rsidRPr="00B4323C">
              <w:rPr>
                <w:rFonts w:cs="Times New Roman"/>
                <w:color w:val="000000"/>
                <w:sz w:val="18"/>
                <w:szCs w:val="18"/>
                <w:lang w:eastAsia="el-GR"/>
              </w:rPr>
              <w:t>40-21%</w:t>
            </w:r>
          </w:p>
        </w:tc>
        <w:tc>
          <w:tcPr>
            <w:tcW w:w="0" w:type="auto"/>
            <w:shd w:val="clear" w:color="auto" w:fill="00B0F0"/>
            <w:vAlign w:val="bottom"/>
          </w:tcPr>
          <w:p w:rsidR="0079438C" w:rsidRPr="00B4323C" w:rsidRDefault="0079438C" w:rsidP="0079438C">
            <w:pPr>
              <w:jc w:val="center"/>
              <w:rPr>
                <w:rFonts w:cs="Times New Roman"/>
                <w:color w:val="000000"/>
                <w:sz w:val="18"/>
                <w:szCs w:val="18"/>
                <w:lang w:eastAsia="el-GR"/>
              </w:rPr>
            </w:pPr>
            <w:r w:rsidRPr="00B4323C">
              <w:rPr>
                <w:rFonts w:cs="Times New Roman"/>
                <w:color w:val="000000"/>
                <w:sz w:val="18"/>
                <w:szCs w:val="18"/>
                <w:lang w:eastAsia="el-GR"/>
              </w:rPr>
              <w:t>20-0%</w:t>
            </w:r>
          </w:p>
        </w:tc>
      </w:tr>
      <w:tr w:rsidR="0079438C" w:rsidRPr="00B4323C" w:rsidTr="0079438C">
        <w:tc>
          <w:tcPr>
            <w:tcW w:w="0" w:type="auto"/>
            <w:vAlign w:val="bottom"/>
          </w:tcPr>
          <w:p w:rsidR="0079438C" w:rsidRPr="00B4323C" w:rsidRDefault="0079438C" w:rsidP="0079438C">
            <w:pPr>
              <w:tabs>
                <w:tab w:val="left" w:pos="3537"/>
              </w:tabs>
              <w:ind w:left="-49"/>
              <w:rPr>
                <w:rFonts w:cs="Times New Roman"/>
                <w:color w:val="000000"/>
                <w:sz w:val="18"/>
                <w:szCs w:val="18"/>
                <w:lang w:eastAsia="el-GR"/>
              </w:rPr>
            </w:pPr>
          </w:p>
        </w:tc>
        <w:tc>
          <w:tcPr>
            <w:tcW w:w="0" w:type="auto"/>
            <w:shd w:val="clear" w:color="auto" w:fill="FF0000"/>
            <w:vAlign w:val="bottom"/>
          </w:tcPr>
          <w:p w:rsidR="0079438C" w:rsidRPr="00B4323C" w:rsidRDefault="0079438C" w:rsidP="0079438C">
            <w:pPr>
              <w:jc w:val="center"/>
              <w:rPr>
                <w:rFonts w:cs="Times New Roman"/>
                <w:color w:val="000000"/>
                <w:sz w:val="18"/>
                <w:szCs w:val="18"/>
                <w:lang w:eastAsia="el-GR"/>
              </w:rPr>
            </w:pPr>
          </w:p>
        </w:tc>
        <w:tc>
          <w:tcPr>
            <w:tcW w:w="0" w:type="auto"/>
            <w:shd w:val="clear" w:color="auto" w:fill="FFC000"/>
            <w:vAlign w:val="bottom"/>
          </w:tcPr>
          <w:p w:rsidR="0079438C" w:rsidRPr="00B4323C" w:rsidRDefault="0079438C" w:rsidP="0079438C">
            <w:pPr>
              <w:jc w:val="center"/>
              <w:rPr>
                <w:rFonts w:cs="Times New Roman"/>
                <w:color w:val="000000"/>
                <w:sz w:val="18"/>
                <w:szCs w:val="18"/>
                <w:lang w:eastAsia="el-GR"/>
              </w:rPr>
            </w:pPr>
          </w:p>
        </w:tc>
        <w:tc>
          <w:tcPr>
            <w:tcW w:w="0" w:type="auto"/>
            <w:shd w:val="clear" w:color="auto" w:fill="FFFF00"/>
            <w:vAlign w:val="bottom"/>
          </w:tcPr>
          <w:p w:rsidR="0079438C" w:rsidRPr="00B4323C" w:rsidRDefault="0079438C" w:rsidP="0079438C">
            <w:pPr>
              <w:jc w:val="center"/>
              <w:rPr>
                <w:rFonts w:cs="Times New Roman"/>
                <w:color w:val="000000"/>
                <w:sz w:val="18"/>
                <w:szCs w:val="18"/>
                <w:lang w:eastAsia="el-GR"/>
              </w:rPr>
            </w:pPr>
          </w:p>
        </w:tc>
        <w:tc>
          <w:tcPr>
            <w:tcW w:w="0" w:type="auto"/>
            <w:shd w:val="clear" w:color="auto" w:fill="92D050"/>
            <w:vAlign w:val="bottom"/>
          </w:tcPr>
          <w:p w:rsidR="0079438C" w:rsidRPr="00B4323C" w:rsidRDefault="0079438C" w:rsidP="0079438C">
            <w:pPr>
              <w:jc w:val="center"/>
              <w:rPr>
                <w:rFonts w:cs="Times New Roman"/>
                <w:color w:val="000000"/>
                <w:sz w:val="18"/>
                <w:szCs w:val="18"/>
                <w:lang w:eastAsia="el-GR"/>
              </w:rPr>
            </w:pPr>
          </w:p>
        </w:tc>
        <w:tc>
          <w:tcPr>
            <w:tcW w:w="0" w:type="auto"/>
            <w:shd w:val="clear" w:color="auto" w:fill="00B0F0"/>
            <w:vAlign w:val="bottom"/>
          </w:tcPr>
          <w:p w:rsidR="0079438C" w:rsidRPr="00B4323C" w:rsidRDefault="0079438C" w:rsidP="0079438C">
            <w:pPr>
              <w:jc w:val="center"/>
              <w:rPr>
                <w:rFonts w:cs="Times New Roman"/>
                <w:color w:val="000000"/>
                <w:sz w:val="18"/>
                <w:szCs w:val="18"/>
                <w:lang w:eastAsia="el-GR"/>
              </w:rPr>
            </w:pPr>
          </w:p>
        </w:tc>
      </w:tr>
    </w:tbl>
    <w:p w:rsidR="0079438C" w:rsidRPr="0079438C" w:rsidRDefault="0079438C" w:rsidP="0079438C">
      <w:pPr>
        <w:rPr>
          <w:lang w:val="en-US"/>
        </w:rPr>
      </w:pPr>
    </w:p>
    <w:p w:rsidR="008C44D1" w:rsidRDefault="008C44D1">
      <w:pPr>
        <w:spacing w:line="240" w:lineRule="auto"/>
        <w:jc w:val="left"/>
        <w:rPr>
          <w:szCs w:val="21"/>
          <w:lang w:val="en-US"/>
        </w:rPr>
      </w:pPr>
      <w:r>
        <w:rPr>
          <w:szCs w:val="21"/>
          <w:lang w:val="en-US"/>
        </w:rPr>
        <w:br w:type="page"/>
      </w:r>
    </w:p>
    <w:p w:rsidR="008C44D1" w:rsidRDefault="008C44D1" w:rsidP="008C44D1">
      <w:pPr>
        <w:pStyle w:val="Caption"/>
        <w:rPr>
          <w:lang w:val="en-US"/>
        </w:rPr>
      </w:pPr>
      <w:r>
        <w:lastRenderedPageBreak/>
        <w:t xml:space="preserve">Table </w:t>
      </w:r>
      <w:r w:rsidR="008135ED">
        <w:fldChar w:fldCharType="begin"/>
      </w:r>
      <w:r w:rsidR="00F15E0D">
        <w:instrText xml:space="preserve"> STYLEREF 1 \s </w:instrText>
      </w:r>
      <w:r w:rsidR="008135ED">
        <w:fldChar w:fldCharType="separate"/>
      </w:r>
      <w:r>
        <w:rPr>
          <w:noProof/>
        </w:rPr>
        <w:t>2</w:t>
      </w:r>
      <w:r w:rsidR="008135ED">
        <w:rPr>
          <w:noProof/>
        </w:rPr>
        <w:fldChar w:fldCharType="end"/>
      </w:r>
      <w:r>
        <w:t>.8</w:t>
      </w:r>
      <w:r>
        <w:tab/>
        <w:t>P</w:t>
      </w:r>
      <w:r>
        <w:rPr>
          <w:lang w:val="en-US"/>
        </w:rPr>
        <w:t xml:space="preserve">arameters relevant to MSFD indicator 5.3.1: Frequency of reporting to the RSCs by CP and frequency of use by MS for MSFD reporting </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3"/>
        <w:gridCol w:w="2268"/>
        <w:gridCol w:w="1817"/>
        <w:gridCol w:w="1692"/>
        <w:gridCol w:w="1428"/>
        <w:gridCol w:w="1077"/>
        <w:gridCol w:w="1467"/>
      </w:tblGrid>
      <w:tr w:rsidR="008C44D1" w:rsidRPr="008C44D1" w:rsidTr="008C44D1">
        <w:trPr>
          <w:trHeight w:val="581"/>
        </w:trPr>
        <w:tc>
          <w:tcPr>
            <w:tcW w:w="2633" w:type="dxa"/>
            <w:shd w:val="clear" w:color="auto" w:fill="D9D9D9" w:themeFill="background1" w:themeFillShade="D9"/>
          </w:tcPr>
          <w:p w:rsidR="008C44D1" w:rsidRPr="0080069B" w:rsidRDefault="008C44D1" w:rsidP="00AE3062">
            <w:pPr>
              <w:autoSpaceDE w:val="0"/>
              <w:autoSpaceDN w:val="0"/>
              <w:adjustRightInd w:val="0"/>
              <w:spacing w:line="240" w:lineRule="auto"/>
              <w:rPr>
                <w:color w:val="000000"/>
                <w:sz w:val="18"/>
                <w:szCs w:val="18"/>
              </w:rPr>
            </w:pPr>
            <w:r w:rsidRPr="008C44D1">
              <w:rPr>
                <w:color w:val="000000"/>
                <w:sz w:val="18"/>
                <w:szCs w:val="18"/>
                <w:lang w:val="en-US"/>
              </w:rPr>
              <w:t>I</w:t>
            </w:r>
            <w:r w:rsidR="00AE3062" w:rsidRPr="0080069B">
              <w:rPr>
                <w:color w:val="000000"/>
                <w:sz w:val="18"/>
                <w:szCs w:val="18"/>
              </w:rPr>
              <w:t>n</w:t>
            </w:r>
            <w:r w:rsidR="00AE3062">
              <w:rPr>
                <w:color w:val="000000"/>
                <w:sz w:val="18"/>
                <w:szCs w:val="18"/>
              </w:rPr>
              <w:t>d</w:t>
            </w:r>
            <w:r w:rsidR="00AE3062" w:rsidRPr="0080069B">
              <w:rPr>
                <w:color w:val="000000"/>
                <w:sz w:val="18"/>
                <w:szCs w:val="18"/>
              </w:rPr>
              <w:t>icator</w:t>
            </w:r>
            <w:r w:rsidRPr="0080069B">
              <w:rPr>
                <w:color w:val="000000"/>
                <w:sz w:val="18"/>
                <w:szCs w:val="18"/>
              </w:rPr>
              <w:t xml:space="preserve"> 5.3.1</w:t>
            </w:r>
          </w:p>
        </w:tc>
        <w:tc>
          <w:tcPr>
            <w:tcW w:w="2268" w:type="dxa"/>
            <w:shd w:val="clear" w:color="auto" w:fill="D9D9D9" w:themeFill="background1" w:themeFillShade="D9"/>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Perennial seaweeds</w:t>
            </w:r>
          </w:p>
        </w:tc>
        <w:tc>
          <w:tcPr>
            <w:tcW w:w="1817" w:type="dxa"/>
            <w:shd w:val="clear" w:color="auto" w:fill="D9D9D9" w:themeFill="background1" w:themeFillShade="D9"/>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Phytobenthos distribution</w:t>
            </w:r>
          </w:p>
        </w:tc>
        <w:tc>
          <w:tcPr>
            <w:tcW w:w="1692" w:type="dxa"/>
            <w:shd w:val="clear" w:color="auto" w:fill="D9D9D9" w:themeFill="background1" w:themeFillShade="D9"/>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Seagrasses distribution</w:t>
            </w:r>
          </w:p>
        </w:tc>
        <w:tc>
          <w:tcPr>
            <w:tcW w:w="1428" w:type="dxa"/>
            <w:shd w:val="clear" w:color="auto" w:fill="D9D9D9" w:themeFill="background1" w:themeFillShade="D9"/>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Macroalgae abundance</w:t>
            </w:r>
          </w:p>
        </w:tc>
        <w:tc>
          <w:tcPr>
            <w:tcW w:w="1077" w:type="dxa"/>
            <w:shd w:val="clear" w:color="auto" w:fill="D9D9D9" w:themeFill="background1" w:themeFillShade="D9"/>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MM Skew index</w:t>
            </w:r>
          </w:p>
        </w:tc>
        <w:tc>
          <w:tcPr>
            <w:tcW w:w="1467" w:type="dxa"/>
            <w:shd w:val="clear" w:color="auto" w:fill="D9D9D9" w:themeFill="background1" w:themeFillShade="D9"/>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Macroalgae condition</w:t>
            </w:r>
          </w:p>
        </w:tc>
      </w:tr>
      <w:tr w:rsidR="008C44D1" w:rsidRPr="0080069B" w:rsidTr="008C44D1">
        <w:trPr>
          <w:trHeight w:val="290"/>
        </w:trPr>
        <w:tc>
          <w:tcPr>
            <w:tcW w:w="2633" w:type="dxa"/>
            <w:shd w:val="clear" w:color="auto" w:fill="D9D9D9" w:themeFill="background1" w:themeFillShade="D9"/>
          </w:tcPr>
          <w:p w:rsidR="008C44D1" w:rsidRPr="00655104" w:rsidRDefault="008C44D1" w:rsidP="00075442">
            <w:pPr>
              <w:autoSpaceDE w:val="0"/>
              <w:autoSpaceDN w:val="0"/>
              <w:adjustRightInd w:val="0"/>
              <w:spacing w:line="240" w:lineRule="auto"/>
              <w:rPr>
                <w:color w:val="000000"/>
                <w:sz w:val="18"/>
                <w:szCs w:val="18"/>
              </w:rPr>
            </w:pPr>
            <w:r w:rsidRPr="00655104">
              <w:rPr>
                <w:color w:val="000000"/>
                <w:sz w:val="18"/>
                <w:szCs w:val="18"/>
              </w:rPr>
              <w:t>OSPAR</w:t>
            </w:r>
          </w:p>
        </w:tc>
        <w:tc>
          <w:tcPr>
            <w:tcW w:w="226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FF3C93">
        <w:trPr>
          <w:trHeight w:val="290"/>
        </w:trPr>
        <w:tc>
          <w:tcPr>
            <w:tcW w:w="2633" w:type="dxa"/>
            <w:shd w:val="clear" w:color="auto" w:fill="D9D9D9" w:themeFill="background1" w:themeFillShade="D9"/>
          </w:tcPr>
          <w:p w:rsidR="00A60C9C" w:rsidRDefault="008C44D1">
            <w:pPr>
              <w:autoSpaceDE w:val="0"/>
              <w:autoSpaceDN w:val="0"/>
              <w:adjustRightInd w:val="0"/>
              <w:spacing w:line="240" w:lineRule="auto"/>
              <w:ind w:left="227"/>
              <w:rPr>
                <w:noProof/>
                <w:color w:val="000000"/>
                <w:sz w:val="18"/>
                <w:szCs w:val="18"/>
                <w:lang w:val="en-US"/>
              </w:rPr>
            </w:pPr>
            <w:r w:rsidRPr="00655104">
              <w:rPr>
                <w:color w:val="000000"/>
                <w:sz w:val="18"/>
                <w:szCs w:val="18"/>
              </w:rPr>
              <w:t xml:space="preserve">MSFD art 8,9, 10 </w:t>
            </w:r>
            <w:r w:rsidRPr="008C44D1">
              <w:rPr>
                <w:color w:val="000000"/>
                <w:sz w:val="18"/>
                <w:szCs w:val="18"/>
                <w:lang w:val="en-US"/>
              </w:rPr>
              <w:t>*</w:t>
            </w:r>
          </w:p>
        </w:tc>
        <w:tc>
          <w:tcPr>
            <w:tcW w:w="2268" w:type="dxa"/>
            <w:shd w:val="clear" w:color="auto" w:fill="92D050"/>
          </w:tcPr>
          <w:p w:rsidR="008C44D1" w:rsidRPr="0080069B" w:rsidRDefault="00AD6D29" w:rsidP="00075442">
            <w:pPr>
              <w:autoSpaceDE w:val="0"/>
              <w:autoSpaceDN w:val="0"/>
              <w:adjustRightInd w:val="0"/>
              <w:spacing w:line="240" w:lineRule="auto"/>
              <w:rPr>
                <w:color w:val="000000"/>
                <w:sz w:val="18"/>
                <w:szCs w:val="18"/>
              </w:rPr>
            </w:pPr>
            <w:r w:rsidRPr="0080069B">
              <w:rPr>
                <w:color w:val="000000"/>
                <w:sz w:val="18"/>
                <w:szCs w:val="18"/>
              </w:rPr>
              <w:t>X</w:t>
            </w: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428"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8C44D1">
        <w:trPr>
          <w:trHeight w:val="290"/>
        </w:trPr>
        <w:tc>
          <w:tcPr>
            <w:tcW w:w="2633" w:type="dxa"/>
            <w:shd w:val="clear" w:color="auto" w:fill="D9D9D9" w:themeFill="background1" w:themeFillShade="D9"/>
          </w:tcPr>
          <w:p w:rsidR="008C44D1" w:rsidRPr="00655104" w:rsidRDefault="008C44D1" w:rsidP="00075442">
            <w:pPr>
              <w:autoSpaceDE w:val="0"/>
              <w:autoSpaceDN w:val="0"/>
              <w:adjustRightInd w:val="0"/>
              <w:spacing w:line="240" w:lineRule="auto"/>
              <w:rPr>
                <w:color w:val="000000"/>
                <w:sz w:val="18"/>
                <w:szCs w:val="18"/>
              </w:rPr>
            </w:pPr>
            <w:r w:rsidRPr="00655104">
              <w:rPr>
                <w:color w:val="000000"/>
                <w:sz w:val="18"/>
                <w:szCs w:val="18"/>
              </w:rPr>
              <w:t>HELCOM</w:t>
            </w:r>
          </w:p>
        </w:tc>
        <w:tc>
          <w:tcPr>
            <w:tcW w:w="226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8C44D1">
        <w:trPr>
          <w:trHeight w:val="290"/>
        </w:trPr>
        <w:tc>
          <w:tcPr>
            <w:tcW w:w="2633" w:type="dxa"/>
            <w:shd w:val="clear" w:color="auto" w:fill="D9D9D9" w:themeFill="background1" w:themeFillShade="D9"/>
          </w:tcPr>
          <w:p w:rsidR="00A60C9C" w:rsidRDefault="008C44D1">
            <w:pPr>
              <w:autoSpaceDE w:val="0"/>
              <w:autoSpaceDN w:val="0"/>
              <w:adjustRightInd w:val="0"/>
              <w:spacing w:line="240" w:lineRule="auto"/>
              <w:ind w:left="227"/>
              <w:rPr>
                <w:noProof/>
                <w:color w:val="000000"/>
                <w:sz w:val="18"/>
                <w:szCs w:val="18"/>
                <w:lang w:val="en-US"/>
              </w:rPr>
            </w:pPr>
            <w:r w:rsidRPr="00655104">
              <w:rPr>
                <w:color w:val="000000"/>
                <w:sz w:val="18"/>
                <w:szCs w:val="18"/>
              </w:rPr>
              <w:t xml:space="preserve">MSFD art 8,9, 10 </w:t>
            </w:r>
            <w:r w:rsidRPr="008C44D1">
              <w:rPr>
                <w:color w:val="000000"/>
                <w:sz w:val="18"/>
                <w:szCs w:val="18"/>
                <w:lang w:val="en-US"/>
              </w:rPr>
              <w:t>*</w:t>
            </w:r>
          </w:p>
        </w:tc>
        <w:tc>
          <w:tcPr>
            <w:tcW w:w="2268" w:type="dxa"/>
            <w:shd w:val="solid" w:color="FF0000" w:fill="auto"/>
          </w:tcPr>
          <w:p w:rsidR="008C44D1" w:rsidRPr="0080069B" w:rsidRDefault="00AD6D29" w:rsidP="00075442">
            <w:pPr>
              <w:autoSpaceDE w:val="0"/>
              <w:autoSpaceDN w:val="0"/>
              <w:adjustRightInd w:val="0"/>
              <w:spacing w:line="240" w:lineRule="auto"/>
              <w:rPr>
                <w:color w:val="000000"/>
                <w:sz w:val="18"/>
                <w:szCs w:val="18"/>
              </w:rPr>
            </w:pPr>
            <w:r w:rsidRPr="0080069B">
              <w:rPr>
                <w:color w:val="000000"/>
                <w:sz w:val="18"/>
                <w:szCs w:val="18"/>
              </w:rPr>
              <w:t>X</w:t>
            </w:r>
          </w:p>
        </w:tc>
        <w:tc>
          <w:tcPr>
            <w:tcW w:w="1817" w:type="dxa"/>
            <w:shd w:val="solid" w:color="FFFF00"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692"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r>
      <w:tr w:rsidR="008C44D1" w:rsidRPr="0080069B" w:rsidTr="008C44D1">
        <w:trPr>
          <w:trHeight w:val="290"/>
        </w:trPr>
        <w:tc>
          <w:tcPr>
            <w:tcW w:w="2633" w:type="dxa"/>
            <w:shd w:val="clear" w:color="auto" w:fill="D9D9D9" w:themeFill="background1" w:themeFillShade="D9"/>
          </w:tcPr>
          <w:p w:rsidR="008C44D1" w:rsidRPr="00655104" w:rsidRDefault="008C44D1" w:rsidP="00075442">
            <w:pPr>
              <w:autoSpaceDE w:val="0"/>
              <w:autoSpaceDN w:val="0"/>
              <w:adjustRightInd w:val="0"/>
              <w:spacing w:line="240" w:lineRule="auto"/>
              <w:rPr>
                <w:color w:val="000000"/>
                <w:sz w:val="18"/>
                <w:szCs w:val="18"/>
                <w:lang w:val="en-US"/>
              </w:rPr>
            </w:pPr>
            <w:r w:rsidRPr="008C44D1">
              <w:rPr>
                <w:color w:val="000000"/>
                <w:sz w:val="18"/>
                <w:szCs w:val="18"/>
                <w:lang w:val="en-US"/>
              </w:rPr>
              <w:t>UNEP/M</w:t>
            </w:r>
            <w:r w:rsidR="00AD2B97" w:rsidRPr="008C44D1">
              <w:rPr>
                <w:color w:val="000000"/>
                <w:sz w:val="18"/>
                <w:szCs w:val="18"/>
                <w:lang w:val="en-US"/>
              </w:rPr>
              <w:t>a</w:t>
            </w:r>
            <w:r w:rsidRPr="008C44D1">
              <w:rPr>
                <w:color w:val="000000"/>
                <w:sz w:val="18"/>
                <w:szCs w:val="18"/>
                <w:lang w:val="en-US"/>
              </w:rPr>
              <w:t>p</w:t>
            </w:r>
          </w:p>
        </w:tc>
        <w:tc>
          <w:tcPr>
            <w:tcW w:w="226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8C44D1">
        <w:trPr>
          <w:trHeight w:val="290"/>
        </w:trPr>
        <w:tc>
          <w:tcPr>
            <w:tcW w:w="2633" w:type="dxa"/>
            <w:shd w:val="clear" w:color="auto" w:fill="D9D9D9" w:themeFill="background1" w:themeFillShade="D9"/>
          </w:tcPr>
          <w:p w:rsidR="00A60C9C" w:rsidRDefault="008C44D1">
            <w:pPr>
              <w:autoSpaceDE w:val="0"/>
              <w:autoSpaceDN w:val="0"/>
              <w:adjustRightInd w:val="0"/>
              <w:spacing w:line="240" w:lineRule="auto"/>
              <w:ind w:left="227"/>
              <w:rPr>
                <w:noProof/>
                <w:color w:val="000000"/>
                <w:sz w:val="18"/>
                <w:szCs w:val="18"/>
                <w:lang w:val="en-US"/>
              </w:rPr>
            </w:pPr>
            <w:r w:rsidRPr="00655104">
              <w:rPr>
                <w:color w:val="000000"/>
                <w:sz w:val="18"/>
                <w:szCs w:val="18"/>
              </w:rPr>
              <w:t xml:space="preserve">MSFD art 8,9, 10 </w:t>
            </w:r>
            <w:r w:rsidRPr="008C44D1">
              <w:rPr>
                <w:color w:val="000000"/>
                <w:sz w:val="18"/>
                <w:szCs w:val="18"/>
                <w:lang w:val="en-US"/>
              </w:rPr>
              <w:t>*</w:t>
            </w:r>
          </w:p>
        </w:tc>
        <w:tc>
          <w:tcPr>
            <w:tcW w:w="2268" w:type="dxa"/>
            <w:shd w:val="solid" w:color="00CCFF" w:fill="auto"/>
          </w:tcPr>
          <w:p w:rsidR="008C44D1" w:rsidRPr="0080069B" w:rsidRDefault="00AD6D29" w:rsidP="00075442">
            <w:pPr>
              <w:autoSpaceDE w:val="0"/>
              <w:autoSpaceDN w:val="0"/>
              <w:adjustRightInd w:val="0"/>
              <w:spacing w:line="240" w:lineRule="auto"/>
              <w:rPr>
                <w:color w:val="000000"/>
                <w:sz w:val="18"/>
                <w:szCs w:val="18"/>
              </w:rPr>
            </w:pPr>
            <w:r w:rsidRPr="0080069B">
              <w:rPr>
                <w:color w:val="000000"/>
                <w:sz w:val="18"/>
                <w:szCs w:val="18"/>
              </w:rPr>
              <w:t>X</w:t>
            </w: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428"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077" w:type="dxa"/>
            <w:shd w:val="solid" w:color="00CCFF"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8C44D1">
        <w:trPr>
          <w:trHeight w:val="290"/>
        </w:trPr>
        <w:tc>
          <w:tcPr>
            <w:tcW w:w="2633" w:type="dxa"/>
            <w:shd w:val="clear" w:color="auto" w:fill="D9D9D9" w:themeFill="background1" w:themeFillShade="D9"/>
          </w:tcPr>
          <w:p w:rsidR="008C44D1" w:rsidRPr="00655104" w:rsidRDefault="008C44D1" w:rsidP="00075442">
            <w:pPr>
              <w:autoSpaceDE w:val="0"/>
              <w:autoSpaceDN w:val="0"/>
              <w:adjustRightInd w:val="0"/>
              <w:spacing w:line="240" w:lineRule="auto"/>
              <w:rPr>
                <w:color w:val="000000"/>
                <w:sz w:val="18"/>
                <w:szCs w:val="18"/>
                <w:lang w:val="en-US"/>
              </w:rPr>
            </w:pPr>
            <w:r w:rsidRPr="008C44D1">
              <w:rPr>
                <w:color w:val="000000"/>
                <w:sz w:val="18"/>
                <w:szCs w:val="18"/>
                <w:lang w:val="en-US"/>
              </w:rPr>
              <w:t>BSC</w:t>
            </w:r>
          </w:p>
        </w:tc>
        <w:tc>
          <w:tcPr>
            <w:tcW w:w="226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817" w:type="dxa"/>
            <w:shd w:val="solid" w:color="FFFF00" w:fill="auto"/>
          </w:tcPr>
          <w:p w:rsidR="008C44D1" w:rsidRPr="0080069B" w:rsidRDefault="008C44D1" w:rsidP="00075442">
            <w:pPr>
              <w:autoSpaceDE w:val="0"/>
              <w:autoSpaceDN w:val="0"/>
              <w:adjustRightInd w:val="0"/>
              <w:spacing w:line="240" w:lineRule="auto"/>
              <w:rPr>
                <w:color w:val="000000"/>
                <w:sz w:val="18"/>
                <w:szCs w:val="18"/>
              </w:rPr>
            </w:pPr>
            <w:r w:rsidRPr="0080069B">
              <w:rPr>
                <w:color w:val="000000"/>
                <w:sz w:val="18"/>
                <w:szCs w:val="18"/>
              </w:rPr>
              <w:t>x</w:t>
            </w: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8C44D1">
        <w:trPr>
          <w:trHeight w:val="290"/>
        </w:trPr>
        <w:tc>
          <w:tcPr>
            <w:tcW w:w="2633" w:type="dxa"/>
            <w:shd w:val="clear" w:color="auto" w:fill="D9D9D9" w:themeFill="background1" w:themeFillShade="D9"/>
          </w:tcPr>
          <w:p w:rsidR="00A60C9C" w:rsidRDefault="008C44D1">
            <w:pPr>
              <w:autoSpaceDE w:val="0"/>
              <w:autoSpaceDN w:val="0"/>
              <w:adjustRightInd w:val="0"/>
              <w:spacing w:line="240" w:lineRule="auto"/>
              <w:ind w:left="227"/>
              <w:rPr>
                <w:noProof/>
                <w:color w:val="000000"/>
                <w:sz w:val="18"/>
                <w:szCs w:val="18"/>
                <w:lang w:val="en-US"/>
              </w:rPr>
            </w:pPr>
            <w:r w:rsidRPr="00655104">
              <w:rPr>
                <w:color w:val="000000"/>
                <w:sz w:val="18"/>
                <w:szCs w:val="18"/>
              </w:rPr>
              <w:t xml:space="preserve">MSFD art 8,9, 10 </w:t>
            </w:r>
            <w:r w:rsidRPr="008C44D1">
              <w:rPr>
                <w:color w:val="000000"/>
                <w:sz w:val="18"/>
                <w:szCs w:val="18"/>
                <w:lang w:val="en-US"/>
              </w:rPr>
              <w:t>*</w:t>
            </w:r>
          </w:p>
        </w:tc>
        <w:tc>
          <w:tcPr>
            <w:tcW w:w="2268" w:type="dxa"/>
            <w:shd w:val="solid" w:color="FFFF00" w:fill="auto"/>
          </w:tcPr>
          <w:p w:rsidR="008C44D1" w:rsidRPr="0080069B" w:rsidRDefault="00AD6D29" w:rsidP="00075442">
            <w:pPr>
              <w:autoSpaceDE w:val="0"/>
              <w:autoSpaceDN w:val="0"/>
              <w:adjustRightInd w:val="0"/>
              <w:spacing w:line="240" w:lineRule="auto"/>
              <w:rPr>
                <w:color w:val="000000"/>
                <w:sz w:val="18"/>
                <w:szCs w:val="18"/>
              </w:rPr>
            </w:pPr>
            <w:r w:rsidRPr="0080069B">
              <w:rPr>
                <w:color w:val="000000"/>
                <w:sz w:val="18"/>
                <w:szCs w:val="18"/>
              </w:rPr>
              <w:t>X</w:t>
            </w: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075442">
        <w:trPr>
          <w:trHeight w:val="290"/>
        </w:trPr>
        <w:tc>
          <w:tcPr>
            <w:tcW w:w="2633" w:type="dxa"/>
            <w:shd w:val="clear" w:color="auto" w:fill="D9D9D9" w:themeFill="background1" w:themeFillShade="D9"/>
          </w:tcPr>
          <w:p w:rsidR="008C44D1" w:rsidRPr="00655104" w:rsidRDefault="008C44D1" w:rsidP="00075442">
            <w:pPr>
              <w:autoSpaceDE w:val="0"/>
              <w:autoSpaceDN w:val="0"/>
              <w:adjustRightInd w:val="0"/>
              <w:spacing w:line="240" w:lineRule="auto"/>
              <w:rPr>
                <w:color w:val="000000"/>
                <w:sz w:val="18"/>
                <w:szCs w:val="18"/>
              </w:rPr>
            </w:pPr>
            <w:r w:rsidRPr="00655104">
              <w:rPr>
                <w:color w:val="000000"/>
                <w:sz w:val="18"/>
                <w:szCs w:val="18"/>
              </w:rPr>
              <w:t>WFD</w:t>
            </w:r>
            <w:r w:rsidR="00740BA3">
              <w:rPr>
                <w:color w:val="000000"/>
                <w:sz w:val="18"/>
                <w:szCs w:val="18"/>
              </w:rPr>
              <w:t>*</w:t>
            </w:r>
          </w:p>
        </w:tc>
        <w:tc>
          <w:tcPr>
            <w:tcW w:w="226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740BA3" w:rsidP="00740BA3">
            <w:pPr>
              <w:autoSpaceDE w:val="0"/>
              <w:autoSpaceDN w:val="0"/>
              <w:adjustRightInd w:val="0"/>
              <w:spacing w:line="240" w:lineRule="auto"/>
              <w:jc w:val="left"/>
              <w:rPr>
                <w:color w:val="000000"/>
                <w:sz w:val="18"/>
                <w:szCs w:val="18"/>
              </w:rPr>
            </w:pPr>
            <w:r>
              <w:rPr>
                <w:color w:val="000000"/>
                <w:sz w:val="18"/>
                <w:szCs w:val="18"/>
              </w:rPr>
              <w:t>x</w:t>
            </w: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r w:rsidR="008C44D1" w:rsidRPr="0080069B" w:rsidTr="00075442">
        <w:trPr>
          <w:trHeight w:val="302"/>
        </w:trPr>
        <w:tc>
          <w:tcPr>
            <w:tcW w:w="2633" w:type="dxa"/>
            <w:shd w:val="clear" w:color="auto" w:fill="D9D9D9" w:themeFill="background1" w:themeFillShade="D9"/>
          </w:tcPr>
          <w:p w:rsidR="008C44D1" w:rsidRPr="00655104" w:rsidRDefault="008C44D1" w:rsidP="00075442">
            <w:pPr>
              <w:autoSpaceDE w:val="0"/>
              <w:autoSpaceDN w:val="0"/>
              <w:adjustRightInd w:val="0"/>
              <w:spacing w:line="240" w:lineRule="auto"/>
              <w:rPr>
                <w:color w:val="000000"/>
                <w:sz w:val="18"/>
                <w:szCs w:val="18"/>
              </w:rPr>
            </w:pPr>
            <w:r w:rsidRPr="00655104">
              <w:rPr>
                <w:color w:val="000000"/>
                <w:sz w:val="18"/>
                <w:szCs w:val="18"/>
              </w:rPr>
              <w:t>EEA</w:t>
            </w:r>
          </w:p>
        </w:tc>
        <w:tc>
          <w:tcPr>
            <w:tcW w:w="226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81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692"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28"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077" w:type="dxa"/>
          </w:tcPr>
          <w:p w:rsidR="008C44D1" w:rsidRPr="0080069B" w:rsidRDefault="008C44D1" w:rsidP="00075442">
            <w:pPr>
              <w:autoSpaceDE w:val="0"/>
              <w:autoSpaceDN w:val="0"/>
              <w:adjustRightInd w:val="0"/>
              <w:spacing w:line="240" w:lineRule="auto"/>
              <w:jc w:val="right"/>
              <w:rPr>
                <w:color w:val="000000"/>
                <w:sz w:val="18"/>
                <w:szCs w:val="18"/>
              </w:rPr>
            </w:pPr>
          </w:p>
        </w:tc>
        <w:tc>
          <w:tcPr>
            <w:tcW w:w="1467" w:type="dxa"/>
          </w:tcPr>
          <w:p w:rsidR="008C44D1" w:rsidRPr="0080069B" w:rsidRDefault="008C44D1" w:rsidP="00075442">
            <w:pPr>
              <w:autoSpaceDE w:val="0"/>
              <w:autoSpaceDN w:val="0"/>
              <w:adjustRightInd w:val="0"/>
              <w:spacing w:line="240" w:lineRule="auto"/>
              <w:jc w:val="right"/>
              <w:rPr>
                <w:color w:val="000000"/>
                <w:sz w:val="18"/>
                <w:szCs w:val="18"/>
              </w:rPr>
            </w:pPr>
          </w:p>
        </w:tc>
      </w:tr>
    </w:tbl>
    <w:p w:rsidR="008C44D1" w:rsidRPr="00B4323C" w:rsidRDefault="008C44D1" w:rsidP="008C44D1">
      <w:pPr>
        <w:pStyle w:val="ListParagraph"/>
        <w:spacing w:line="240" w:lineRule="auto"/>
        <w:ind w:left="0"/>
        <w:rPr>
          <w:sz w:val="16"/>
          <w:szCs w:val="16"/>
          <w:lang w:val="en-US"/>
        </w:rPr>
      </w:pPr>
      <w:r w:rsidRPr="00B4323C">
        <w:rPr>
          <w:sz w:val="16"/>
          <w:szCs w:val="16"/>
          <w:lang w:val="en-US"/>
        </w:rPr>
        <w:t>* Palialexis et</w:t>
      </w:r>
      <w:r>
        <w:rPr>
          <w:sz w:val="16"/>
          <w:szCs w:val="16"/>
          <w:lang w:val="en-US"/>
        </w:rPr>
        <w:t xml:space="preserve"> al. </w:t>
      </w:r>
      <w:r w:rsidRPr="00B4323C">
        <w:rPr>
          <w:sz w:val="16"/>
          <w:szCs w:val="16"/>
          <w:lang w:val="en-US"/>
        </w:rPr>
        <w:t>2014</w:t>
      </w:r>
    </w:p>
    <w:tbl>
      <w:tblPr>
        <w:tblStyle w:val="TableGrid"/>
        <w:tblW w:w="0" w:type="auto"/>
        <w:tblLook w:val="04A0"/>
      </w:tblPr>
      <w:tblGrid>
        <w:gridCol w:w="1018"/>
        <w:gridCol w:w="937"/>
        <w:gridCol w:w="837"/>
        <w:gridCol w:w="837"/>
        <w:gridCol w:w="837"/>
        <w:gridCol w:w="737"/>
      </w:tblGrid>
      <w:tr w:rsidR="008C44D1" w:rsidRPr="00B4323C" w:rsidTr="00075442">
        <w:tc>
          <w:tcPr>
            <w:tcW w:w="0" w:type="auto"/>
            <w:vAlign w:val="bottom"/>
          </w:tcPr>
          <w:p w:rsidR="008C44D1" w:rsidRPr="00B4323C" w:rsidRDefault="008C44D1" w:rsidP="00075442">
            <w:pPr>
              <w:tabs>
                <w:tab w:val="left" w:pos="3537"/>
              </w:tabs>
              <w:ind w:left="-49"/>
              <w:rPr>
                <w:rFonts w:cs="Times New Roman"/>
                <w:color w:val="000000"/>
                <w:sz w:val="18"/>
                <w:szCs w:val="18"/>
                <w:lang w:eastAsia="el-GR"/>
              </w:rPr>
            </w:pPr>
            <w:r w:rsidRPr="00B4323C">
              <w:rPr>
                <w:rFonts w:cs="Times New Roman"/>
                <w:color w:val="000000"/>
                <w:sz w:val="18"/>
                <w:szCs w:val="18"/>
                <w:lang w:eastAsia="el-GR"/>
              </w:rPr>
              <w:t>Frequency</w:t>
            </w:r>
          </w:p>
        </w:tc>
        <w:tc>
          <w:tcPr>
            <w:tcW w:w="0" w:type="auto"/>
            <w:shd w:val="clear" w:color="auto" w:fill="FF0000"/>
            <w:vAlign w:val="bottom"/>
          </w:tcPr>
          <w:p w:rsidR="008C44D1" w:rsidRPr="00B4323C" w:rsidRDefault="008C44D1" w:rsidP="00075442">
            <w:pPr>
              <w:jc w:val="center"/>
              <w:rPr>
                <w:rFonts w:cs="Times New Roman"/>
                <w:color w:val="FF0000"/>
                <w:sz w:val="18"/>
                <w:szCs w:val="18"/>
                <w:lang w:eastAsia="el-GR"/>
              </w:rPr>
            </w:pPr>
            <w:r w:rsidRPr="00B4323C">
              <w:rPr>
                <w:rFonts w:cs="Times New Roman"/>
                <w:color w:val="000000"/>
                <w:sz w:val="18"/>
                <w:szCs w:val="18"/>
                <w:lang w:eastAsia="el-GR"/>
              </w:rPr>
              <w:t>100-81%</w:t>
            </w:r>
          </w:p>
        </w:tc>
        <w:tc>
          <w:tcPr>
            <w:tcW w:w="0" w:type="auto"/>
            <w:shd w:val="clear" w:color="auto" w:fill="FFC000"/>
            <w:vAlign w:val="bottom"/>
          </w:tcPr>
          <w:p w:rsidR="008C44D1" w:rsidRPr="00B4323C" w:rsidRDefault="008C44D1" w:rsidP="00075442">
            <w:pPr>
              <w:jc w:val="center"/>
              <w:rPr>
                <w:rFonts w:cs="Times New Roman"/>
                <w:color w:val="000000"/>
                <w:sz w:val="18"/>
                <w:szCs w:val="18"/>
                <w:lang w:eastAsia="el-GR"/>
              </w:rPr>
            </w:pPr>
            <w:r w:rsidRPr="00B4323C">
              <w:rPr>
                <w:rFonts w:cs="Times New Roman"/>
                <w:color w:val="000000"/>
                <w:sz w:val="18"/>
                <w:szCs w:val="18"/>
                <w:lang w:eastAsia="el-GR"/>
              </w:rPr>
              <w:t>80-61%</w:t>
            </w:r>
          </w:p>
        </w:tc>
        <w:tc>
          <w:tcPr>
            <w:tcW w:w="0" w:type="auto"/>
            <w:shd w:val="clear" w:color="auto" w:fill="FFFF00"/>
            <w:vAlign w:val="bottom"/>
          </w:tcPr>
          <w:p w:rsidR="008C44D1" w:rsidRPr="00B4323C" w:rsidRDefault="008C44D1" w:rsidP="00075442">
            <w:pPr>
              <w:jc w:val="center"/>
              <w:rPr>
                <w:rFonts w:cs="Times New Roman"/>
                <w:color w:val="000000"/>
                <w:sz w:val="18"/>
                <w:szCs w:val="18"/>
                <w:lang w:eastAsia="el-GR"/>
              </w:rPr>
            </w:pPr>
            <w:r w:rsidRPr="00B4323C">
              <w:rPr>
                <w:rFonts w:cs="Times New Roman"/>
                <w:color w:val="000000"/>
                <w:sz w:val="18"/>
                <w:szCs w:val="18"/>
                <w:lang w:eastAsia="el-GR"/>
              </w:rPr>
              <w:t>60-41%</w:t>
            </w:r>
          </w:p>
        </w:tc>
        <w:tc>
          <w:tcPr>
            <w:tcW w:w="0" w:type="auto"/>
            <w:shd w:val="clear" w:color="auto" w:fill="92D050"/>
            <w:vAlign w:val="bottom"/>
          </w:tcPr>
          <w:p w:rsidR="008C44D1" w:rsidRPr="00B4323C" w:rsidRDefault="008C44D1" w:rsidP="00075442">
            <w:pPr>
              <w:jc w:val="center"/>
              <w:rPr>
                <w:rFonts w:cs="Times New Roman"/>
                <w:color w:val="000000"/>
                <w:sz w:val="18"/>
                <w:szCs w:val="18"/>
                <w:lang w:eastAsia="el-GR"/>
              </w:rPr>
            </w:pPr>
            <w:r w:rsidRPr="00B4323C">
              <w:rPr>
                <w:rFonts w:cs="Times New Roman"/>
                <w:color w:val="000000"/>
                <w:sz w:val="18"/>
                <w:szCs w:val="18"/>
                <w:lang w:eastAsia="el-GR"/>
              </w:rPr>
              <w:t>40-21%</w:t>
            </w:r>
          </w:p>
        </w:tc>
        <w:tc>
          <w:tcPr>
            <w:tcW w:w="0" w:type="auto"/>
            <w:shd w:val="clear" w:color="auto" w:fill="00B0F0"/>
            <w:vAlign w:val="bottom"/>
          </w:tcPr>
          <w:p w:rsidR="008C44D1" w:rsidRPr="00B4323C" w:rsidRDefault="008C44D1" w:rsidP="00075442">
            <w:pPr>
              <w:jc w:val="center"/>
              <w:rPr>
                <w:rFonts w:cs="Times New Roman"/>
                <w:color w:val="000000"/>
                <w:sz w:val="18"/>
                <w:szCs w:val="18"/>
                <w:lang w:eastAsia="el-GR"/>
              </w:rPr>
            </w:pPr>
            <w:r w:rsidRPr="00B4323C">
              <w:rPr>
                <w:rFonts w:cs="Times New Roman"/>
                <w:color w:val="000000"/>
                <w:sz w:val="18"/>
                <w:szCs w:val="18"/>
                <w:lang w:eastAsia="el-GR"/>
              </w:rPr>
              <w:t>20-0%</w:t>
            </w:r>
          </w:p>
        </w:tc>
      </w:tr>
      <w:tr w:rsidR="008C44D1" w:rsidRPr="00B4323C" w:rsidTr="00075442">
        <w:tc>
          <w:tcPr>
            <w:tcW w:w="0" w:type="auto"/>
            <w:vAlign w:val="bottom"/>
          </w:tcPr>
          <w:p w:rsidR="008C44D1" w:rsidRPr="00B4323C" w:rsidRDefault="008C44D1" w:rsidP="00075442">
            <w:pPr>
              <w:tabs>
                <w:tab w:val="left" w:pos="3537"/>
              </w:tabs>
              <w:ind w:left="-49"/>
              <w:rPr>
                <w:rFonts w:cs="Times New Roman"/>
                <w:color w:val="000000"/>
                <w:sz w:val="18"/>
                <w:szCs w:val="18"/>
                <w:lang w:eastAsia="el-GR"/>
              </w:rPr>
            </w:pPr>
          </w:p>
        </w:tc>
        <w:tc>
          <w:tcPr>
            <w:tcW w:w="0" w:type="auto"/>
            <w:shd w:val="clear" w:color="auto" w:fill="FF0000"/>
            <w:vAlign w:val="bottom"/>
          </w:tcPr>
          <w:p w:rsidR="008C44D1" w:rsidRPr="00B4323C" w:rsidRDefault="008C44D1" w:rsidP="00075442">
            <w:pPr>
              <w:jc w:val="center"/>
              <w:rPr>
                <w:rFonts w:cs="Times New Roman"/>
                <w:color w:val="000000"/>
                <w:sz w:val="18"/>
                <w:szCs w:val="18"/>
                <w:lang w:eastAsia="el-GR"/>
              </w:rPr>
            </w:pPr>
          </w:p>
        </w:tc>
        <w:tc>
          <w:tcPr>
            <w:tcW w:w="0" w:type="auto"/>
            <w:shd w:val="clear" w:color="auto" w:fill="FFC000"/>
            <w:vAlign w:val="bottom"/>
          </w:tcPr>
          <w:p w:rsidR="008C44D1" w:rsidRPr="00B4323C" w:rsidRDefault="008C44D1" w:rsidP="00075442">
            <w:pPr>
              <w:jc w:val="center"/>
              <w:rPr>
                <w:rFonts w:cs="Times New Roman"/>
                <w:color w:val="000000"/>
                <w:sz w:val="18"/>
                <w:szCs w:val="18"/>
                <w:lang w:eastAsia="el-GR"/>
              </w:rPr>
            </w:pPr>
          </w:p>
        </w:tc>
        <w:tc>
          <w:tcPr>
            <w:tcW w:w="0" w:type="auto"/>
            <w:shd w:val="clear" w:color="auto" w:fill="FFFF00"/>
            <w:vAlign w:val="bottom"/>
          </w:tcPr>
          <w:p w:rsidR="008C44D1" w:rsidRPr="00B4323C" w:rsidRDefault="008C44D1" w:rsidP="00075442">
            <w:pPr>
              <w:jc w:val="center"/>
              <w:rPr>
                <w:rFonts w:cs="Times New Roman"/>
                <w:color w:val="000000"/>
                <w:sz w:val="18"/>
                <w:szCs w:val="18"/>
                <w:lang w:eastAsia="el-GR"/>
              </w:rPr>
            </w:pPr>
          </w:p>
        </w:tc>
        <w:tc>
          <w:tcPr>
            <w:tcW w:w="0" w:type="auto"/>
            <w:shd w:val="clear" w:color="auto" w:fill="92D050"/>
            <w:vAlign w:val="bottom"/>
          </w:tcPr>
          <w:p w:rsidR="008C44D1" w:rsidRPr="00B4323C" w:rsidRDefault="008C44D1" w:rsidP="00075442">
            <w:pPr>
              <w:jc w:val="center"/>
              <w:rPr>
                <w:rFonts w:cs="Times New Roman"/>
                <w:color w:val="000000"/>
                <w:sz w:val="18"/>
                <w:szCs w:val="18"/>
                <w:lang w:eastAsia="el-GR"/>
              </w:rPr>
            </w:pPr>
          </w:p>
        </w:tc>
        <w:tc>
          <w:tcPr>
            <w:tcW w:w="0" w:type="auto"/>
            <w:shd w:val="clear" w:color="auto" w:fill="00B0F0"/>
            <w:vAlign w:val="bottom"/>
          </w:tcPr>
          <w:p w:rsidR="008C44D1" w:rsidRPr="00B4323C" w:rsidRDefault="008C44D1" w:rsidP="00075442">
            <w:pPr>
              <w:jc w:val="center"/>
              <w:rPr>
                <w:rFonts w:cs="Times New Roman"/>
                <w:color w:val="000000"/>
                <w:sz w:val="18"/>
                <w:szCs w:val="18"/>
                <w:lang w:eastAsia="el-GR"/>
              </w:rPr>
            </w:pPr>
          </w:p>
        </w:tc>
      </w:tr>
    </w:tbl>
    <w:p w:rsidR="00AE3062" w:rsidRDefault="00AE3062" w:rsidP="008C44D1">
      <w:pPr>
        <w:pStyle w:val="Caption"/>
      </w:pPr>
    </w:p>
    <w:p w:rsidR="00AE3062" w:rsidRDefault="00AE3062" w:rsidP="008C44D1">
      <w:pPr>
        <w:pStyle w:val="Caption"/>
      </w:pPr>
    </w:p>
    <w:p w:rsidR="00AE3062" w:rsidRDefault="00AE3062">
      <w:pPr>
        <w:spacing w:line="240" w:lineRule="auto"/>
        <w:jc w:val="left"/>
        <w:rPr>
          <w:bCs/>
          <w:i/>
          <w:sz w:val="17"/>
          <w:szCs w:val="20"/>
        </w:rPr>
      </w:pPr>
      <w:r>
        <w:br w:type="page"/>
      </w:r>
    </w:p>
    <w:p w:rsidR="008C44D1" w:rsidRDefault="008C44D1" w:rsidP="008C44D1">
      <w:pPr>
        <w:pStyle w:val="Caption"/>
        <w:rPr>
          <w:lang w:val="en-US"/>
        </w:rPr>
      </w:pPr>
      <w:r>
        <w:lastRenderedPageBreak/>
        <w:t xml:space="preserve">Table </w:t>
      </w:r>
      <w:r w:rsidR="008135ED">
        <w:fldChar w:fldCharType="begin"/>
      </w:r>
      <w:r w:rsidR="00F15E0D">
        <w:instrText xml:space="preserve"> STYLEREF 1 \s </w:instrText>
      </w:r>
      <w:r w:rsidR="008135ED">
        <w:fldChar w:fldCharType="separate"/>
      </w:r>
      <w:r>
        <w:rPr>
          <w:noProof/>
        </w:rPr>
        <w:t>2</w:t>
      </w:r>
      <w:r w:rsidR="008135ED">
        <w:rPr>
          <w:noProof/>
        </w:rPr>
        <w:fldChar w:fldCharType="end"/>
      </w:r>
      <w:r>
        <w:t>.9</w:t>
      </w:r>
      <w:r>
        <w:tab/>
        <w:t>P</w:t>
      </w:r>
      <w:r>
        <w:rPr>
          <w:lang w:val="en-US"/>
        </w:rPr>
        <w:t xml:space="preserve">arameters relevant to MSFD indicator 5.3.2: Frequency of reporting to the RSCs by CP and frequency of use by MS for MSFD reporting </w:t>
      </w:r>
    </w:p>
    <w:tbl>
      <w:tblPr>
        <w:tblW w:w="3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1"/>
        <w:gridCol w:w="1462"/>
        <w:gridCol w:w="1303"/>
        <w:gridCol w:w="1075"/>
        <w:gridCol w:w="806"/>
        <w:gridCol w:w="939"/>
        <w:gridCol w:w="939"/>
        <w:gridCol w:w="806"/>
        <w:gridCol w:w="1075"/>
      </w:tblGrid>
      <w:tr w:rsidR="00AE3062" w:rsidRPr="00AE3062" w:rsidTr="00075442">
        <w:trPr>
          <w:trHeight w:val="581"/>
        </w:trPr>
        <w:tc>
          <w:tcPr>
            <w:tcW w:w="1026"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AE3062">
              <w:rPr>
                <w:rFonts w:ascii="Calibri" w:hAnsi="Calibri" w:cs="Calibri"/>
                <w:color w:val="000000"/>
                <w:sz w:val="18"/>
                <w:szCs w:val="18"/>
                <w:lang w:val="en-US"/>
              </w:rPr>
              <w:t>I</w:t>
            </w:r>
            <w:r w:rsidRPr="0080069B">
              <w:rPr>
                <w:rFonts w:ascii="Calibri" w:hAnsi="Calibri" w:cs="Calibri"/>
                <w:color w:val="000000"/>
                <w:sz w:val="18"/>
                <w:szCs w:val="18"/>
              </w:rPr>
              <w:t>ndicator 5.3.2</w:t>
            </w:r>
          </w:p>
        </w:tc>
        <w:tc>
          <w:tcPr>
            <w:tcW w:w="691"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DO</w:t>
            </w:r>
          </w:p>
        </w:tc>
        <w:tc>
          <w:tcPr>
            <w:tcW w:w="616"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Organic content</w:t>
            </w:r>
          </w:p>
        </w:tc>
        <w:tc>
          <w:tcPr>
            <w:tcW w:w="508"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 xml:space="preserve">BOD5 </w:t>
            </w:r>
          </w:p>
        </w:tc>
        <w:tc>
          <w:tcPr>
            <w:tcW w:w="381"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BQI</w:t>
            </w:r>
          </w:p>
        </w:tc>
        <w:tc>
          <w:tcPr>
            <w:tcW w:w="444"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M-AMBI</w:t>
            </w:r>
          </w:p>
        </w:tc>
        <w:tc>
          <w:tcPr>
            <w:tcW w:w="444"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Anoxia</w:t>
            </w:r>
          </w:p>
        </w:tc>
        <w:tc>
          <w:tcPr>
            <w:tcW w:w="381"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COD</w:t>
            </w:r>
          </w:p>
        </w:tc>
        <w:tc>
          <w:tcPr>
            <w:tcW w:w="508" w:type="pct"/>
            <w:shd w:val="clear" w:color="auto" w:fill="D9D9D9" w:themeFill="background1" w:themeFillShade="D9"/>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Benthic mortality</w:t>
            </w:r>
          </w:p>
        </w:tc>
      </w:tr>
      <w:tr w:rsidR="00AE3062" w:rsidRPr="00AE3062" w:rsidTr="00075442">
        <w:trPr>
          <w:trHeight w:val="290"/>
        </w:trPr>
        <w:tc>
          <w:tcPr>
            <w:tcW w:w="1026" w:type="pct"/>
            <w:shd w:val="clear" w:color="auto" w:fill="D9D9D9" w:themeFill="background1" w:themeFillShade="D9"/>
          </w:tcPr>
          <w:p w:rsidR="00AE3062" w:rsidRPr="00655104" w:rsidRDefault="00AE3062" w:rsidP="00075442">
            <w:pPr>
              <w:autoSpaceDE w:val="0"/>
              <w:autoSpaceDN w:val="0"/>
              <w:adjustRightInd w:val="0"/>
              <w:spacing w:line="240" w:lineRule="auto"/>
              <w:rPr>
                <w:color w:val="000000"/>
                <w:sz w:val="18"/>
                <w:szCs w:val="18"/>
              </w:rPr>
            </w:pPr>
            <w:r w:rsidRPr="00655104">
              <w:rPr>
                <w:color w:val="000000"/>
                <w:sz w:val="18"/>
                <w:szCs w:val="18"/>
              </w:rPr>
              <w:t>OSPAR</w:t>
            </w:r>
          </w:p>
        </w:tc>
        <w:tc>
          <w:tcPr>
            <w:tcW w:w="691" w:type="pct"/>
            <w:shd w:val="solid" w:color="FF00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075442">
        <w:trPr>
          <w:trHeight w:val="290"/>
        </w:trPr>
        <w:tc>
          <w:tcPr>
            <w:tcW w:w="1026" w:type="pct"/>
            <w:shd w:val="clear" w:color="auto" w:fill="D9D9D9" w:themeFill="background1" w:themeFillShade="D9"/>
          </w:tcPr>
          <w:p w:rsidR="00A60C9C" w:rsidRDefault="00AE3062">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E3062">
              <w:rPr>
                <w:color w:val="000000"/>
                <w:sz w:val="18"/>
                <w:szCs w:val="18"/>
                <w:lang w:val="en-US"/>
              </w:rPr>
              <w:t>*</w:t>
            </w:r>
          </w:p>
        </w:tc>
        <w:tc>
          <w:tcPr>
            <w:tcW w:w="691" w:type="pct"/>
            <w:shd w:val="solid" w:color="FFCC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381"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444"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r>
      <w:tr w:rsidR="00AE3062" w:rsidRPr="00AE3062" w:rsidTr="00075442">
        <w:trPr>
          <w:trHeight w:val="290"/>
        </w:trPr>
        <w:tc>
          <w:tcPr>
            <w:tcW w:w="1026" w:type="pct"/>
            <w:shd w:val="clear" w:color="auto" w:fill="D9D9D9" w:themeFill="background1" w:themeFillShade="D9"/>
          </w:tcPr>
          <w:p w:rsidR="00AE3062" w:rsidRPr="00655104" w:rsidRDefault="00AE3062" w:rsidP="00075442">
            <w:pPr>
              <w:autoSpaceDE w:val="0"/>
              <w:autoSpaceDN w:val="0"/>
              <w:adjustRightInd w:val="0"/>
              <w:spacing w:line="240" w:lineRule="auto"/>
              <w:rPr>
                <w:color w:val="000000"/>
                <w:sz w:val="18"/>
                <w:szCs w:val="18"/>
              </w:rPr>
            </w:pPr>
            <w:r w:rsidRPr="00655104">
              <w:rPr>
                <w:color w:val="000000"/>
                <w:sz w:val="18"/>
                <w:szCs w:val="18"/>
              </w:rPr>
              <w:t>HELCOM</w:t>
            </w:r>
          </w:p>
        </w:tc>
        <w:tc>
          <w:tcPr>
            <w:tcW w:w="691" w:type="pct"/>
            <w:shd w:val="solid" w:color="FF00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AE1F10">
        <w:trPr>
          <w:trHeight w:val="290"/>
        </w:trPr>
        <w:tc>
          <w:tcPr>
            <w:tcW w:w="1026" w:type="pct"/>
            <w:shd w:val="clear" w:color="auto" w:fill="D9D9D9" w:themeFill="background1" w:themeFillShade="D9"/>
          </w:tcPr>
          <w:p w:rsidR="00A60C9C" w:rsidRDefault="00AE3062">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E3062">
              <w:rPr>
                <w:color w:val="000000"/>
                <w:sz w:val="18"/>
                <w:szCs w:val="18"/>
                <w:lang w:val="en-US"/>
              </w:rPr>
              <w:t>*</w:t>
            </w:r>
          </w:p>
        </w:tc>
        <w:tc>
          <w:tcPr>
            <w:tcW w:w="691" w:type="pct"/>
            <w:shd w:val="solid" w:color="FFFF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shd w:val="clear" w:color="auto" w:fill="92D050"/>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075442">
        <w:trPr>
          <w:trHeight w:val="290"/>
        </w:trPr>
        <w:tc>
          <w:tcPr>
            <w:tcW w:w="1026" w:type="pct"/>
            <w:shd w:val="clear" w:color="auto" w:fill="D9D9D9" w:themeFill="background1" w:themeFillShade="D9"/>
          </w:tcPr>
          <w:p w:rsidR="00AE3062" w:rsidRPr="00655104" w:rsidRDefault="00AE3062" w:rsidP="00075442">
            <w:pPr>
              <w:autoSpaceDE w:val="0"/>
              <w:autoSpaceDN w:val="0"/>
              <w:adjustRightInd w:val="0"/>
              <w:spacing w:line="240" w:lineRule="auto"/>
              <w:rPr>
                <w:color w:val="000000"/>
                <w:sz w:val="18"/>
                <w:szCs w:val="18"/>
                <w:lang w:val="en-US"/>
              </w:rPr>
            </w:pPr>
            <w:r w:rsidRPr="00AE3062">
              <w:rPr>
                <w:color w:val="000000"/>
                <w:sz w:val="18"/>
                <w:szCs w:val="18"/>
                <w:lang w:val="en-US"/>
              </w:rPr>
              <w:t>UNEP/MA</w:t>
            </w:r>
            <w:r w:rsidR="009013F8">
              <w:rPr>
                <w:color w:val="000000"/>
                <w:sz w:val="18"/>
                <w:szCs w:val="18"/>
                <w:lang w:val="en-US"/>
              </w:rPr>
              <w:t>P</w:t>
            </w:r>
          </w:p>
        </w:tc>
        <w:tc>
          <w:tcPr>
            <w:tcW w:w="69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AE1F10">
        <w:trPr>
          <w:trHeight w:val="290"/>
        </w:trPr>
        <w:tc>
          <w:tcPr>
            <w:tcW w:w="1026" w:type="pct"/>
            <w:shd w:val="clear" w:color="auto" w:fill="D9D9D9" w:themeFill="background1" w:themeFillShade="D9"/>
          </w:tcPr>
          <w:p w:rsidR="00A60C9C" w:rsidRDefault="00AE3062">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E3062">
              <w:rPr>
                <w:color w:val="000000"/>
                <w:sz w:val="18"/>
                <w:szCs w:val="18"/>
                <w:lang w:val="en-US"/>
              </w:rPr>
              <w:t>*</w:t>
            </w:r>
          </w:p>
        </w:tc>
        <w:tc>
          <w:tcPr>
            <w:tcW w:w="691" w:type="pct"/>
            <w:shd w:val="solid" w:color="FF00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shd w:val="clear" w:color="auto" w:fill="92D050"/>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508" w:type="pct"/>
            <w:shd w:val="clear" w:color="auto" w:fill="00B0F0"/>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444"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381" w:type="pct"/>
            <w:shd w:val="solid" w:color="00CCFF"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075442">
        <w:trPr>
          <w:trHeight w:val="290"/>
        </w:trPr>
        <w:tc>
          <w:tcPr>
            <w:tcW w:w="1026" w:type="pct"/>
            <w:shd w:val="clear" w:color="auto" w:fill="D9D9D9" w:themeFill="background1" w:themeFillShade="D9"/>
          </w:tcPr>
          <w:p w:rsidR="00AE3062" w:rsidRPr="00655104" w:rsidRDefault="00AE3062" w:rsidP="00075442">
            <w:pPr>
              <w:autoSpaceDE w:val="0"/>
              <w:autoSpaceDN w:val="0"/>
              <w:adjustRightInd w:val="0"/>
              <w:spacing w:line="240" w:lineRule="auto"/>
              <w:rPr>
                <w:color w:val="000000"/>
                <w:sz w:val="18"/>
                <w:szCs w:val="18"/>
                <w:lang w:val="en-US"/>
              </w:rPr>
            </w:pPr>
            <w:r w:rsidRPr="00AE3062">
              <w:rPr>
                <w:color w:val="000000"/>
                <w:sz w:val="18"/>
                <w:szCs w:val="18"/>
                <w:lang w:val="en-US"/>
              </w:rPr>
              <w:t>BSC</w:t>
            </w:r>
          </w:p>
        </w:tc>
        <w:tc>
          <w:tcPr>
            <w:tcW w:w="691" w:type="pct"/>
            <w:shd w:val="solid" w:color="FF00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075442">
        <w:trPr>
          <w:trHeight w:val="290"/>
        </w:trPr>
        <w:tc>
          <w:tcPr>
            <w:tcW w:w="1026" w:type="pct"/>
            <w:shd w:val="clear" w:color="auto" w:fill="D9D9D9" w:themeFill="background1" w:themeFillShade="D9"/>
          </w:tcPr>
          <w:p w:rsidR="00A60C9C" w:rsidRDefault="00AE3062">
            <w:pPr>
              <w:autoSpaceDE w:val="0"/>
              <w:autoSpaceDN w:val="0"/>
              <w:adjustRightInd w:val="0"/>
              <w:spacing w:line="240" w:lineRule="auto"/>
              <w:ind w:left="227"/>
              <w:rPr>
                <w:b/>
                <w:bCs/>
                <w:color w:val="000000"/>
                <w:sz w:val="18"/>
                <w:szCs w:val="18"/>
                <w:lang w:val="en-US"/>
              </w:rPr>
            </w:pPr>
            <w:r w:rsidRPr="00655104">
              <w:rPr>
                <w:color w:val="000000"/>
                <w:sz w:val="18"/>
                <w:szCs w:val="18"/>
              </w:rPr>
              <w:t xml:space="preserve">MSFD art 8,9, 10 </w:t>
            </w:r>
            <w:r w:rsidRPr="00AE3062">
              <w:rPr>
                <w:color w:val="000000"/>
                <w:sz w:val="18"/>
                <w:szCs w:val="18"/>
                <w:lang w:val="en-US"/>
              </w:rPr>
              <w:t>*</w:t>
            </w:r>
          </w:p>
        </w:tc>
        <w:tc>
          <w:tcPr>
            <w:tcW w:w="691" w:type="pct"/>
            <w:shd w:val="solid" w:color="FF0000" w:fill="auto"/>
          </w:tcPr>
          <w:p w:rsidR="00AE3062" w:rsidRPr="0080069B" w:rsidRDefault="00AD6D29"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616" w:type="pct"/>
            <w:shd w:val="solid" w:color="FFFF00"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508" w:type="pct"/>
            <w:shd w:val="solid" w:color="FFFF00" w:fill="auto"/>
          </w:tcPr>
          <w:p w:rsidR="00AE3062" w:rsidRPr="0080069B" w:rsidRDefault="00AE3062" w:rsidP="00075442">
            <w:pPr>
              <w:autoSpaceDE w:val="0"/>
              <w:autoSpaceDN w:val="0"/>
              <w:adjustRightInd w:val="0"/>
              <w:spacing w:line="240" w:lineRule="auto"/>
              <w:rPr>
                <w:rFonts w:ascii="Calibri" w:hAnsi="Calibri" w:cs="Calibri"/>
                <w:color w:val="000000"/>
                <w:sz w:val="18"/>
                <w:szCs w:val="18"/>
              </w:rPr>
            </w:pPr>
            <w:r w:rsidRPr="0080069B">
              <w:rPr>
                <w:rFonts w:ascii="Calibri" w:hAnsi="Calibri" w:cs="Calibri"/>
                <w:color w:val="000000"/>
                <w:sz w:val="18"/>
                <w:szCs w:val="18"/>
              </w:rPr>
              <w:t>x</w:t>
            </w: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075442">
        <w:trPr>
          <w:trHeight w:val="290"/>
        </w:trPr>
        <w:tc>
          <w:tcPr>
            <w:tcW w:w="1026" w:type="pct"/>
            <w:shd w:val="clear" w:color="auto" w:fill="D9D9D9" w:themeFill="background1" w:themeFillShade="D9"/>
          </w:tcPr>
          <w:p w:rsidR="00AE3062" w:rsidRPr="00655104" w:rsidRDefault="00AE3062" w:rsidP="00075442">
            <w:pPr>
              <w:autoSpaceDE w:val="0"/>
              <w:autoSpaceDN w:val="0"/>
              <w:adjustRightInd w:val="0"/>
              <w:spacing w:line="240" w:lineRule="auto"/>
              <w:rPr>
                <w:color w:val="000000"/>
                <w:sz w:val="18"/>
                <w:szCs w:val="18"/>
              </w:rPr>
            </w:pPr>
            <w:r w:rsidRPr="00655104">
              <w:rPr>
                <w:color w:val="000000"/>
                <w:sz w:val="18"/>
                <w:szCs w:val="18"/>
              </w:rPr>
              <w:t>WFD</w:t>
            </w:r>
            <w:r w:rsidR="00740BA3">
              <w:rPr>
                <w:color w:val="000000"/>
                <w:sz w:val="18"/>
                <w:szCs w:val="18"/>
              </w:rPr>
              <w:t>*</w:t>
            </w:r>
          </w:p>
        </w:tc>
        <w:tc>
          <w:tcPr>
            <w:tcW w:w="691" w:type="pct"/>
          </w:tcPr>
          <w:p w:rsidR="00AE3062" w:rsidRPr="0080069B" w:rsidRDefault="00AD6D29" w:rsidP="00740BA3">
            <w:pPr>
              <w:autoSpaceDE w:val="0"/>
              <w:autoSpaceDN w:val="0"/>
              <w:adjustRightInd w:val="0"/>
              <w:spacing w:line="240" w:lineRule="auto"/>
              <w:jc w:val="left"/>
              <w:rPr>
                <w:rFonts w:ascii="Calibri" w:hAnsi="Calibri" w:cs="Calibri"/>
                <w:color w:val="000000"/>
                <w:sz w:val="18"/>
                <w:szCs w:val="18"/>
              </w:rPr>
            </w:pPr>
            <w:r>
              <w:rPr>
                <w:rFonts w:ascii="Calibri" w:hAnsi="Calibri" w:cs="Calibri"/>
                <w:color w:val="000000"/>
                <w:sz w:val="18"/>
                <w:szCs w:val="18"/>
              </w:rPr>
              <w:t>X</w:t>
            </w: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r w:rsidR="00AE3062" w:rsidRPr="00AE3062" w:rsidTr="00075442">
        <w:trPr>
          <w:trHeight w:val="302"/>
        </w:trPr>
        <w:tc>
          <w:tcPr>
            <w:tcW w:w="1026" w:type="pct"/>
            <w:shd w:val="clear" w:color="auto" w:fill="D9D9D9" w:themeFill="background1" w:themeFillShade="D9"/>
          </w:tcPr>
          <w:p w:rsidR="00AE3062" w:rsidRPr="00655104" w:rsidRDefault="00AE3062" w:rsidP="00075442">
            <w:pPr>
              <w:autoSpaceDE w:val="0"/>
              <w:autoSpaceDN w:val="0"/>
              <w:adjustRightInd w:val="0"/>
              <w:spacing w:line="240" w:lineRule="auto"/>
              <w:rPr>
                <w:color w:val="000000"/>
                <w:sz w:val="18"/>
                <w:szCs w:val="18"/>
              </w:rPr>
            </w:pPr>
            <w:r w:rsidRPr="00655104">
              <w:rPr>
                <w:color w:val="000000"/>
                <w:sz w:val="18"/>
                <w:szCs w:val="18"/>
              </w:rPr>
              <w:t>EEA</w:t>
            </w:r>
          </w:p>
        </w:tc>
        <w:tc>
          <w:tcPr>
            <w:tcW w:w="69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616"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444"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381"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c>
          <w:tcPr>
            <w:tcW w:w="508" w:type="pct"/>
          </w:tcPr>
          <w:p w:rsidR="00AE3062" w:rsidRPr="0080069B" w:rsidRDefault="00AE3062" w:rsidP="00075442">
            <w:pPr>
              <w:autoSpaceDE w:val="0"/>
              <w:autoSpaceDN w:val="0"/>
              <w:adjustRightInd w:val="0"/>
              <w:spacing w:line="240" w:lineRule="auto"/>
              <w:jc w:val="right"/>
              <w:rPr>
                <w:rFonts w:ascii="Calibri" w:hAnsi="Calibri" w:cs="Calibri"/>
                <w:color w:val="000000"/>
                <w:sz w:val="18"/>
                <w:szCs w:val="18"/>
              </w:rPr>
            </w:pPr>
          </w:p>
        </w:tc>
      </w:tr>
    </w:tbl>
    <w:p w:rsidR="00AE3062" w:rsidRPr="00B4323C" w:rsidRDefault="00AE3062" w:rsidP="00AE3062">
      <w:pPr>
        <w:pStyle w:val="ListParagraph"/>
        <w:spacing w:line="240" w:lineRule="auto"/>
        <w:ind w:left="0"/>
        <w:rPr>
          <w:sz w:val="16"/>
          <w:szCs w:val="16"/>
          <w:lang w:val="en-US"/>
        </w:rPr>
      </w:pPr>
      <w:r w:rsidRPr="00B4323C">
        <w:rPr>
          <w:sz w:val="16"/>
          <w:szCs w:val="16"/>
          <w:lang w:val="en-US"/>
        </w:rPr>
        <w:t>* Palialexis et</w:t>
      </w:r>
      <w:r>
        <w:rPr>
          <w:sz w:val="16"/>
          <w:szCs w:val="16"/>
          <w:lang w:val="en-US"/>
        </w:rPr>
        <w:t xml:space="preserve"> al. </w:t>
      </w:r>
      <w:r w:rsidRPr="00B4323C">
        <w:rPr>
          <w:sz w:val="16"/>
          <w:szCs w:val="16"/>
          <w:lang w:val="en-US"/>
        </w:rPr>
        <w:t>2014</w:t>
      </w:r>
    </w:p>
    <w:tbl>
      <w:tblPr>
        <w:tblStyle w:val="TableGrid"/>
        <w:tblW w:w="0" w:type="auto"/>
        <w:tblLook w:val="04A0"/>
      </w:tblPr>
      <w:tblGrid>
        <w:gridCol w:w="1018"/>
        <w:gridCol w:w="937"/>
        <w:gridCol w:w="837"/>
        <w:gridCol w:w="837"/>
        <w:gridCol w:w="837"/>
        <w:gridCol w:w="737"/>
      </w:tblGrid>
      <w:tr w:rsidR="00AE3062" w:rsidRPr="00B4323C" w:rsidTr="00075442">
        <w:tc>
          <w:tcPr>
            <w:tcW w:w="0" w:type="auto"/>
            <w:vAlign w:val="bottom"/>
          </w:tcPr>
          <w:p w:rsidR="00AE3062" w:rsidRPr="00B4323C" w:rsidRDefault="00AE3062" w:rsidP="00075442">
            <w:pPr>
              <w:tabs>
                <w:tab w:val="left" w:pos="3537"/>
              </w:tabs>
              <w:ind w:left="-49"/>
              <w:rPr>
                <w:rFonts w:cs="Times New Roman"/>
                <w:color w:val="000000"/>
                <w:sz w:val="18"/>
                <w:szCs w:val="18"/>
                <w:lang w:eastAsia="el-GR"/>
              </w:rPr>
            </w:pPr>
            <w:r w:rsidRPr="00B4323C">
              <w:rPr>
                <w:rFonts w:cs="Times New Roman"/>
                <w:color w:val="000000"/>
                <w:sz w:val="18"/>
                <w:szCs w:val="18"/>
                <w:lang w:eastAsia="el-GR"/>
              </w:rPr>
              <w:t>Frequency</w:t>
            </w:r>
          </w:p>
        </w:tc>
        <w:tc>
          <w:tcPr>
            <w:tcW w:w="0" w:type="auto"/>
            <w:shd w:val="clear" w:color="auto" w:fill="FF0000"/>
            <w:vAlign w:val="bottom"/>
          </w:tcPr>
          <w:p w:rsidR="00AE3062" w:rsidRPr="00B4323C" w:rsidRDefault="00AE3062" w:rsidP="00075442">
            <w:pPr>
              <w:jc w:val="center"/>
              <w:rPr>
                <w:rFonts w:cs="Times New Roman"/>
                <w:color w:val="FF0000"/>
                <w:sz w:val="18"/>
                <w:szCs w:val="18"/>
                <w:lang w:eastAsia="el-GR"/>
              </w:rPr>
            </w:pPr>
            <w:r w:rsidRPr="00B4323C">
              <w:rPr>
                <w:rFonts w:cs="Times New Roman"/>
                <w:color w:val="000000"/>
                <w:sz w:val="18"/>
                <w:szCs w:val="18"/>
                <w:lang w:eastAsia="el-GR"/>
              </w:rPr>
              <w:t>100-81%</w:t>
            </w:r>
          </w:p>
        </w:tc>
        <w:tc>
          <w:tcPr>
            <w:tcW w:w="0" w:type="auto"/>
            <w:shd w:val="clear" w:color="auto" w:fill="FFC000"/>
            <w:vAlign w:val="bottom"/>
          </w:tcPr>
          <w:p w:rsidR="00AE3062" w:rsidRPr="00B4323C" w:rsidRDefault="00AE3062" w:rsidP="00075442">
            <w:pPr>
              <w:jc w:val="center"/>
              <w:rPr>
                <w:rFonts w:cs="Times New Roman"/>
                <w:color w:val="000000"/>
                <w:sz w:val="18"/>
                <w:szCs w:val="18"/>
                <w:lang w:eastAsia="el-GR"/>
              </w:rPr>
            </w:pPr>
            <w:r w:rsidRPr="00B4323C">
              <w:rPr>
                <w:rFonts w:cs="Times New Roman"/>
                <w:color w:val="000000"/>
                <w:sz w:val="18"/>
                <w:szCs w:val="18"/>
                <w:lang w:eastAsia="el-GR"/>
              </w:rPr>
              <w:t>80-61%</w:t>
            </w:r>
          </w:p>
        </w:tc>
        <w:tc>
          <w:tcPr>
            <w:tcW w:w="0" w:type="auto"/>
            <w:shd w:val="clear" w:color="auto" w:fill="FFFF00"/>
            <w:vAlign w:val="bottom"/>
          </w:tcPr>
          <w:p w:rsidR="00AE3062" w:rsidRPr="00B4323C" w:rsidRDefault="00AE3062" w:rsidP="00075442">
            <w:pPr>
              <w:jc w:val="center"/>
              <w:rPr>
                <w:rFonts w:cs="Times New Roman"/>
                <w:color w:val="000000"/>
                <w:sz w:val="18"/>
                <w:szCs w:val="18"/>
                <w:lang w:eastAsia="el-GR"/>
              </w:rPr>
            </w:pPr>
            <w:r w:rsidRPr="00B4323C">
              <w:rPr>
                <w:rFonts w:cs="Times New Roman"/>
                <w:color w:val="000000"/>
                <w:sz w:val="18"/>
                <w:szCs w:val="18"/>
                <w:lang w:eastAsia="el-GR"/>
              </w:rPr>
              <w:t>60-41%</w:t>
            </w:r>
          </w:p>
        </w:tc>
        <w:tc>
          <w:tcPr>
            <w:tcW w:w="0" w:type="auto"/>
            <w:shd w:val="clear" w:color="auto" w:fill="92D050"/>
            <w:vAlign w:val="bottom"/>
          </w:tcPr>
          <w:p w:rsidR="00AE3062" w:rsidRPr="00B4323C" w:rsidRDefault="00AE3062" w:rsidP="00075442">
            <w:pPr>
              <w:jc w:val="center"/>
              <w:rPr>
                <w:rFonts w:cs="Times New Roman"/>
                <w:color w:val="000000"/>
                <w:sz w:val="18"/>
                <w:szCs w:val="18"/>
                <w:lang w:eastAsia="el-GR"/>
              </w:rPr>
            </w:pPr>
            <w:r w:rsidRPr="00B4323C">
              <w:rPr>
                <w:rFonts w:cs="Times New Roman"/>
                <w:color w:val="000000"/>
                <w:sz w:val="18"/>
                <w:szCs w:val="18"/>
                <w:lang w:eastAsia="el-GR"/>
              </w:rPr>
              <w:t>40-21%</w:t>
            </w:r>
          </w:p>
        </w:tc>
        <w:tc>
          <w:tcPr>
            <w:tcW w:w="0" w:type="auto"/>
            <w:shd w:val="clear" w:color="auto" w:fill="00B0F0"/>
            <w:vAlign w:val="bottom"/>
          </w:tcPr>
          <w:p w:rsidR="00AE3062" w:rsidRPr="00B4323C" w:rsidRDefault="00AE3062" w:rsidP="00075442">
            <w:pPr>
              <w:jc w:val="center"/>
              <w:rPr>
                <w:rFonts w:cs="Times New Roman"/>
                <w:color w:val="000000"/>
                <w:sz w:val="18"/>
                <w:szCs w:val="18"/>
                <w:lang w:eastAsia="el-GR"/>
              </w:rPr>
            </w:pPr>
            <w:r w:rsidRPr="00B4323C">
              <w:rPr>
                <w:rFonts w:cs="Times New Roman"/>
                <w:color w:val="000000"/>
                <w:sz w:val="18"/>
                <w:szCs w:val="18"/>
                <w:lang w:eastAsia="el-GR"/>
              </w:rPr>
              <w:t>20-0%</w:t>
            </w:r>
          </w:p>
        </w:tc>
      </w:tr>
      <w:tr w:rsidR="00AE3062" w:rsidRPr="00B4323C" w:rsidTr="00075442">
        <w:tc>
          <w:tcPr>
            <w:tcW w:w="0" w:type="auto"/>
            <w:vAlign w:val="bottom"/>
          </w:tcPr>
          <w:p w:rsidR="00AE3062" w:rsidRPr="00B4323C" w:rsidRDefault="00AE3062" w:rsidP="00075442">
            <w:pPr>
              <w:tabs>
                <w:tab w:val="left" w:pos="3537"/>
              </w:tabs>
              <w:ind w:left="-49"/>
              <w:rPr>
                <w:rFonts w:cs="Times New Roman"/>
                <w:color w:val="000000"/>
                <w:sz w:val="18"/>
                <w:szCs w:val="18"/>
                <w:lang w:eastAsia="el-GR"/>
              </w:rPr>
            </w:pPr>
          </w:p>
        </w:tc>
        <w:tc>
          <w:tcPr>
            <w:tcW w:w="0" w:type="auto"/>
            <w:shd w:val="clear" w:color="auto" w:fill="FF0000"/>
            <w:vAlign w:val="bottom"/>
          </w:tcPr>
          <w:p w:rsidR="00AE3062" w:rsidRPr="00B4323C" w:rsidRDefault="00AE3062" w:rsidP="00075442">
            <w:pPr>
              <w:jc w:val="center"/>
              <w:rPr>
                <w:rFonts w:cs="Times New Roman"/>
                <w:color w:val="000000"/>
                <w:sz w:val="18"/>
                <w:szCs w:val="18"/>
                <w:lang w:eastAsia="el-GR"/>
              </w:rPr>
            </w:pPr>
          </w:p>
        </w:tc>
        <w:tc>
          <w:tcPr>
            <w:tcW w:w="0" w:type="auto"/>
            <w:shd w:val="clear" w:color="auto" w:fill="FFC000"/>
            <w:vAlign w:val="bottom"/>
          </w:tcPr>
          <w:p w:rsidR="00AE3062" w:rsidRPr="00B4323C" w:rsidRDefault="00AE3062" w:rsidP="00075442">
            <w:pPr>
              <w:jc w:val="center"/>
              <w:rPr>
                <w:rFonts w:cs="Times New Roman"/>
                <w:color w:val="000000"/>
                <w:sz w:val="18"/>
                <w:szCs w:val="18"/>
                <w:lang w:eastAsia="el-GR"/>
              </w:rPr>
            </w:pPr>
          </w:p>
        </w:tc>
        <w:tc>
          <w:tcPr>
            <w:tcW w:w="0" w:type="auto"/>
            <w:shd w:val="clear" w:color="auto" w:fill="FFFF00"/>
            <w:vAlign w:val="bottom"/>
          </w:tcPr>
          <w:p w:rsidR="00AE3062" w:rsidRPr="00B4323C" w:rsidRDefault="00AE3062" w:rsidP="00075442">
            <w:pPr>
              <w:jc w:val="center"/>
              <w:rPr>
                <w:rFonts w:cs="Times New Roman"/>
                <w:color w:val="000000"/>
                <w:sz w:val="18"/>
                <w:szCs w:val="18"/>
                <w:lang w:eastAsia="el-GR"/>
              </w:rPr>
            </w:pPr>
          </w:p>
        </w:tc>
        <w:tc>
          <w:tcPr>
            <w:tcW w:w="0" w:type="auto"/>
            <w:shd w:val="clear" w:color="auto" w:fill="92D050"/>
            <w:vAlign w:val="bottom"/>
          </w:tcPr>
          <w:p w:rsidR="00AE3062" w:rsidRPr="00B4323C" w:rsidRDefault="00AE3062" w:rsidP="00075442">
            <w:pPr>
              <w:jc w:val="center"/>
              <w:rPr>
                <w:rFonts w:cs="Times New Roman"/>
                <w:color w:val="000000"/>
                <w:sz w:val="18"/>
                <w:szCs w:val="18"/>
                <w:lang w:eastAsia="el-GR"/>
              </w:rPr>
            </w:pPr>
          </w:p>
        </w:tc>
        <w:tc>
          <w:tcPr>
            <w:tcW w:w="0" w:type="auto"/>
            <w:shd w:val="clear" w:color="auto" w:fill="00B0F0"/>
            <w:vAlign w:val="bottom"/>
          </w:tcPr>
          <w:p w:rsidR="00AE3062" w:rsidRPr="00B4323C" w:rsidRDefault="00AE3062" w:rsidP="00075442">
            <w:pPr>
              <w:jc w:val="center"/>
              <w:rPr>
                <w:rFonts w:cs="Times New Roman"/>
                <w:color w:val="000000"/>
                <w:sz w:val="18"/>
                <w:szCs w:val="18"/>
                <w:lang w:eastAsia="el-GR"/>
              </w:rPr>
            </w:pPr>
          </w:p>
        </w:tc>
      </w:tr>
    </w:tbl>
    <w:p w:rsidR="00AE3062" w:rsidRDefault="00AE3062" w:rsidP="00AE3062">
      <w:pPr>
        <w:pStyle w:val="Caption"/>
      </w:pPr>
    </w:p>
    <w:p w:rsidR="0079438C" w:rsidRDefault="0079438C" w:rsidP="00987279">
      <w:pPr>
        <w:spacing w:line="240" w:lineRule="auto"/>
        <w:rPr>
          <w:szCs w:val="21"/>
          <w:lang w:val="en-US"/>
        </w:rPr>
      </w:pPr>
    </w:p>
    <w:p w:rsidR="00AE3062" w:rsidRDefault="00AE3062" w:rsidP="00987279">
      <w:pPr>
        <w:spacing w:line="240" w:lineRule="auto"/>
        <w:rPr>
          <w:szCs w:val="21"/>
          <w:lang w:val="en-US"/>
        </w:rPr>
      </w:pPr>
    </w:p>
    <w:p w:rsidR="00AE3062" w:rsidRDefault="00AE3062" w:rsidP="00987279">
      <w:pPr>
        <w:spacing w:line="240" w:lineRule="auto"/>
        <w:rPr>
          <w:szCs w:val="21"/>
          <w:lang w:val="en-US"/>
        </w:rPr>
      </w:pPr>
    </w:p>
    <w:p w:rsidR="00AE3062" w:rsidRPr="00F2534A" w:rsidRDefault="00AE3062" w:rsidP="00987279">
      <w:pPr>
        <w:spacing w:line="240" w:lineRule="auto"/>
        <w:rPr>
          <w:szCs w:val="21"/>
          <w:lang w:val="en-US"/>
        </w:rPr>
      </w:pPr>
    </w:p>
    <w:p w:rsidR="000F7BA6" w:rsidRPr="006666A7" w:rsidRDefault="000F7BA6" w:rsidP="006666A7">
      <w:pPr>
        <w:spacing w:line="240" w:lineRule="auto"/>
        <w:jc w:val="left"/>
        <w:rPr>
          <w:szCs w:val="21"/>
          <w:lang w:val="en-US"/>
        </w:rPr>
        <w:sectPr w:rsidR="000F7BA6" w:rsidRPr="006666A7" w:rsidSect="0079438C">
          <w:pgSz w:w="16838" w:h="11906" w:orient="landscape" w:code="9"/>
          <w:pgMar w:top="1094" w:right="1077" w:bottom="2098" w:left="2552" w:header="822" w:footer="198" w:gutter="0"/>
          <w:cols w:space="708"/>
          <w:docGrid w:linePitch="360"/>
        </w:sectPr>
      </w:pPr>
    </w:p>
    <w:p w:rsidR="009B2A47" w:rsidRPr="00F2534A" w:rsidRDefault="009B2A47" w:rsidP="00987279">
      <w:pPr>
        <w:pStyle w:val="Heading2"/>
        <w:spacing w:before="0" w:line="240" w:lineRule="auto"/>
        <w:rPr>
          <w:lang w:val="en-US"/>
        </w:rPr>
      </w:pPr>
      <w:bookmarkStart w:id="53" w:name="_Toc384815502"/>
      <w:r w:rsidRPr="00F2534A">
        <w:rPr>
          <w:lang w:val="en-US"/>
        </w:rPr>
        <w:lastRenderedPageBreak/>
        <w:t>Categorization of RSCs eutrophication indicators according to the DPSIR approach</w:t>
      </w:r>
      <w:bookmarkEnd w:id="53"/>
    </w:p>
    <w:p w:rsidR="00B732AC" w:rsidRDefault="00B732AC" w:rsidP="00987279">
      <w:pPr>
        <w:pStyle w:val="ListParagraph"/>
        <w:spacing w:line="240" w:lineRule="auto"/>
        <w:ind w:left="0"/>
        <w:rPr>
          <w:szCs w:val="21"/>
          <w:lang w:val="en-US"/>
        </w:rPr>
      </w:pPr>
    </w:p>
    <w:p w:rsidR="009B2A47" w:rsidRDefault="009B2A47" w:rsidP="00987279">
      <w:pPr>
        <w:pStyle w:val="ListParagraph"/>
        <w:spacing w:line="240" w:lineRule="auto"/>
        <w:ind w:left="0"/>
        <w:rPr>
          <w:szCs w:val="21"/>
          <w:lang w:val="en-US"/>
        </w:rPr>
      </w:pPr>
      <w:r w:rsidRPr="00F2534A">
        <w:rPr>
          <w:szCs w:val="21"/>
          <w:lang w:val="en-US"/>
        </w:rPr>
        <w:t xml:space="preserve">The </w:t>
      </w:r>
      <w:r w:rsidRPr="00FC64E6">
        <w:rPr>
          <w:szCs w:val="21"/>
          <w:lang w:val="en-US"/>
        </w:rPr>
        <w:t xml:space="preserve">Table </w:t>
      </w:r>
      <w:r w:rsidR="000F7BA6" w:rsidRPr="00FC64E6">
        <w:rPr>
          <w:szCs w:val="21"/>
          <w:lang w:val="en-US"/>
        </w:rPr>
        <w:t>2</w:t>
      </w:r>
      <w:r w:rsidR="000F7BA6">
        <w:rPr>
          <w:szCs w:val="21"/>
          <w:lang w:val="en-US"/>
        </w:rPr>
        <w:t>.10</w:t>
      </w:r>
      <w:r w:rsidRPr="00F2534A">
        <w:rPr>
          <w:szCs w:val="21"/>
          <w:lang w:val="en-US"/>
        </w:rPr>
        <w:t xml:space="preserve"> below is an initial effort to associate the RSCs eutrophication indicators with driver, pressure, state or impact in order to address the DPSIR approach. The type of indicators (P, S, I) are according to SEC (2011).  All RSCs cover pressure state and impact indicators. OSPAR and BSC apply indicators on nutrient inputs providing information on drivers. HELCOM Core pressure indicator of nutrient loads is under development </w:t>
      </w:r>
      <w:r w:rsidRPr="00F2534A">
        <w:rPr>
          <w:bCs/>
          <w:color w:val="000000"/>
          <w:szCs w:val="21"/>
          <w:lang w:val="en-US"/>
        </w:rPr>
        <w:t>in an advanced development phase.</w:t>
      </w:r>
      <w:r w:rsidRPr="00F2534A">
        <w:rPr>
          <w:szCs w:val="21"/>
          <w:lang w:val="en-US"/>
        </w:rPr>
        <w:t xml:space="preserve"> UNEP/MAP does not include relevant common indicators although collects data on nutrient inputs and produces assessments of pollution loads (see MEDPOL; Releases, emissions and sources of pollutants in the Mediterranean region. An </w:t>
      </w:r>
      <w:r>
        <w:rPr>
          <w:szCs w:val="21"/>
          <w:lang w:val="en-US"/>
        </w:rPr>
        <w:t>assessment of 2003-2008 trends;</w:t>
      </w:r>
      <w:r w:rsidR="006A0DD5">
        <w:rPr>
          <w:szCs w:val="21"/>
          <w:lang w:val="en-US"/>
        </w:rPr>
        <w:t xml:space="preserve"> 2012).  A UNEP/MAP</w:t>
      </w:r>
      <w:r w:rsidR="006A0DD5" w:rsidRPr="006A0DD5">
        <w:rPr>
          <w:szCs w:val="21"/>
          <w:lang w:val="en-US"/>
        </w:rPr>
        <w:t xml:space="preserve"> indicator on “Release of toxic  substances and nutrients from industrial sector’ representing the emissions from industrial sources from individual facilities within the Mediterranean coastal zone with regard to nutrients and oxygen depleting substances, halogenated hydrocarbons</w:t>
      </w:r>
      <w:r w:rsidR="006A0DD5">
        <w:rPr>
          <w:szCs w:val="21"/>
          <w:lang w:val="en-US"/>
        </w:rPr>
        <w:t>, hydrocarbons and heavy metals is under development.</w:t>
      </w:r>
    </w:p>
    <w:p w:rsidR="004B48B8" w:rsidRDefault="004B48B8">
      <w:pPr>
        <w:spacing w:line="240" w:lineRule="auto"/>
        <w:jc w:val="left"/>
        <w:rPr>
          <w:szCs w:val="21"/>
          <w:lang w:val="en-US"/>
        </w:rPr>
      </w:pPr>
      <w:r>
        <w:rPr>
          <w:szCs w:val="21"/>
          <w:lang w:val="en-US"/>
        </w:rPr>
        <w:br w:type="page"/>
      </w:r>
    </w:p>
    <w:p w:rsidR="009B2A47" w:rsidRPr="00F2534A" w:rsidRDefault="004B48B8" w:rsidP="004B48B8">
      <w:pPr>
        <w:pStyle w:val="Caption"/>
        <w:rPr>
          <w:szCs w:val="21"/>
          <w:lang w:val="en-US"/>
        </w:rPr>
      </w:pPr>
      <w:r>
        <w:lastRenderedPageBreak/>
        <w:t xml:space="preserve">Table </w:t>
      </w:r>
      <w:r w:rsidR="008135ED">
        <w:fldChar w:fldCharType="begin"/>
      </w:r>
      <w:r>
        <w:instrText xml:space="preserve"> STYLEREF 1 \s </w:instrText>
      </w:r>
      <w:r w:rsidR="008135ED">
        <w:fldChar w:fldCharType="separate"/>
      </w:r>
      <w:r w:rsidR="003461A2">
        <w:rPr>
          <w:noProof/>
        </w:rPr>
        <w:t>2</w:t>
      </w:r>
      <w:r w:rsidR="008135ED">
        <w:fldChar w:fldCharType="end"/>
      </w:r>
      <w:r>
        <w:t>.</w:t>
      </w:r>
      <w:r w:rsidR="000F7BA6">
        <w:t>10</w:t>
      </w:r>
      <w:r>
        <w:tab/>
      </w:r>
      <w:r w:rsidR="009B2A47" w:rsidRPr="00F2534A">
        <w:rPr>
          <w:szCs w:val="21"/>
          <w:lang w:val="en-US"/>
        </w:rPr>
        <w:t>RSCs indicators type, D: Driver P: Pressure, S: State. I: Impact</w:t>
      </w:r>
      <w:r>
        <w:rPr>
          <w:szCs w:val="21"/>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1918"/>
        <w:gridCol w:w="2919"/>
        <w:gridCol w:w="1806"/>
        <w:gridCol w:w="1649"/>
      </w:tblGrid>
      <w:tr w:rsidR="009B2A47" w:rsidRPr="009B2A47" w:rsidTr="00EC5066">
        <w:trPr>
          <w:trHeight w:val="427"/>
        </w:trPr>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color w:val="000000"/>
                <w:sz w:val="18"/>
                <w:szCs w:val="18"/>
                <w:lang w:val="en-US"/>
              </w:rPr>
            </w:pPr>
            <w:r w:rsidRPr="009B2A47">
              <w:rPr>
                <w:b/>
                <w:bCs/>
                <w:color w:val="000000"/>
                <w:sz w:val="18"/>
                <w:szCs w:val="18"/>
                <w:lang w:val="en-US"/>
              </w:rPr>
              <w:t>OSPAR</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r w:rsidRPr="009B2A47">
              <w:rPr>
                <w:b/>
                <w:bCs/>
                <w:color w:val="000000"/>
                <w:sz w:val="18"/>
                <w:szCs w:val="18"/>
                <w:lang w:val="en-US"/>
              </w:rPr>
              <w:t>HELCOM</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r w:rsidRPr="009B2A47">
              <w:rPr>
                <w:b/>
                <w:bCs/>
                <w:color w:val="000000"/>
                <w:sz w:val="18"/>
                <w:szCs w:val="18"/>
                <w:lang w:val="en-US"/>
              </w:rPr>
              <w:t>UNEP/MAP</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r w:rsidRPr="009B2A47">
              <w:rPr>
                <w:b/>
                <w:bCs/>
                <w:color w:val="000000"/>
                <w:sz w:val="18"/>
                <w:szCs w:val="18"/>
                <w:lang w:val="en-US"/>
              </w:rPr>
              <w:t>BSC</w:t>
            </w:r>
          </w:p>
        </w:tc>
      </w:tr>
      <w:tr w:rsidR="009B2A47" w:rsidRPr="009B2A47" w:rsidTr="00EC5066">
        <w:trPr>
          <w:trHeight w:val="553"/>
        </w:trPr>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rPr>
                <w:b/>
                <w:bCs/>
                <w:color w:val="000000"/>
                <w:sz w:val="18"/>
                <w:szCs w:val="18"/>
                <w:lang w:val="en-US"/>
              </w:rPr>
            </w:pPr>
            <w:r w:rsidRPr="009B2A47">
              <w:rPr>
                <w:b/>
                <w:bCs/>
                <w:color w:val="000000"/>
                <w:sz w:val="18"/>
                <w:szCs w:val="18"/>
                <w:lang w:val="en-US"/>
              </w:rPr>
              <w:t xml:space="preserve">Type </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vertAlign w:val="superscript"/>
                <w:lang w:val="en-US"/>
              </w:rPr>
            </w:pPr>
            <w:r w:rsidRPr="009B2A47">
              <w:rPr>
                <w:b/>
                <w:bCs/>
                <w:color w:val="000000"/>
                <w:sz w:val="18"/>
                <w:szCs w:val="18"/>
                <w:lang w:val="en-US"/>
              </w:rPr>
              <w:t xml:space="preserve">Common </w:t>
            </w:r>
            <w:r w:rsidR="00580600" w:rsidRPr="009B2A47">
              <w:rPr>
                <w:b/>
                <w:bCs/>
                <w:color w:val="000000"/>
                <w:sz w:val="18"/>
                <w:szCs w:val="18"/>
                <w:lang w:val="en-US"/>
              </w:rPr>
              <w:t>indicators</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r w:rsidRPr="009B2A47">
              <w:rPr>
                <w:b/>
                <w:bCs/>
                <w:color w:val="000000"/>
                <w:sz w:val="18"/>
                <w:szCs w:val="18"/>
                <w:lang w:val="en-US"/>
              </w:rPr>
              <w:t>Core indicators</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r w:rsidRPr="009B2A47">
              <w:rPr>
                <w:b/>
                <w:bCs/>
                <w:color w:val="000000"/>
                <w:sz w:val="18"/>
                <w:szCs w:val="18"/>
                <w:lang w:val="en-US"/>
              </w:rPr>
              <w:t>Proposed common indicators</w:t>
            </w:r>
          </w:p>
        </w:tc>
        <w:tc>
          <w:tcPr>
            <w:tcW w:w="0" w:type="auto"/>
            <w:shd w:val="clear" w:color="auto" w:fill="D9D9D9" w:themeFill="background1" w:themeFillShade="D9"/>
          </w:tcPr>
          <w:p w:rsidR="009B2A47" w:rsidRPr="009B2A47" w:rsidRDefault="009B2A47" w:rsidP="00987279">
            <w:pPr>
              <w:autoSpaceDE w:val="0"/>
              <w:autoSpaceDN w:val="0"/>
              <w:adjustRightInd w:val="0"/>
              <w:spacing w:line="240" w:lineRule="auto"/>
              <w:jc w:val="center"/>
              <w:rPr>
                <w:b/>
                <w:bCs/>
                <w:color w:val="000000"/>
                <w:sz w:val="18"/>
                <w:szCs w:val="18"/>
                <w:lang w:val="en-US"/>
              </w:rPr>
            </w:pPr>
            <w:r w:rsidRPr="009B2A47">
              <w:rPr>
                <w:b/>
                <w:bCs/>
                <w:color w:val="000000"/>
                <w:sz w:val="18"/>
                <w:szCs w:val="18"/>
                <w:lang w:val="en-US"/>
              </w:rPr>
              <w:t xml:space="preserve">Indicators in Diagnostic Report, 2010 </w:t>
            </w:r>
          </w:p>
        </w:tc>
      </w:tr>
      <w:tr w:rsidR="009B2A47" w:rsidRPr="009B2A47" w:rsidTr="00EC5066">
        <w:trPr>
          <w:trHeight w:val="548"/>
        </w:trPr>
        <w:tc>
          <w:tcPr>
            <w:tcW w:w="0" w:type="auto"/>
            <w:shd w:val="solid" w:color="FFFFFF" w:fill="auto"/>
          </w:tcPr>
          <w:p w:rsidR="009B2A47" w:rsidRPr="009B2A47" w:rsidRDefault="009B2A47" w:rsidP="00987279">
            <w:pPr>
              <w:autoSpaceDE w:val="0"/>
              <w:autoSpaceDN w:val="0"/>
              <w:adjustRightInd w:val="0"/>
              <w:spacing w:line="240" w:lineRule="auto"/>
              <w:jc w:val="center"/>
              <w:rPr>
                <w:color w:val="000000"/>
                <w:sz w:val="18"/>
                <w:szCs w:val="18"/>
                <w:lang w:val="en-US"/>
              </w:rPr>
            </w:pPr>
            <w:r w:rsidRPr="009B2A47">
              <w:rPr>
                <w:color w:val="000000"/>
                <w:sz w:val="18"/>
                <w:szCs w:val="18"/>
                <w:lang w:val="en-US"/>
              </w:rPr>
              <w:t>D/P</w:t>
            </w:r>
          </w:p>
        </w:tc>
        <w:tc>
          <w:tcPr>
            <w:tcW w:w="0" w:type="auto"/>
            <w:shd w:val="solid" w:color="FFFFFF" w:fill="auto"/>
          </w:tcPr>
          <w:p w:rsidR="009B2A47" w:rsidRPr="009B2A47" w:rsidRDefault="009B2A47" w:rsidP="00987279">
            <w:pPr>
              <w:autoSpaceDE w:val="0"/>
              <w:autoSpaceDN w:val="0"/>
              <w:adjustRightInd w:val="0"/>
              <w:spacing w:line="240" w:lineRule="auto"/>
              <w:jc w:val="center"/>
              <w:rPr>
                <w:color w:val="000000"/>
                <w:sz w:val="18"/>
                <w:szCs w:val="18"/>
                <w:lang w:val="en-US"/>
              </w:rPr>
            </w:pPr>
            <w:r w:rsidRPr="009B2A47">
              <w:rPr>
                <w:color w:val="000000"/>
                <w:sz w:val="18"/>
                <w:szCs w:val="18"/>
                <w:lang w:val="en-US"/>
              </w:rPr>
              <w:t>Waterborne nutrient inputs</w:t>
            </w:r>
          </w:p>
        </w:tc>
        <w:tc>
          <w:tcPr>
            <w:tcW w:w="0" w:type="auto"/>
            <w:vMerge w:val="restart"/>
            <w:shd w:val="solid" w:color="FFFFFF" w:fill="auto"/>
          </w:tcPr>
          <w:p w:rsidR="009B2A47" w:rsidRPr="009B2A47" w:rsidRDefault="009B2A47" w:rsidP="00987279">
            <w:pPr>
              <w:autoSpaceDE w:val="0"/>
              <w:autoSpaceDN w:val="0"/>
              <w:adjustRightInd w:val="0"/>
              <w:spacing w:line="240" w:lineRule="auto"/>
              <w:jc w:val="right"/>
              <w:rPr>
                <w:bCs/>
                <w:color w:val="000000"/>
                <w:sz w:val="18"/>
                <w:szCs w:val="18"/>
                <w:lang w:val="en-US"/>
              </w:rPr>
            </w:pPr>
            <w:r w:rsidRPr="009B2A47">
              <w:rPr>
                <w:bCs/>
                <w:i/>
                <w:color w:val="000000"/>
                <w:sz w:val="18"/>
                <w:szCs w:val="18"/>
                <w:lang w:val="en-US"/>
              </w:rPr>
              <w:t>Core pressure indicator including water- and airborne nutrient loads is under development in an advanced development phase</w:t>
            </w:r>
          </w:p>
        </w:tc>
        <w:tc>
          <w:tcPr>
            <w:tcW w:w="0" w:type="auto"/>
            <w:vMerge w:val="restart"/>
            <w:shd w:val="solid" w:color="FFFFFF" w:fill="auto"/>
          </w:tcPr>
          <w:p w:rsidR="009B2A47" w:rsidRPr="009B2A47" w:rsidRDefault="009B2A47" w:rsidP="00987279">
            <w:pPr>
              <w:autoSpaceDE w:val="0"/>
              <w:autoSpaceDN w:val="0"/>
              <w:adjustRightInd w:val="0"/>
              <w:spacing w:line="240" w:lineRule="auto"/>
              <w:jc w:val="center"/>
              <w:rPr>
                <w:b/>
                <w:bCs/>
                <w:color w:val="000000"/>
                <w:sz w:val="18"/>
                <w:szCs w:val="18"/>
                <w:lang w:val="en-US"/>
              </w:rPr>
            </w:pPr>
          </w:p>
        </w:tc>
        <w:tc>
          <w:tcPr>
            <w:tcW w:w="0" w:type="auto"/>
            <w:vMerge w:val="restart"/>
            <w:shd w:val="solid" w:color="FFFFFF" w:fill="auto"/>
          </w:tcPr>
          <w:p w:rsidR="009B2A47" w:rsidRPr="009B2A47" w:rsidRDefault="009B2A47" w:rsidP="00987279">
            <w:pPr>
              <w:autoSpaceDE w:val="0"/>
              <w:autoSpaceDN w:val="0"/>
              <w:adjustRightInd w:val="0"/>
              <w:spacing w:line="240" w:lineRule="auto"/>
              <w:rPr>
                <w:b/>
                <w:bCs/>
                <w:color w:val="000000"/>
                <w:sz w:val="18"/>
                <w:szCs w:val="18"/>
                <w:lang w:val="en-US"/>
              </w:rPr>
            </w:pPr>
            <w:r w:rsidRPr="009B2A47">
              <w:rPr>
                <w:bCs/>
                <w:color w:val="000000"/>
                <w:sz w:val="18"/>
                <w:szCs w:val="18"/>
                <w:lang w:val="en-US"/>
              </w:rPr>
              <w:t>Inputs of nutrients and HSs from direct (point) sources</w:t>
            </w:r>
          </w:p>
        </w:tc>
      </w:tr>
      <w:tr w:rsidR="009B2A47" w:rsidRPr="009B2A47" w:rsidTr="00EC5066">
        <w:trPr>
          <w:trHeight w:val="413"/>
        </w:trPr>
        <w:tc>
          <w:tcPr>
            <w:tcW w:w="0" w:type="auto"/>
            <w:shd w:val="solid" w:color="FFFFFF" w:fill="auto"/>
          </w:tcPr>
          <w:p w:rsidR="009B2A47" w:rsidRPr="009B2A47" w:rsidRDefault="009B2A47" w:rsidP="00987279">
            <w:pPr>
              <w:autoSpaceDE w:val="0"/>
              <w:autoSpaceDN w:val="0"/>
              <w:adjustRightInd w:val="0"/>
              <w:spacing w:line="240" w:lineRule="auto"/>
              <w:jc w:val="center"/>
              <w:rPr>
                <w:color w:val="000000"/>
                <w:sz w:val="18"/>
                <w:szCs w:val="18"/>
                <w:lang w:val="en-US"/>
              </w:rPr>
            </w:pPr>
            <w:r w:rsidRPr="009B2A47">
              <w:rPr>
                <w:color w:val="000000"/>
                <w:sz w:val="18"/>
                <w:szCs w:val="18"/>
                <w:lang w:val="en-US"/>
              </w:rPr>
              <w:t>D/P</w:t>
            </w:r>
          </w:p>
        </w:tc>
        <w:tc>
          <w:tcPr>
            <w:tcW w:w="0" w:type="auto"/>
            <w:shd w:val="solid" w:color="FFFFFF" w:fill="auto"/>
          </w:tcPr>
          <w:p w:rsidR="009B2A47" w:rsidRPr="009B2A47" w:rsidRDefault="009B2A47" w:rsidP="00987279">
            <w:pPr>
              <w:autoSpaceDE w:val="0"/>
              <w:autoSpaceDN w:val="0"/>
              <w:adjustRightInd w:val="0"/>
              <w:spacing w:line="240" w:lineRule="auto"/>
              <w:jc w:val="center"/>
              <w:rPr>
                <w:color w:val="000000"/>
                <w:sz w:val="18"/>
                <w:szCs w:val="18"/>
                <w:lang w:val="en-US"/>
              </w:rPr>
            </w:pPr>
            <w:r w:rsidRPr="009B2A47">
              <w:rPr>
                <w:color w:val="000000"/>
                <w:sz w:val="18"/>
                <w:szCs w:val="18"/>
                <w:lang w:val="en-US"/>
              </w:rPr>
              <w:t>Atmospheric nutrient inputs</w:t>
            </w:r>
          </w:p>
        </w:tc>
        <w:tc>
          <w:tcPr>
            <w:tcW w:w="0" w:type="auto"/>
            <w:vMerge/>
            <w:shd w:val="solid" w:color="FFFFFF" w:fill="auto"/>
          </w:tcPr>
          <w:p w:rsidR="009B2A47" w:rsidRPr="009B2A47" w:rsidRDefault="009B2A47" w:rsidP="00987279">
            <w:pPr>
              <w:autoSpaceDE w:val="0"/>
              <w:autoSpaceDN w:val="0"/>
              <w:adjustRightInd w:val="0"/>
              <w:spacing w:line="240" w:lineRule="auto"/>
              <w:jc w:val="right"/>
              <w:rPr>
                <w:b/>
                <w:bCs/>
                <w:color w:val="000000"/>
                <w:sz w:val="18"/>
                <w:szCs w:val="18"/>
                <w:lang w:val="en-US"/>
              </w:rPr>
            </w:pPr>
          </w:p>
        </w:tc>
        <w:tc>
          <w:tcPr>
            <w:tcW w:w="0" w:type="auto"/>
            <w:vMerge/>
            <w:shd w:val="solid" w:color="FFFFFF" w:fill="auto"/>
          </w:tcPr>
          <w:p w:rsidR="009B2A47" w:rsidRPr="009B2A47" w:rsidRDefault="009B2A47" w:rsidP="00987279">
            <w:pPr>
              <w:autoSpaceDE w:val="0"/>
              <w:autoSpaceDN w:val="0"/>
              <w:adjustRightInd w:val="0"/>
              <w:spacing w:line="240" w:lineRule="auto"/>
              <w:jc w:val="center"/>
              <w:rPr>
                <w:b/>
                <w:bCs/>
                <w:color w:val="000000"/>
                <w:sz w:val="18"/>
                <w:szCs w:val="18"/>
                <w:lang w:val="en-US"/>
              </w:rPr>
            </w:pPr>
          </w:p>
        </w:tc>
        <w:tc>
          <w:tcPr>
            <w:tcW w:w="0" w:type="auto"/>
            <w:vMerge/>
            <w:shd w:val="solid" w:color="FFFFFF" w:fill="auto"/>
          </w:tcPr>
          <w:p w:rsidR="009B2A47" w:rsidRPr="009B2A47" w:rsidRDefault="009B2A47" w:rsidP="00987279">
            <w:pPr>
              <w:autoSpaceDE w:val="0"/>
              <w:autoSpaceDN w:val="0"/>
              <w:adjustRightInd w:val="0"/>
              <w:spacing w:line="240" w:lineRule="auto"/>
              <w:rPr>
                <w:b/>
                <w:bCs/>
                <w:color w:val="000000"/>
                <w:sz w:val="18"/>
                <w:szCs w:val="18"/>
                <w:lang w:val="en-US"/>
              </w:rPr>
            </w:pPr>
          </w:p>
        </w:tc>
      </w:tr>
      <w:tr w:rsidR="009B2A47" w:rsidRPr="009B2A47" w:rsidTr="00EC5066">
        <w:trPr>
          <w:trHeight w:val="664"/>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S/P</w:t>
            </w:r>
          </w:p>
        </w:tc>
        <w:tc>
          <w:tcPr>
            <w:tcW w:w="0" w:type="auto"/>
            <w:vMerge w:val="restart"/>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Winter nutrient concentrations</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Concentration of dissolved inorganic nitrogen</w:t>
            </w:r>
          </w:p>
        </w:tc>
        <w:tc>
          <w:tcPr>
            <w:tcW w:w="0" w:type="auto"/>
            <w:vMerge w:val="restart"/>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5.1.1 Concentration of key nutrients in the water column</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NO</w:t>
            </w:r>
            <w:r w:rsidRPr="009B2A47">
              <w:rPr>
                <w:color w:val="000000"/>
                <w:sz w:val="18"/>
                <w:szCs w:val="18"/>
                <w:vertAlign w:val="subscript"/>
              </w:rPr>
              <w:t>3</w:t>
            </w:r>
            <w:r w:rsidRPr="009B2A47">
              <w:rPr>
                <w:color w:val="000000"/>
                <w:sz w:val="18"/>
                <w:szCs w:val="18"/>
              </w:rPr>
              <w:t>+NO</w:t>
            </w:r>
            <w:r w:rsidRPr="009B2A47">
              <w:rPr>
                <w:color w:val="000000"/>
                <w:sz w:val="18"/>
                <w:szCs w:val="18"/>
                <w:vertAlign w:val="subscript"/>
              </w:rPr>
              <w:t xml:space="preserve">2 </w:t>
            </w:r>
          </w:p>
        </w:tc>
      </w:tr>
      <w:tr w:rsidR="009B2A47" w:rsidRPr="009B2A47" w:rsidTr="00EC5066">
        <w:trPr>
          <w:trHeight w:val="585"/>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S/P</w:t>
            </w:r>
          </w:p>
        </w:tc>
        <w:tc>
          <w:tcPr>
            <w:tcW w:w="0" w:type="auto"/>
            <w:vMerge/>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Concentration of dissolved inorganic phosphorus</w:t>
            </w:r>
          </w:p>
        </w:tc>
        <w:tc>
          <w:tcPr>
            <w:tcW w:w="0" w:type="auto"/>
            <w:vMerge/>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PO</w:t>
            </w:r>
            <w:r w:rsidRPr="009B2A47">
              <w:rPr>
                <w:color w:val="000000"/>
                <w:sz w:val="18"/>
                <w:szCs w:val="18"/>
                <w:vertAlign w:val="subscript"/>
              </w:rPr>
              <w:t xml:space="preserve">4 </w:t>
            </w:r>
          </w:p>
        </w:tc>
      </w:tr>
      <w:tr w:rsidR="009B2A47" w:rsidRPr="009B2A47" w:rsidTr="00EC5066">
        <w:trPr>
          <w:trHeight w:val="840"/>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I</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Chlorophyll concentrations</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Concentration of chlorophyll a</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5.2.1 Chlorophyll-a concentration in the water column</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 xml:space="preserve">Chlorophyll-a </w:t>
            </w:r>
          </w:p>
        </w:tc>
      </w:tr>
      <w:tr w:rsidR="009B2A47" w:rsidRPr="009B2A47" w:rsidTr="00EC5066">
        <w:trPr>
          <w:trHeight w:val="697"/>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I</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r w:rsidRPr="009B2A47">
              <w:rPr>
                <w:color w:val="000000"/>
                <w:sz w:val="18"/>
                <w:szCs w:val="18"/>
              </w:rPr>
              <w:t>Water transparency (Secchi depth)</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rPr>
            </w:pPr>
          </w:p>
        </w:tc>
      </w:tr>
      <w:tr w:rsidR="009B2A47" w:rsidRPr="009B2A47" w:rsidTr="00EC5066">
        <w:trPr>
          <w:trHeight w:val="1959"/>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I</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Species shift/indicator species: Nuisance species Phaeocystis</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clear" w:color="auto" w:fill="auto"/>
          </w:tcPr>
          <w:p w:rsidR="009B2A47" w:rsidRPr="009B2A47" w:rsidRDefault="009B2A47" w:rsidP="00987279">
            <w:pPr>
              <w:autoSpaceDE w:val="0"/>
              <w:autoSpaceDN w:val="0"/>
              <w:adjustRightInd w:val="0"/>
              <w:spacing w:line="240" w:lineRule="auto"/>
              <w:rPr>
                <w:color w:val="FF0000"/>
                <w:sz w:val="18"/>
                <w:szCs w:val="18"/>
                <w:lang w:val="en-US"/>
              </w:rPr>
            </w:pPr>
          </w:p>
        </w:tc>
      </w:tr>
      <w:tr w:rsidR="009B2A47" w:rsidRPr="009B2A47" w:rsidTr="00EC5066">
        <w:trPr>
          <w:trHeight w:val="848"/>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I</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i/>
                <w:color w:val="000000"/>
                <w:sz w:val="18"/>
                <w:szCs w:val="18"/>
                <w:lang w:val="en-US"/>
              </w:rPr>
            </w:pPr>
            <w:r w:rsidRPr="009B2A47">
              <w:rPr>
                <w:i/>
                <w:color w:val="000000"/>
                <w:sz w:val="18"/>
                <w:szCs w:val="18"/>
                <w:lang w:val="en-US"/>
              </w:rPr>
              <w:t>Lower depth distribution limit of macrophytes*</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clear" w:color="auto" w:fill="auto"/>
          </w:tcPr>
          <w:p w:rsidR="009B2A47" w:rsidRPr="009B2A47" w:rsidRDefault="009B2A47" w:rsidP="00987279">
            <w:pPr>
              <w:autoSpaceDE w:val="0"/>
              <w:autoSpaceDN w:val="0"/>
              <w:adjustRightInd w:val="0"/>
              <w:spacing w:line="240" w:lineRule="auto"/>
              <w:rPr>
                <w:color w:val="FF0000"/>
                <w:sz w:val="18"/>
                <w:szCs w:val="18"/>
                <w:lang w:val="en-US"/>
              </w:rPr>
            </w:pPr>
          </w:p>
        </w:tc>
      </w:tr>
      <w:tr w:rsidR="009B2A47" w:rsidRPr="009B2A47" w:rsidTr="00EC5066">
        <w:trPr>
          <w:trHeight w:val="624"/>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I</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i/>
                <w:color w:val="000000"/>
                <w:sz w:val="18"/>
                <w:szCs w:val="18"/>
                <w:lang w:val="en-US"/>
              </w:rPr>
            </w:pPr>
            <w:r w:rsidRPr="009B2A47">
              <w:rPr>
                <w:i/>
                <w:color w:val="000000"/>
                <w:sz w:val="18"/>
                <w:szCs w:val="18"/>
                <w:lang w:val="en-US"/>
              </w:rPr>
              <w:t>State of soft-bottom macrozoobenthos*</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r>
      <w:tr w:rsidR="009B2A47" w:rsidRPr="009B2A47" w:rsidTr="00EC5066">
        <w:trPr>
          <w:trHeight w:val="1560"/>
        </w:trPr>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I</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Oxygen</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Oxygen concentration</w:t>
            </w: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p>
        </w:tc>
        <w:tc>
          <w:tcPr>
            <w:tcW w:w="0" w:type="auto"/>
            <w:shd w:val="solid" w:color="FFFFFF" w:fill="auto"/>
          </w:tcPr>
          <w:p w:rsidR="009B2A47" w:rsidRPr="009B2A47" w:rsidRDefault="009B2A47" w:rsidP="00987279">
            <w:pPr>
              <w:autoSpaceDE w:val="0"/>
              <w:autoSpaceDN w:val="0"/>
              <w:adjustRightInd w:val="0"/>
              <w:spacing w:line="240" w:lineRule="auto"/>
              <w:rPr>
                <w:color w:val="000000"/>
                <w:sz w:val="18"/>
                <w:szCs w:val="18"/>
                <w:lang w:val="en-US"/>
              </w:rPr>
            </w:pPr>
            <w:r w:rsidRPr="009B2A47">
              <w:rPr>
                <w:color w:val="000000"/>
                <w:sz w:val="18"/>
                <w:szCs w:val="18"/>
                <w:lang w:val="en-US"/>
              </w:rPr>
              <w:t>Hypoxic situations, expansion of zones of hypoxia</w:t>
            </w:r>
          </w:p>
        </w:tc>
      </w:tr>
    </w:tbl>
    <w:p w:rsidR="009B2A47" w:rsidRPr="00E837A0" w:rsidRDefault="009B2A47" w:rsidP="00987279">
      <w:pPr>
        <w:spacing w:line="240" w:lineRule="auto"/>
        <w:rPr>
          <w:sz w:val="16"/>
          <w:szCs w:val="16"/>
          <w:lang w:val="en-US"/>
        </w:rPr>
      </w:pPr>
      <w:r w:rsidRPr="00F2534A">
        <w:rPr>
          <w:szCs w:val="21"/>
        </w:rPr>
        <w:t>*</w:t>
      </w:r>
      <w:r w:rsidRPr="00E837A0">
        <w:rPr>
          <w:sz w:val="16"/>
          <w:szCs w:val="16"/>
          <w:lang w:val="en-US"/>
        </w:rPr>
        <w:t>HELCOM Biodiversity core indicator under development in HELCOM CORESET II project</w:t>
      </w:r>
    </w:p>
    <w:p w:rsidR="009B2A47" w:rsidRPr="00F2534A" w:rsidRDefault="009B2A47" w:rsidP="00987279">
      <w:pPr>
        <w:spacing w:line="240" w:lineRule="auto"/>
        <w:ind w:left="142"/>
        <w:rPr>
          <w:b/>
          <w:szCs w:val="21"/>
          <w:lang w:val="en-US"/>
        </w:rPr>
      </w:pPr>
    </w:p>
    <w:p w:rsidR="00CB6F07" w:rsidRDefault="00CB6F07" w:rsidP="00987279">
      <w:pPr>
        <w:spacing w:line="240" w:lineRule="auto"/>
        <w:rPr>
          <w:szCs w:val="21"/>
          <w:lang w:val="en-US"/>
        </w:rPr>
        <w:sectPr w:rsidR="00CB6F07" w:rsidSect="000F7BA6">
          <w:pgSz w:w="11906" w:h="16838" w:code="9"/>
          <w:pgMar w:top="2552" w:right="1094" w:bottom="1077" w:left="2098" w:header="822" w:footer="198" w:gutter="0"/>
          <w:cols w:space="708"/>
          <w:docGrid w:linePitch="360"/>
        </w:sectPr>
      </w:pPr>
    </w:p>
    <w:p w:rsidR="00CB6F07" w:rsidRDefault="00CB6F07" w:rsidP="00987279">
      <w:pPr>
        <w:pStyle w:val="Heading1"/>
        <w:spacing w:before="0" w:after="0"/>
        <w:rPr>
          <w:szCs w:val="21"/>
          <w:lang w:val="en-US"/>
        </w:rPr>
      </w:pPr>
      <w:bookmarkStart w:id="54" w:name="_Toc384815503"/>
      <w:r w:rsidRPr="00CB6F07">
        <w:rPr>
          <w:szCs w:val="21"/>
          <w:lang w:val="en-US"/>
        </w:rPr>
        <w:lastRenderedPageBreak/>
        <w:t>RSC</w:t>
      </w:r>
      <w:r w:rsidR="00AD2B97">
        <w:rPr>
          <w:szCs w:val="21"/>
          <w:lang w:val="en-US"/>
        </w:rPr>
        <w:t xml:space="preserve"> and EEA</w:t>
      </w:r>
      <w:r w:rsidRPr="00CB6F07">
        <w:rPr>
          <w:szCs w:val="21"/>
          <w:lang w:val="en-US"/>
        </w:rPr>
        <w:t xml:space="preserve"> data holdings and data flows related to hazardous substances</w:t>
      </w:r>
      <w:bookmarkEnd w:id="54"/>
    </w:p>
    <w:p w:rsidR="004B48B8" w:rsidRPr="004B48B8" w:rsidRDefault="004B48B8" w:rsidP="004B48B8">
      <w:pPr>
        <w:rPr>
          <w:lang w:val="en-US"/>
        </w:rPr>
      </w:pPr>
    </w:p>
    <w:p w:rsidR="00CB6F07" w:rsidRPr="00CB6F07" w:rsidRDefault="00CB6F07" w:rsidP="00987279">
      <w:pPr>
        <w:pStyle w:val="Heading2"/>
        <w:spacing w:before="0" w:line="240" w:lineRule="auto"/>
        <w:rPr>
          <w:lang w:val="en-US"/>
        </w:rPr>
      </w:pPr>
      <w:bookmarkStart w:id="55" w:name="_Toc384815504"/>
      <w:r w:rsidRPr="00CB6F07">
        <w:rPr>
          <w:lang w:val="en-US"/>
        </w:rPr>
        <w:t>RSCs hazardous sub</w:t>
      </w:r>
      <w:r>
        <w:rPr>
          <w:lang w:val="en-US"/>
        </w:rPr>
        <w:t xml:space="preserve">stances indicators in relation </w:t>
      </w:r>
      <w:r w:rsidR="004B48B8">
        <w:rPr>
          <w:lang w:val="en-US"/>
        </w:rPr>
        <w:t>to MSFD</w:t>
      </w:r>
      <w:r w:rsidRPr="00CB6F07">
        <w:rPr>
          <w:lang w:val="en-US"/>
        </w:rPr>
        <w:t xml:space="preserve"> and EEA indicators</w:t>
      </w:r>
      <w:bookmarkEnd w:id="55"/>
    </w:p>
    <w:p w:rsidR="00CB6F07" w:rsidRDefault="00CB6F07" w:rsidP="00987279">
      <w:pPr>
        <w:spacing w:line="240" w:lineRule="auto"/>
        <w:rPr>
          <w:szCs w:val="21"/>
          <w:lang w:val="en-US"/>
        </w:rPr>
      </w:pPr>
      <w:r w:rsidRPr="00F2534A">
        <w:rPr>
          <w:szCs w:val="21"/>
          <w:lang w:val="en-US"/>
        </w:rPr>
        <w:t xml:space="preserve">RSCs have adopted (HELCOM, OSPAR) or are in the process of adopting (UNEP/MAP, BSC) indicators for hazardous substances covering objectives set by their strategies. </w:t>
      </w:r>
      <w:r w:rsidRPr="006666A7">
        <w:rPr>
          <w:szCs w:val="21"/>
          <w:lang w:val="en-US"/>
        </w:rPr>
        <w:t xml:space="preserve">Table </w:t>
      </w:r>
      <w:r w:rsidR="00580600">
        <w:rPr>
          <w:szCs w:val="21"/>
          <w:lang w:val="en-US"/>
        </w:rPr>
        <w:t xml:space="preserve">3.1 </w:t>
      </w:r>
      <w:r w:rsidR="00580600" w:rsidRPr="00F2534A">
        <w:rPr>
          <w:szCs w:val="21"/>
          <w:lang w:val="en-US"/>
        </w:rPr>
        <w:t>presents</w:t>
      </w:r>
      <w:r w:rsidRPr="00F2534A">
        <w:rPr>
          <w:szCs w:val="21"/>
          <w:lang w:val="en-US"/>
        </w:rPr>
        <w:t xml:space="preserve"> the objectives of the four RSCs in parallel to the corresponding criteria of MSFD for the GES Descriptors D8 Contaminants and pollution effects and D9 contaminants in seafood. RSCs indicators for hazardous substances as well as relevant MSFD and EEA indicators are shown </w:t>
      </w:r>
      <w:r w:rsidRPr="006666A7">
        <w:rPr>
          <w:szCs w:val="21"/>
          <w:lang w:val="en-US"/>
        </w:rPr>
        <w:t xml:space="preserve">in Table </w:t>
      </w:r>
      <w:r w:rsidR="006666A7" w:rsidRPr="006666A7">
        <w:rPr>
          <w:szCs w:val="21"/>
          <w:lang w:val="en-US"/>
        </w:rPr>
        <w:t>3.2</w:t>
      </w:r>
      <w:r w:rsidRPr="006666A7">
        <w:rPr>
          <w:szCs w:val="21"/>
          <w:lang w:val="en-US"/>
        </w:rPr>
        <w:t>.</w:t>
      </w:r>
      <w:r w:rsidRPr="00F2534A">
        <w:rPr>
          <w:szCs w:val="21"/>
          <w:lang w:val="en-US"/>
        </w:rPr>
        <w:t xml:space="preserve"> </w:t>
      </w:r>
    </w:p>
    <w:p w:rsidR="00CB6F07" w:rsidRPr="00F2534A" w:rsidRDefault="00CB6F07" w:rsidP="00987279">
      <w:pPr>
        <w:spacing w:line="240" w:lineRule="auto"/>
        <w:rPr>
          <w:szCs w:val="21"/>
          <w:lang w:val="en-US"/>
        </w:rPr>
      </w:pPr>
    </w:p>
    <w:p w:rsidR="00CB6F07" w:rsidRDefault="00CB6F07" w:rsidP="00987279">
      <w:pPr>
        <w:spacing w:line="240" w:lineRule="auto"/>
        <w:rPr>
          <w:szCs w:val="21"/>
          <w:lang w:val="en-US"/>
        </w:rPr>
      </w:pPr>
      <w:r w:rsidRPr="00F2534A">
        <w:rPr>
          <w:szCs w:val="21"/>
          <w:lang w:val="en-US"/>
        </w:rPr>
        <w:t xml:space="preserve">Commission Decision 2010/477/EU sets out four criteria for GES Descriptors D8 and D9 dealing with contaminant concentrations in the marine environment and their effects and contaminant concentrations in seafood and five indicators to describe these criteria. The occurrence, origin and extent of significant pollution events from oil spills are addressed by indicator 8.2.2. Other hazardous substances inputs are not included in the list of indicators for D8 and D9 in the COM Decision 210/477/EU but </w:t>
      </w:r>
      <w:r w:rsidR="00226DA9">
        <w:t xml:space="preserve">article 8 on initial assessments and </w:t>
      </w:r>
      <w:r w:rsidRPr="00F2534A">
        <w:rPr>
          <w:szCs w:val="21"/>
          <w:lang w:val="en-US"/>
        </w:rPr>
        <w:t xml:space="preserve">annex III to the MSFD Directive lists hazardous substances introduction in the marine environment among the elements to be addressed in the assessment of marine waters. </w:t>
      </w:r>
    </w:p>
    <w:p w:rsidR="00CB6F07" w:rsidRPr="00F2534A" w:rsidRDefault="00CB6F07" w:rsidP="00987279">
      <w:pPr>
        <w:spacing w:line="240" w:lineRule="auto"/>
        <w:rPr>
          <w:szCs w:val="21"/>
          <w:lang w:val="en-US"/>
        </w:rPr>
      </w:pPr>
    </w:p>
    <w:p w:rsidR="00CB6F07" w:rsidRDefault="00CB6F07" w:rsidP="00987279">
      <w:pPr>
        <w:spacing w:line="240" w:lineRule="auto"/>
        <w:rPr>
          <w:szCs w:val="21"/>
          <w:lang w:val="en-US"/>
        </w:rPr>
      </w:pPr>
      <w:r w:rsidRPr="00F2534A">
        <w:rPr>
          <w:szCs w:val="21"/>
          <w:lang w:val="en-US"/>
        </w:rPr>
        <w:t>The four HELCOM ecological objectives for hazardous substances under Baltic Sea Action Plan cover concentrations of hazardous substances, their effects, radioactivity and safe seafood (HELCOM, 2007). HELCOM’s CORESET expert group for hazardous substances developed and proposed 13 core indicators that address all four ecological objectives (HELCOM, 2013a). The core indicators were selected on the basis of their policy relevance, adverse effects to the environment, cost-efficient analyses and available targets. Among these indicators eight were recommended by HELCOM MONAS to the HELCOM Heads of Delegation for approval in 2013 and five were considered as pre-core indicators, which are to be further developed and resubmitted by 2015 for further evaluation. Among the thirteen proposed core indicators, nine measure concentrations of hazardous substances and four measure their effects. The substance indicators include organic contaminants as well as metals and a radioactive isotope. TBT and PAH substance indicators also include effect aspects, imposex and PAH metabolites. The HELCOM core indicators cover the MSFD criteria sufficiently. Oil pollution addressed by the MSFD indicator 8.2.2 was not included in the set of core indicators from the hazardous substances expert group but the biodiversity expert group proposed an indicator for oiled waterbirds – addressing the effects of oil in the water, that was considered as pre-core indicator to be further developed. The information of the number of oil spills is included in the oiled bird indicator as supplementary information, which is also published annually as a Baltic Sea Environment Fact Sheet. The indicators for food safety are the same as for the environment, with the exception that not all substances currently have a GES boundary and therefore they cannot be used in quantitative assessments. Core indicators to assess concentrations in seafood against specific limit levels include the following substances: Cadmium, Lead, Mercury, dl-PCBs, dioxins, Benzo[a]Pyrene and Cesium-137.</w:t>
      </w:r>
    </w:p>
    <w:p w:rsidR="00CB6F07" w:rsidRPr="00F2534A" w:rsidRDefault="00CB6F07" w:rsidP="00987279">
      <w:pPr>
        <w:spacing w:line="240" w:lineRule="auto"/>
        <w:rPr>
          <w:szCs w:val="21"/>
          <w:lang w:val="en-US"/>
        </w:rPr>
      </w:pPr>
    </w:p>
    <w:p w:rsidR="00CB6F07" w:rsidRDefault="00CB6F07" w:rsidP="00987279">
      <w:pPr>
        <w:spacing w:line="240" w:lineRule="auto"/>
        <w:rPr>
          <w:rStyle w:val="apple-converted-space"/>
          <w:szCs w:val="21"/>
          <w:shd w:val="clear" w:color="auto" w:fill="FFFFFF"/>
          <w:lang w:val="en-US"/>
        </w:rPr>
      </w:pPr>
      <w:r w:rsidRPr="00F2534A">
        <w:rPr>
          <w:szCs w:val="21"/>
          <w:shd w:val="clear" w:color="auto" w:fill="FFFFFF"/>
        </w:rPr>
        <w:t>The OSPAR</w:t>
      </w:r>
      <w:r w:rsidRPr="00F2534A">
        <w:rPr>
          <w:rStyle w:val="apple-converted-space"/>
          <w:szCs w:val="21"/>
          <w:shd w:val="clear" w:color="auto" w:fill="FFFFFF"/>
        </w:rPr>
        <w:t> </w:t>
      </w:r>
      <w:hyperlink r:id="rId43" w:anchor="hazsubs" w:tgtFrame="_blank" w:history="1">
        <w:r w:rsidRPr="00F2534A">
          <w:rPr>
            <w:rStyle w:val="Hyperlink"/>
            <w:szCs w:val="21"/>
            <w:shd w:val="clear" w:color="auto" w:fill="FFFFFF"/>
          </w:rPr>
          <w:t>Hazardous Substances Strategy</w:t>
        </w:r>
      </w:hyperlink>
      <w:r w:rsidRPr="00F2534A">
        <w:rPr>
          <w:rStyle w:val="apple-converted-space"/>
          <w:szCs w:val="21"/>
          <w:shd w:val="clear" w:color="auto" w:fill="FFFFFF"/>
        </w:rPr>
        <w:t> </w:t>
      </w:r>
      <w:r w:rsidRPr="00F2534A">
        <w:rPr>
          <w:szCs w:val="21"/>
          <w:shd w:val="clear" w:color="auto" w:fill="FFFFFF"/>
        </w:rPr>
        <w:t>sets the objective of preventing pollution of the maritime area by continuously reducing discharges, emissions and losses of hazardous substances, with the ultimate aim of achieving concentrations in the marine environment near background values for naturally occurring substances and close to zero for man-made synthetic substances</w:t>
      </w:r>
      <w:r w:rsidRPr="00F2534A">
        <w:rPr>
          <w:szCs w:val="21"/>
          <w:shd w:val="clear" w:color="auto" w:fill="FFFFFF"/>
          <w:lang w:val="en-US"/>
        </w:rPr>
        <w:t xml:space="preserve"> (OSPAR web page)</w:t>
      </w:r>
      <w:r w:rsidRPr="00F2534A">
        <w:rPr>
          <w:szCs w:val="21"/>
          <w:shd w:val="clear" w:color="auto" w:fill="FFFFFF"/>
        </w:rPr>
        <w:t>.</w:t>
      </w:r>
      <w:r w:rsidRPr="00F2534A">
        <w:rPr>
          <w:rStyle w:val="apple-converted-space"/>
          <w:szCs w:val="21"/>
          <w:shd w:val="clear" w:color="auto" w:fill="FFFFFF"/>
        </w:rPr>
        <w:t> </w:t>
      </w:r>
      <w:r w:rsidRPr="00F2534A">
        <w:rPr>
          <w:rStyle w:val="apple-converted-space"/>
          <w:szCs w:val="21"/>
          <w:shd w:val="clear" w:color="auto" w:fill="FFFFFF"/>
          <w:lang w:val="en-US"/>
        </w:rPr>
        <w:t xml:space="preserve">Tasks considering hazardous substances is implemented through the HASEC committee. Data streams that potentially are used for these assessments include atmospheric inputs, riverine inputs, and assessment of concentrations </w:t>
      </w:r>
      <w:r w:rsidRPr="00F2534A">
        <w:rPr>
          <w:rStyle w:val="apple-converted-space"/>
          <w:szCs w:val="21"/>
          <w:shd w:val="clear" w:color="auto" w:fill="FFFFFF"/>
          <w:lang w:val="en-US"/>
        </w:rPr>
        <w:lastRenderedPageBreak/>
        <w:t>in the water. The latest assessment includes concentrations of a selection of hazardous substances in marine sediment and in fish and shellfish tissues. The ICOn project (2008 – 2012) aimed to demonstrate the application of methodology developed through OSPAR/ICES on larger scales. The ICON assessment is considered to be suitable for the determination of GES for Descriptor 8 under the MSFD. The analysis led by OSPAR on trends in hazardous substances</w:t>
      </w:r>
      <w:r w:rsidRPr="00F2534A">
        <w:rPr>
          <w:rStyle w:val="FootnoteReference"/>
          <w:szCs w:val="21"/>
          <w:shd w:val="clear" w:color="auto" w:fill="FFFFFF"/>
          <w:lang w:val="en-US"/>
        </w:rPr>
        <w:footnoteReference w:id="5"/>
      </w:r>
      <w:r w:rsidRPr="00F2534A">
        <w:rPr>
          <w:rStyle w:val="apple-converted-space"/>
          <w:szCs w:val="21"/>
          <w:shd w:val="clear" w:color="auto" w:fill="FFFFFF"/>
          <w:lang w:val="en-US"/>
        </w:rPr>
        <w:t xml:space="preserve"> were used in the part dealing with marine waters of the EEA technical report on hazardous substances in European waters</w:t>
      </w:r>
      <w:r w:rsidRPr="00F2534A">
        <w:rPr>
          <w:rStyle w:val="FootnoteReference"/>
          <w:szCs w:val="21"/>
          <w:shd w:val="clear" w:color="auto" w:fill="FFFFFF"/>
          <w:lang w:val="en-US"/>
        </w:rPr>
        <w:footnoteReference w:id="6"/>
      </w:r>
      <w:r w:rsidRPr="00F2534A">
        <w:rPr>
          <w:rStyle w:val="apple-converted-space"/>
          <w:szCs w:val="21"/>
          <w:shd w:val="clear" w:color="auto" w:fill="FFFFFF"/>
          <w:lang w:val="en-US"/>
        </w:rPr>
        <w:t xml:space="preserve">. </w:t>
      </w:r>
    </w:p>
    <w:p w:rsidR="00CB6F07" w:rsidRPr="00F2534A" w:rsidRDefault="00CB6F07" w:rsidP="00987279">
      <w:pPr>
        <w:spacing w:line="240" w:lineRule="auto"/>
        <w:rPr>
          <w:szCs w:val="21"/>
          <w:lang w:val="en-US"/>
        </w:rPr>
      </w:pPr>
    </w:p>
    <w:p w:rsidR="00CB6F07" w:rsidRPr="00F2534A" w:rsidRDefault="00CB6F07" w:rsidP="00987279">
      <w:pPr>
        <w:autoSpaceDE w:val="0"/>
        <w:autoSpaceDN w:val="0"/>
        <w:adjustRightInd w:val="0"/>
        <w:spacing w:line="240" w:lineRule="auto"/>
        <w:rPr>
          <w:szCs w:val="21"/>
          <w:lang w:val="en-US"/>
        </w:rPr>
      </w:pPr>
      <w:r w:rsidRPr="00F2534A">
        <w:rPr>
          <w:szCs w:val="21"/>
          <w:lang w:val="en-US"/>
        </w:rPr>
        <w:t xml:space="preserve">UNEP/MAP is in the process of adopting common indicators for hazardous substances addressed by Ecological Objective 9 of the Ecosystem Approach (UNEP/MAP, 2012a). The common indicators have been proposed by the Secretariat taking into account practices of other RSCs and on the basis of experience already gained by the Contracting Parties through their regular MED POL monitoring activities as well as the experience gained by EU Mediterranean countries through their implementation of EU Directives such as the Marine Strategy Framework Directive and the Water Framework Directive. In the latest Integrated Correspondence Groups of GES and Targets meeting (UNEP/MAP, 2014) three operational objectives and six indicators were proposed by UNEP/MAP Secretariat that cover the three MSFD criteria for GES Descriptors8 and 9. </w:t>
      </w:r>
    </w:p>
    <w:p w:rsidR="00CB6F07" w:rsidRPr="00F2534A" w:rsidRDefault="00CB6F07" w:rsidP="00987279">
      <w:pPr>
        <w:spacing w:line="240" w:lineRule="auto"/>
        <w:rPr>
          <w:szCs w:val="21"/>
          <w:lang w:val="en-US"/>
        </w:rPr>
      </w:pPr>
    </w:p>
    <w:p w:rsidR="00CB6F07" w:rsidRDefault="00CB6F07" w:rsidP="00987279">
      <w:pPr>
        <w:spacing w:line="240" w:lineRule="auto"/>
        <w:rPr>
          <w:szCs w:val="21"/>
          <w:lang w:val="en-US"/>
        </w:rPr>
      </w:pPr>
      <w:r w:rsidRPr="00F2534A">
        <w:rPr>
          <w:szCs w:val="21"/>
          <w:lang w:val="en-US"/>
        </w:rPr>
        <w:t>The hazardous substances theme is addressed in the Strategic Action Plan for the Rehabilitation and Protection of the Black Sea (BSSAP) 2009 under Ecosystem Quality Objective 4 (EcoQO 4): Ensure Good Water Quality for Human Health, Recreational Use and Aquatic Biota. EcoQO 4 is subdivided into Eco QO 4a - Reduce pollutants originating from land based sources, including atmospheric emissions and EcoQO 4b - Reduce pollutants originating from shipping activities and offshore installations. BSC in the implementation of BSIMAP (Black Sea Integrated Monitoring and Assessment Program) used four indicators for hazardous substances concerning the two MSFD criteria for D8 (BSC, 2010). Indicators on shipping density, illegal discharges of oil at sea, accidental oil spills from shipping and loads (Inputs of nutrients and HSs from direct (point) sources) were also applied.</w:t>
      </w:r>
    </w:p>
    <w:p w:rsidR="00DB2061" w:rsidRPr="00F2534A" w:rsidRDefault="00DB2061" w:rsidP="00987279">
      <w:pPr>
        <w:spacing w:line="240" w:lineRule="auto"/>
        <w:rPr>
          <w:szCs w:val="21"/>
          <w:lang w:val="en-US"/>
        </w:rPr>
      </w:pPr>
    </w:p>
    <w:p w:rsidR="007B518E" w:rsidRDefault="00B12272" w:rsidP="00DB2061">
      <w:pPr>
        <w:spacing w:line="240" w:lineRule="auto"/>
        <w:rPr>
          <w:szCs w:val="21"/>
          <w:lang w:val="en-US"/>
        </w:rPr>
        <w:sectPr w:rsidR="007B518E" w:rsidSect="000F7BA6">
          <w:type w:val="oddPage"/>
          <w:pgSz w:w="11906" w:h="16838" w:code="9"/>
          <w:pgMar w:top="2552" w:right="1094" w:bottom="1077" w:left="2098" w:header="822" w:footer="198" w:gutter="0"/>
          <w:cols w:space="708"/>
          <w:docGrid w:linePitch="360"/>
        </w:sectPr>
      </w:pPr>
      <w:r>
        <w:rPr>
          <w:szCs w:val="21"/>
          <w:lang w:val="en-US"/>
        </w:rPr>
        <w:t>T</w:t>
      </w:r>
      <w:r w:rsidRPr="00B12272">
        <w:rPr>
          <w:szCs w:val="21"/>
          <w:lang w:val="en-US"/>
        </w:rPr>
        <w:t xml:space="preserve">he </w:t>
      </w:r>
      <w:r w:rsidR="00DB2061">
        <w:rPr>
          <w:szCs w:val="21"/>
          <w:lang w:val="en-US"/>
        </w:rPr>
        <w:t xml:space="preserve">EEA </w:t>
      </w:r>
      <w:r w:rsidRPr="00B12272">
        <w:rPr>
          <w:szCs w:val="21"/>
          <w:lang w:val="en-US"/>
        </w:rPr>
        <w:t>marine thematic indicator on hazardous substances in marine organisms (MAR001)</w:t>
      </w:r>
      <w:r w:rsidR="00DB2061" w:rsidRPr="00DB2061">
        <w:t xml:space="preserve"> </w:t>
      </w:r>
      <w:r w:rsidR="00DB2061">
        <w:t xml:space="preserve">addresses the </w:t>
      </w:r>
      <w:r w:rsidR="00DB2061" w:rsidRPr="00DB2061">
        <w:rPr>
          <w:szCs w:val="21"/>
          <w:lang w:val="en-US"/>
        </w:rPr>
        <w:t>key policy question: Are the concentrations and trends of hazardous substances in marine organisms acceptable?</w:t>
      </w:r>
      <w:r>
        <w:rPr>
          <w:szCs w:val="21"/>
          <w:lang w:val="en-US"/>
        </w:rPr>
        <w:t xml:space="preserve"> </w:t>
      </w:r>
      <w:r w:rsidR="00DB2061">
        <w:rPr>
          <w:szCs w:val="21"/>
          <w:lang w:val="en-US"/>
        </w:rPr>
        <w:t xml:space="preserve">This indicator </w:t>
      </w:r>
      <w:r w:rsidR="007B518E" w:rsidRPr="007B518E">
        <w:rPr>
          <w:szCs w:val="21"/>
          <w:lang w:val="en-US"/>
        </w:rPr>
        <w:t xml:space="preserve">describes the levels and trends in European seas of </w:t>
      </w:r>
      <w:r w:rsidR="001131C0" w:rsidRPr="007B518E">
        <w:rPr>
          <w:szCs w:val="21"/>
          <w:lang w:val="en-US"/>
        </w:rPr>
        <w:t>hazar</w:t>
      </w:r>
      <w:r w:rsidR="001131C0">
        <w:rPr>
          <w:szCs w:val="21"/>
          <w:lang w:val="en-US"/>
        </w:rPr>
        <w:t xml:space="preserve">dous substances </w:t>
      </w:r>
      <w:r w:rsidR="007B518E" w:rsidRPr="007B518E">
        <w:rPr>
          <w:szCs w:val="21"/>
          <w:lang w:val="en-US"/>
        </w:rPr>
        <w:t xml:space="preserve">concentrations </w:t>
      </w:r>
      <w:r w:rsidR="001131C0">
        <w:rPr>
          <w:szCs w:val="21"/>
          <w:lang w:val="en-US"/>
        </w:rPr>
        <w:t xml:space="preserve">in marine biota. </w:t>
      </w:r>
      <w:r w:rsidR="006E6FCC">
        <w:rPr>
          <w:szCs w:val="21"/>
          <w:lang w:val="en-US"/>
        </w:rPr>
        <w:t>The</w:t>
      </w:r>
      <w:r w:rsidR="006E6FCC" w:rsidRPr="006E6FCC">
        <w:rPr>
          <w:szCs w:val="21"/>
          <w:lang w:val="en-US"/>
        </w:rPr>
        <w:t xml:space="preserve"> indicator is based on the as</w:t>
      </w:r>
      <w:r w:rsidR="006E6FCC">
        <w:rPr>
          <w:szCs w:val="21"/>
          <w:lang w:val="en-US"/>
        </w:rPr>
        <w:t>sessment of seven substances</w:t>
      </w:r>
      <w:r w:rsidR="00DB2061">
        <w:rPr>
          <w:szCs w:val="21"/>
          <w:lang w:val="en-US"/>
        </w:rPr>
        <w:t xml:space="preserve"> (sub indicators)</w:t>
      </w:r>
      <w:r w:rsidR="006E6FCC">
        <w:rPr>
          <w:szCs w:val="21"/>
          <w:lang w:val="en-US"/>
        </w:rPr>
        <w:t xml:space="preserve">: </w:t>
      </w:r>
      <w:r w:rsidR="006E6FCC" w:rsidRPr="006E6FCC">
        <w:rPr>
          <w:szCs w:val="21"/>
          <w:lang w:val="en-US"/>
        </w:rPr>
        <w:t>cadmium, lead</w:t>
      </w:r>
      <w:r w:rsidR="00DB2061">
        <w:rPr>
          <w:szCs w:val="21"/>
          <w:lang w:val="en-US"/>
        </w:rPr>
        <w:t>,</w:t>
      </w:r>
      <w:r w:rsidR="006E6FCC" w:rsidRPr="006E6FCC">
        <w:rPr>
          <w:szCs w:val="21"/>
          <w:lang w:val="en-US"/>
        </w:rPr>
        <w:t xml:space="preserve"> mercury</w:t>
      </w:r>
      <w:r w:rsidR="00DB2061">
        <w:rPr>
          <w:szCs w:val="21"/>
          <w:lang w:val="en-US"/>
        </w:rPr>
        <w:t>, DDT,</w:t>
      </w:r>
      <w:r w:rsidR="006E6FCC" w:rsidRPr="006E6FCC">
        <w:rPr>
          <w:szCs w:val="21"/>
          <w:lang w:val="en-US"/>
        </w:rPr>
        <w:t xml:space="preserve"> lindane</w:t>
      </w:r>
      <w:r w:rsidR="00DB2061">
        <w:rPr>
          <w:szCs w:val="21"/>
          <w:lang w:val="en-US"/>
        </w:rPr>
        <w:t xml:space="preserve">, HCB and </w:t>
      </w:r>
      <w:r w:rsidR="006E6FCC" w:rsidRPr="006E6FCC">
        <w:rPr>
          <w:szCs w:val="21"/>
          <w:lang w:val="en-US"/>
        </w:rPr>
        <w:t xml:space="preserve">PCBs. </w:t>
      </w:r>
    </w:p>
    <w:p w:rsidR="00EC5066" w:rsidRPr="00F2534A" w:rsidRDefault="004B48B8" w:rsidP="004B48B8">
      <w:pPr>
        <w:pStyle w:val="Caption"/>
        <w:rPr>
          <w:lang w:val="en-US"/>
        </w:rPr>
      </w:pPr>
      <w:r>
        <w:lastRenderedPageBreak/>
        <w:t xml:space="preserve">Table </w:t>
      </w:r>
      <w:r w:rsidR="008135ED">
        <w:fldChar w:fldCharType="begin"/>
      </w:r>
      <w:r>
        <w:instrText xml:space="preserve"> STYLEREF 1 \s </w:instrText>
      </w:r>
      <w:r w:rsidR="008135ED">
        <w:fldChar w:fldCharType="separate"/>
      </w:r>
      <w:r w:rsidR="003461A2">
        <w:rPr>
          <w:noProof/>
        </w:rPr>
        <w:t>3</w:t>
      </w:r>
      <w:r w:rsidR="008135ED">
        <w:fldChar w:fldCharType="end"/>
      </w:r>
      <w:r>
        <w:t>.</w:t>
      </w:r>
      <w:r w:rsidR="008135ED">
        <w:fldChar w:fldCharType="begin"/>
      </w:r>
      <w:r>
        <w:instrText xml:space="preserve"> SEQ Table \* ARABIC \s 1 </w:instrText>
      </w:r>
      <w:r w:rsidR="008135ED">
        <w:fldChar w:fldCharType="separate"/>
      </w:r>
      <w:r w:rsidR="003461A2">
        <w:rPr>
          <w:noProof/>
        </w:rPr>
        <w:t>1</w:t>
      </w:r>
      <w:r w:rsidR="008135ED">
        <w:fldChar w:fldCharType="end"/>
      </w:r>
      <w:r>
        <w:tab/>
      </w:r>
      <w:r w:rsidR="00EC5066" w:rsidRPr="00F2534A">
        <w:t xml:space="preserve">Hazardous substances </w:t>
      </w:r>
      <w:r w:rsidR="00EC5066" w:rsidRPr="00F2534A">
        <w:rPr>
          <w:lang w:val="en-US"/>
        </w:rPr>
        <w:t>objectives of the four RSCs</w:t>
      </w:r>
      <w:r w:rsidR="00F464B3">
        <w:rPr>
          <w:lang w:val="en-US"/>
        </w:rPr>
        <w:t xml:space="preserve">, key </w:t>
      </w:r>
      <w:r w:rsidR="00226DA9">
        <w:rPr>
          <w:lang w:val="en-US"/>
        </w:rPr>
        <w:t>policy</w:t>
      </w:r>
      <w:r w:rsidR="00F464B3">
        <w:rPr>
          <w:lang w:val="en-US"/>
        </w:rPr>
        <w:t xml:space="preserve"> question</w:t>
      </w:r>
      <w:r w:rsidR="00226DA9">
        <w:rPr>
          <w:lang w:val="en-US"/>
        </w:rPr>
        <w:t xml:space="preserve"> of the EEA</w:t>
      </w:r>
      <w:r w:rsidR="00F464B3">
        <w:rPr>
          <w:lang w:val="en-US"/>
        </w:rPr>
        <w:t xml:space="preserve"> and environmental objective of the WFD </w:t>
      </w:r>
      <w:r w:rsidR="00EC5066" w:rsidRPr="00F2534A">
        <w:rPr>
          <w:lang w:val="en-US"/>
        </w:rPr>
        <w:t xml:space="preserve"> in parallel to the corresponding criteria of MSFD for the GES Descriptors D8 D9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2"/>
        <w:gridCol w:w="2140"/>
        <w:gridCol w:w="1630"/>
        <w:gridCol w:w="2038"/>
        <w:gridCol w:w="1786"/>
        <w:gridCol w:w="1786"/>
        <w:gridCol w:w="1783"/>
      </w:tblGrid>
      <w:tr w:rsidR="00226DA9" w:rsidRPr="004B48B8" w:rsidTr="00226DA9">
        <w:trPr>
          <w:trHeight w:val="427"/>
        </w:trPr>
        <w:tc>
          <w:tcPr>
            <w:tcW w:w="843"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rPr>
            </w:pPr>
            <w:r w:rsidRPr="004B48B8">
              <w:rPr>
                <w:b/>
                <w:bCs/>
                <w:color w:val="000000"/>
                <w:sz w:val="18"/>
                <w:szCs w:val="18"/>
              </w:rPr>
              <w:t>ΜSFD</w:t>
            </w:r>
          </w:p>
        </w:tc>
        <w:tc>
          <w:tcPr>
            <w:tcW w:w="797"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rPr>
            </w:pPr>
            <w:r w:rsidRPr="004B48B8">
              <w:rPr>
                <w:b/>
                <w:bCs/>
                <w:color w:val="000000"/>
                <w:sz w:val="18"/>
                <w:szCs w:val="18"/>
              </w:rPr>
              <w:t>OSPAR</w:t>
            </w:r>
          </w:p>
        </w:tc>
        <w:tc>
          <w:tcPr>
            <w:tcW w:w="607"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rPr>
            </w:pPr>
            <w:r w:rsidRPr="004B48B8">
              <w:rPr>
                <w:b/>
                <w:bCs/>
                <w:color w:val="000000"/>
                <w:sz w:val="18"/>
                <w:szCs w:val="18"/>
              </w:rPr>
              <w:t>HELCOM</w:t>
            </w:r>
          </w:p>
        </w:tc>
        <w:tc>
          <w:tcPr>
            <w:tcW w:w="759"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rPr>
            </w:pPr>
            <w:r w:rsidRPr="004B48B8">
              <w:rPr>
                <w:b/>
                <w:bCs/>
                <w:color w:val="000000"/>
                <w:sz w:val="18"/>
                <w:szCs w:val="18"/>
              </w:rPr>
              <w:t>UNEP/MAP</w:t>
            </w:r>
          </w:p>
        </w:tc>
        <w:tc>
          <w:tcPr>
            <w:tcW w:w="665"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lang w:val="en-US"/>
              </w:rPr>
            </w:pPr>
            <w:r w:rsidRPr="004B48B8">
              <w:rPr>
                <w:b/>
                <w:bCs/>
                <w:color w:val="000000"/>
                <w:sz w:val="18"/>
                <w:szCs w:val="18"/>
                <w:lang w:val="en-US"/>
              </w:rPr>
              <w:t>BSC</w:t>
            </w:r>
          </w:p>
        </w:tc>
        <w:tc>
          <w:tcPr>
            <w:tcW w:w="665"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lang w:val="en-US"/>
              </w:rPr>
            </w:pPr>
            <w:r>
              <w:rPr>
                <w:b/>
                <w:bCs/>
                <w:color w:val="000000"/>
                <w:sz w:val="18"/>
                <w:szCs w:val="18"/>
                <w:lang w:val="en-US"/>
              </w:rPr>
              <w:t>EEA</w:t>
            </w:r>
          </w:p>
        </w:tc>
        <w:tc>
          <w:tcPr>
            <w:tcW w:w="665" w:type="pct"/>
            <w:shd w:val="clear" w:color="auto" w:fill="D9D9D9" w:themeFill="background1" w:themeFillShade="D9"/>
          </w:tcPr>
          <w:p w:rsidR="00226DA9" w:rsidRPr="004B48B8" w:rsidRDefault="00226DA9" w:rsidP="00987279">
            <w:pPr>
              <w:autoSpaceDE w:val="0"/>
              <w:autoSpaceDN w:val="0"/>
              <w:adjustRightInd w:val="0"/>
              <w:spacing w:line="240" w:lineRule="auto"/>
              <w:jc w:val="center"/>
              <w:rPr>
                <w:b/>
                <w:bCs/>
                <w:color w:val="000000"/>
                <w:sz w:val="18"/>
                <w:szCs w:val="18"/>
                <w:lang w:val="en-US"/>
              </w:rPr>
            </w:pPr>
            <w:r>
              <w:rPr>
                <w:b/>
                <w:bCs/>
                <w:color w:val="000000"/>
                <w:sz w:val="18"/>
                <w:szCs w:val="18"/>
                <w:lang w:val="en-US"/>
              </w:rPr>
              <w:t>WFD</w:t>
            </w:r>
          </w:p>
        </w:tc>
      </w:tr>
      <w:tr w:rsidR="00226DA9" w:rsidRPr="004B48B8" w:rsidTr="00226DA9">
        <w:trPr>
          <w:trHeight w:val="326"/>
        </w:trPr>
        <w:tc>
          <w:tcPr>
            <w:tcW w:w="843" w:type="pct"/>
            <w:shd w:val="solid" w:color="FFFFFF" w:fill="auto"/>
          </w:tcPr>
          <w:p w:rsidR="00226DA9" w:rsidRPr="004B48B8" w:rsidRDefault="00226DA9" w:rsidP="00987279">
            <w:pPr>
              <w:spacing w:line="240" w:lineRule="auto"/>
              <w:rPr>
                <w:bCs/>
                <w:sz w:val="18"/>
                <w:szCs w:val="18"/>
                <w:lang w:val="en-US"/>
              </w:rPr>
            </w:pPr>
            <w:r w:rsidRPr="004B48B8">
              <w:rPr>
                <w:b/>
                <w:bCs/>
                <w:sz w:val="18"/>
                <w:szCs w:val="18"/>
                <w:lang w:val="en-US"/>
              </w:rPr>
              <w:t xml:space="preserve">D8: </w:t>
            </w:r>
            <w:r w:rsidRPr="004B48B8">
              <w:rPr>
                <w:bCs/>
                <w:sz w:val="18"/>
                <w:szCs w:val="18"/>
                <w:lang w:val="en-US"/>
              </w:rPr>
              <w:t>Concentrations of contaminants are at levels not giving rise to pollution effects</w:t>
            </w:r>
          </w:p>
          <w:p w:rsidR="00226DA9" w:rsidRPr="004B48B8" w:rsidRDefault="00226DA9" w:rsidP="00987279">
            <w:pPr>
              <w:spacing w:line="240" w:lineRule="auto"/>
              <w:rPr>
                <w:b/>
                <w:bCs/>
                <w:sz w:val="18"/>
                <w:szCs w:val="18"/>
                <w:lang w:val="en-US"/>
              </w:rPr>
            </w:pPr>
            <w:r w:rsidRPr="004B48B8">
              <w:rPr>
                <w:b/>
                <w:bCs/>
                <w:sz w:val="18"/>
                <w:szCs w:val="18"/>
                <w:lang w:val="en-US"/>
              </w:rPr>
              <w:t xml:space="preserve">D9: </w:t>
            </w:r>
            <w:r w:rsidRPr="004B48B8">
              <w:rPr>
                <w:bCs/>
                <w:sz w:val="18"/>
                <w:szCs w:val="18"/>
                <w:lang w:val="en-US"/>
              </w:rPr>
              <w:t>Contaminants in fish and other seafood for human consumption do not exceed levels established</w:t>
            </w:r>
            <w:r w:rsidRPr="004B48B8">
              <w:rPr>
                <w:bCs/>
                <w:sz w:val="18"/>
                <w:szCs w:val="18"/>
                <w:lang w:val="en-US"/>
              </w:rPr>
              <w:br/>
              <w:t>by Community legislation or other relevant standards.</w:t>
            </w:r>
          </w:p>
          <w:p w:rsidR="00226DA9" w:rsidRPr="004B48B8" w:rsidRDefault="00226DA9" w:rsidP="00987279">
            <w:pPr>
              <w:spacing w:line="240" w:lineRule="auto"/>
              <w:rPr>
                <w:b/>
                <w:bCs/>
                <w:sz w:val="18"/>
                <w:szCs w:val="18"/>
                <w:lang w:val="en-US"/>
              </w:rPr>
            </w:pPr>
          </w:p>
        </w:tc>
        <w:tc>
          <w:tcPr>
            <w:tcW w:w="797" w:type="pct"/>
            <w:shd w:val="solid" w:color="FFFFFF" w:fill="auto"/>
          </w:tcPr>
          <w:p w:rsidR="00226DA9" w:rsidRPr="004B48B8" w:rsidRDefault="00226DA9" w:rsidP="00987279">
            <w:pPr>
              <w:spacing w:line="240" w:lineRule="auto"/>
              <w:rPr>
                <w:b/>
                <w:bCs/>
                <w:sz w:val="18"/>
                <w:szCs w:val="18"/>
                <w:lang w:val="en-US"/>
              </w:rPr>
            </w:pPr>
            <w:r w:rsidRPr="004B48B8">
              <w:rPr>
                <w:b/>
                <w:bCs/>
                <w:sz w:val="18"/>
                <w:szCs w:val="18"/>
                <w:lang w:val="en-US"/>
              </w:rPr>
              <w:t xml:space="preserve">Strategic objective: </w:t>
            </w:r>
            <w:r w:rsidRPr="004B48B8">
              <w:rPr>
                <w:bCs/>
                <w:sz w:val="18"/>
                <w:szCs w:val="18"/>
                <w:lang w:val="en-US"/>
              </w:rPr>
              <w:t>To prevent pollution of the OSPAR maritime area by continuously reducing discharges, emissions and losses of hazardous substances (as defined in Annex 1), with the ultimate aim to achieve concentrations in the marine environment near background values for naturally occurring substances and close to zero for man-made synthetic substances</w:t>
            </w:r>
          </w:p>
        </w:tc>
        <w:tc>
          <w:tcPr>
            <w:tcW w:w="607" w:type="pct"/>
            <w:shd w:val="solid" w:color="FFFFFF" w:fill="auto"/>
          </w:tcPr>
          <w:p w:rsidR="00226DA9" w:rsidRPr="004B48B8" w:rsidRDefault="00226DA9" w:rsidP="00987279">
            <w:pPr>
              <w:spacing w:line="240" w:lineRule="auto"/>
              <w:rPr>
                <w:bCs/>
                <w:sz w:val="18"/>
                <w:szCs w:val="18"/>
                <w:lang w:val="en-US"/>
              </w:rPr>
            </w:pPr>
            <w:r w:rsidRPr="004B48B8">
              <w:rPr>
                <w:b/>
                <w:bCs/>
                <w:sz w:val="18"/>
                <w:szCs w:val="18"/>
                <w:lang w:val="en-US"/>
              </w:rPr>
              <w:t xml:space="preserve">Strategic goal: </w:t>
            </w:r>
            <w:r w:rsidRPr="004B48B8">
              <w:rPr>
                <w:bCs/>
                <w:sz w:val="18"/>
                <w:szCs w:val="18"/>
                <w:lang w:val="en-US"/>
              </w:rPr>
              <w:t>The Baltic Sea life undisturbed by hazardous substances</w:t>
            </w:r>
          </w:p>
        </w:tc>
        <w:tc>
          <w:tcPr>
            <w:tcW w:w="759" w:type="pct"/>
            <w:shd w:val="solid" w:color="FFFFFF" w:fill="auto"/>
          </w:tcPr>
          <w:p w:rsidR="00226DA9" w:rsidRPr="004B48B8" w:rsidRDefault="00226DA9" w:rsidP="00987279">
            <w:pPr>
              <w:spacing w:line="240" w:lineRule="auto"/>
              <w:jc w:val="center"/>
              <w:rPr>
                <w:bCs/>
                <w:sz w:val="18"/>
                <w:szCs w:val="18"/>
                <w:lang w:val="en-US"/>
              </w:rPr>
            </w:pPr>
            <w:r w:rsidRPr="004B48B8">
              <w:rPr>
                <w:b/>
                <w:bCs/>
                <w:sz w:val="18"/>
                <w:szCs w:val="18"/>
                <w:lang w:val="en-US"/>
              </w:rPr>
              <w:t xml:space="preserve">EQ: </w:t>
            </w:r>
            <w:r w:rsidRPr="004B48B8">
              <w:rPr>
                <w:bCs/>
                <w:sz w:val="18"/>
                <w:szCs w:val="18"/>
                <w:lang w:val="en-US"/>
              </w:rPr>
              <w:t>Contaminants cause no significant impact on coastal and marine ecosystems and human health.</w:t>
            </w:r>
          </w:p>
        </w:tc>
        <w:tc>
          <w:tcPr>
            <w:tcW w:w="665" w:type="pct"/>
            <w:shd w:val="solid" w:color="FFFFFF" w:fill="auto"/>
          </w:tcPr>
          <w:p w:rsidR="00226DA9" w:rsidRPr="004B48B8" w:rsidRDefault="00226DA9" w:rsidP="00987279">
            <w:pPr>
              <w:spacing w:line="240" w:lineRule="auto"/>
              <w:rPr>
                <w:b/>
                <w:bCs/>
                <w:sz w:val="18"/>
                <w:szCs w:val="18"/>
                <w:lang w:val="en-US"/>
              </w:rPr>
            </w:pPr>
            <w:r w:rsidRPr="004B48B8">
              <w:rPr>
                <w:bCs/>
                <w:sz w:val="18"/>
                <w:szCs w:val="18"/>
                <w:lang w:val="en-US"/>
              </w:rPr>
              <w:t>1. LBSA Protocol 2009</w:t>
            </w:r>
            <w:r w:rsidRPr="004B48B8">
              <w:rPr>
                <w:bCs/>
                <w:sz w:val="18"/>
                <w:szCs w:val="18"/>
                <w:vertAlign w:val="superscript"/>
                <w:lang w:val="en-US"/>
              </w:rPr>
              <w:t>5</w:t>
            </w:r>
            <w:r w:rsidRPr="004B48B8">
              <w:rPr>
                <w:bCs/>
                <w:sz w:val="18"/>
                <w:szCs w:val="18"/>
                <w:lang w:val="en-US"/>
              </w:rPr>
              <w:t xml:space="preserve">                            2.  BSSAP 2009 – EcoQO4 - Ensure Good Water Quality for Human Health, Recreational Use and Aquatic Biota</w:t>
            </w:r>
            <w:r w:rsidRPr="004B48B8">
              <w:rPr>
                <w:bCs/>
                <w:sz w:val="18"/>
                <w:szCs w:val="18"/>
                <w:vertAlign w:val="superscript"/>
                <w:lang w:val="en-US"/>
              </w:rPr>
              <w:t>6</w:t>
            </w:r>
          </w:p>
        </w:tc>
        <w:tc>
          <w:tcPr>
            <w:tcW w:w="665" w:type="pct"/>
            <w:shd w:val="solid" w:color="FFFFFF" w:fill="auto"/>
          </w:tcPr>
          <w:p w:rsidR="00226DA9" w:rsidRPr="004B48B8" w:rsidRDefault="00226DA9" w:rsidP="00987279">
            <w:pPr>
              <w:spacing w:line="240" w:lineRule="auto"/>
              <w:rPr>
                <w:bCs/>
                <w:sz w:val="18"/>
                <w:szCs w:val="18"/>
                <w:lang w:val="en-US"/>
              </w:rPr>
            </w:pPr>
          </w:p>
        </w:tc>
        <w:tc>
          <w:tcPr>
            <w:tcW w:w="665" w:type="pct"/>
            <w:shd w:val="solid" w:color="FFFFFF" w:fill="auto"/>
          </w:tcPr>
          <w:p w:rsidR="00226DA9" w:rsidRPr="004B48B8" w:rsidRDefault="00226DA9" w:rsidP="00987279">
            <w:pPr>
              <w:spacing w:line="240" w:lineRule="auto"/>
              <w:rPr>
                <w:bCs/>
                <w:sz w:val="18"/>
                <w:szCs w:val="18"/>
                <w:lang w:val="en-US"/>
              </w:rPr>
            </w:pPr>
          </w:p>
        </w:tc>
      </w:tr>
      <w:tr w:rsidR="00226DA9" w:rsidRPr="004B48B8" w:rsidTr="00226DA9">
        <w:trPr>
          <w:trHeight w:val="805"/>
        </w:trPr>
        <w:tc>
          <w:tcPr>
            <w:tcW w:w="843" w:type="pct"/>
            <w:shd w:val="solid" w:color="FFFFFF" w:fill="auto"/>
          </w:tcPr>
          <w:p w:rsidR="00226DA9" w:rsidRPr="004B48B8" w:rsidRDefault="00226DA9" w:rsidP="00987279">
            <w:pPr>
              <w:autoSpaceDE w:val="0"/>
              <w:autoSpaceDN w:val="0"/>
              <w:adjustRightInd w:val="0"/>
              <w:spacing w:line="240" w:lineRule="auto"/>
              <w:rPr>
                <w:b/>
                <w:bCs/>
                <w:color w:val="000000"/>
                <w:sz w:val="18"/>
                <w:szCs w:val="18"/>
              </w:rPr>
            </w:pPr>
            <w:r w:rsidRPr="004B48B8">
              <w:rPr>
                <w:b/>
                <w:bCs/>
                <w:color w:val="000000"/>
                <w:sz w:val="18"/>
                <w:szCs w:val="18"/>
              </w:rPr>
              <w:t>Criteria</w:t>
            </w:r>
            <w:r w:rsidRPr="004B48B8">
              <w:rPr>
                <w:b/>
                <w:bCs/>
                <w:color w:val="000000"/>
                <w:sz w:val="18"/>
                <w:szCs w:val="18"/>
                <w:vertAlign w:val="superscript"/>
              </w:rPr>
              <w:t>1</w:t>
            </w:r>
          </w:p>
        </w:tc>
        <w:tc>
          <w:tcPr>
            <w:tcW w:w="797"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r w:rsidRPr="004B48B8">
              <w:rPr>
                <w:b/>
                <w:bCs/>
                <w:color w:val="000000"/>
                <w:sz w:val="18"/>
                <w:szCs w:val="18"/>
                <w:lang w:val="en-US"/>
              </w:rPr>
              <w:t xml:space="preserve">Ecological Quality Objectives </w:t>
            </w:r>
            <w:r w:rsidRPr="004B48B8">
              <w:rPr>
                <w:b/>
                <w:bCs/>
                <w:color w:val="000000"/>
                <w:sz w:val="18"/>
                <w:szCs w:val="18"/>
                <w:vertAlign w:val="superscript"/>
                <w:lang w:val="en-US"/>
              </w:rPr>
              <w:t>2</w:t>
            </w:r>
          </w:p>
          <w:p w:rsidR="00226DA9" w:rsidRPr="004B48B8" w:rsidRDefault="00226DA9" w:rsidP="00987279">
            <w:pPr>
              <w:autoSpaceDE w:val="0"/>
              <w:autoSpaceDN w:val="0"/>
              <w:adjustRightInd w:val="0"/>
              <w:spacing w:line="240" w:lineRule="auto"/>
              <w:rPr>
                <w:b/>
                <w:bCs/>
                <w:color w:val="000000"/>
                <w:sz w:val="18"/>
                <w:szCs w:val="18"/>
                <w:lang w:val="en-US"/>
              </w:rPr>
            </w:pPr>
          </w:p>
        </w:tc>
        <w:tc>
          <w:tcPr>
            <w:tcW w:w="607" w:type="pct"/>
            <w:shd w:val="solid" w:color="FFFFFF" w:fill="auto"/>
          </w:tcPr>
          <w:p w:rsidR="00226DA9" w:rsidRPr="004B48B8" w:rsidRDefault="00226DA9" w:rsidP="00987279">
            <w:pPr>
              <w:autoSpaceDE w:val="0"/>
              <w:autoSpaceDN w:val="0"/>
              <w:adjustRightInd w:val="0"/>
              <w:spacing w:line="240" w:lineRule="auto"/>
              <w:rPr>
                <w:b/>
                <w:bCs/>
                <w:color w:val="000000"/>
                <w:sz w:val="18"/>
                <w:szCs w:val="18"/>
              </w:rPr>
            </w:pPr>
            <w:r w:rsidRPr="004B48B8">
              <w:rPr>
                <w:b/>
                <w:bCs/>
                <w:color w:val="000000"/>
                <w:sz w:val="18"/>
                <w:szCs w:val="18"/>
              </w:rPr>
              <w:t>Ecological objectives</w:t>
            </w:r>
            <w:r w:rsidRPr="004B48B8">
              <w:rPr>
                <w:b/>
                <w:bCs/>
                <w:color w:val="000000"/>
                <w:sz w:val="18"/>
                <w:szCs w:val="18"/>
                <w:vertAlign w:val="superscript"/>
              </w:rPr>
              <w:t>3</w:t>
            </w:r>
          </w:p>
        </w:tc>
        <w:tc>
          <w:tcPr>
            <w:tcW w:w="759"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r w:rsidRPr="004B48B8">
              <w:rPr>
                <w:b/>
                <w:bCs/>
                <w:color w:val="000000"/>
                <w:sz w:val="18"/>
                <w:szCs w:val="18"/>
                <w:lang w:val="en-US"/>
              </w:rPr>
              <w:t xml:space="preserve">Proposed operational objectives </w:t>
            </w:r>
            <w:r w:rsidRPr="004B48B8">
              <w:rPr>
                <w:b/>
                <w:bCs/>
                <w:color w:val="000000"/>
                <w:sz w:val="18"/>
                <w:szCs w:val="18"/>
                <w:vertAlign w:val="superscript"/>
                <w:lang w:val="en-US"/>
              </w:rPr>
              <w:t>4</w:t>
            </w: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4E75A6" w:rsidP="00987279">
            <w:pPr>
              <w:autoSpaceDE w:val="0"/>
              <w:autoSpaceDN w:val="0"/>
              <w:adjustRightInd w:val="0"/>
              <w:spacing w:line="240" w:lineRule="auto"/>
              <w:rPr>
                <w:b/>
                <w:bCs/>
                <w:color w:val="000000"/>
                <w:sz w:val="18"/>
                <w:szCs w:val="18"/>
                <w:lang w:val="en-US"/>
              </w:rPr>
            </w:pPr>
            <w:r>
              <w:rPr>
                <w:b/>
                <w:bCs/>
                <w:color w:val="000000"/>
                <w:sz w:val="18"/>
                <w:szCs w:val="18"/>
                <w:lang w:val="en-US"/>
              </w:rPr>
              <w:t>Key p</w:t>
            </w:r>
            <w:r w:rsidR="001131C0">
              <w:rPr>
                <w:b/>
                <w:bCs/>
                <w:color w:val="000000"/>
                <w:sz w:val="18"/>
                <w:szCs w:val="18"/>
                <w:lang w:val="en-US"/>
              </w:rPr>
              <w:t>olicy question</w:t>
            </w:r>
            <w:r>
              <w:rPr>
                <w:b/>
                <w:bCs/>
                <w:color w:val="000000"/>
                <w:sz w:val="18"/>
                <w:szCs w:val="18"/>
                <w:vertAlign w:val="superscript"/>
                <w:lang w:val="en-US"/>
              </w:rPr>
              <w:t>7</w:t>
            </w:r>
          </w:p>
        </w:tc>
        <w:tc>
          <w:tcPr>
            <w:tcW w:w="665" w:type="pct"/>
            <w:shd w:val="solid" w:color="FFFFFF" w:fill="auto"/>
          </w:tcPr>
          <w:p w:rsidR="0017686D" w:rsidRDefault="0017686D" w:rsidP="00987279">
            <w:pPr>
              <w:autoSpaceDE w:val="0"/>
              <w:autoSpaceDN w:val="0"/>
              <w:adjustRightInd w:val="0"/>
              <w:spacing w:line="240" w:lineRule="auto"/>
              <w:rPr>
                <w:b/>
                <w:bCs/>
                <w:color w:val="000000"/>
                <w:sz w:val="18"/>
                <w:szCs w:val="18"/>
                <w:lang w:val="en-US"/>
              </w:rPr>
            </w:pPr>
            <w:r>
              <w:rPr>
                <w:b/>
                <w:bCs/>
                <w:color w:val="000000"/>
                <w:sz w:val="18"/>
                <w:szCs w:val="18"/>
                <w:lang w:val="en-US"/>
              </w:rPr>
              <w:t>Environmental</w:t>
            </w:r>
          </w:p>
          <w:p w:rsidR="00226DA9" w:rsidRPr="004B48B8" w:rsidRDefault="0017686D" w:rsidP="00987279">
            <w:pPr>
              <w:autoSpaceDE w:val="0"/>
              <w:autoSpaceDN w:val="0"/>
              <w:adjustRightInd w:val="0"/>
              <w:spacing w:line="240" w:lineRule="auto"/>
              <w:rPr>
                <w:b/>
                <w:bCs/>
                <w:color w:val="000000"/>
                <w:sz w:val="18"/>
                <w:szCs w:val="18"/>
                <w:lang w:val="en-US"/>
              </w:rPr>
            </w:pPr>
            <w:r>
              <w:rPr>
                <w:b/>
                <w:bCs/>
                <w:color w:val="000000"/>
                <w:sz w:val="18"/>
                <w:szCs w:val="18"/>
                <w:lang w:val="en-US"/>
              </w:rPr>
              <w:t>Objective</w:t>
            </w:r>
            <w:r w:rsidRPr="0017686D">
              <w:rPr>
                <w:b/>
                <w:bCs/>
                <w:color w:val="000000"/>
                <w:sz w:val="18"/>
                <w:szCs w:val="18"/>
                <w:vertAlign w:val="superscript"/>
                <w:lang w:val="en-US"/>
              </w:rPr>
              <w:t>8</w:t>
            </w:r>
          </w:p>
        </w:tc>
      </w:tr>
      <w:tr w:rsidR="00226DA9" w:rsidRPr="004B48B8" w:rsidTr="00226DA9">
        <w:trPr>
          <w:trHeight w:val="1128"/>
        </w:trPr>
        <w:tc>
          <w:tcPr>
            <w:tcW w:w="843" w:type="pct"/>
            <w:shd w:val="solid" w:color="FFFFFF" w:fill="auto"/>
          </w:tcPr>
          <w:p w:rsidR="00226DA9" w:rsidRPr="004B48B8" w:rsidRDefault="00226DA9" w:rsidP="00987279">
            <w:pPr>
              <w:autoSpaceDE w:val="0"/>
              <w:autoSpaceDN w:val="0"/>
              <w:adjustRightInd w:val="0"/>
              <w:spacing w:line="240" w:lineRule="auto"/>
              <w:rPr>
                <w:color w:val="000000"/>
                <w:sz w:val="18"/>
                <w:szCs w:val="18"/>
              </w:rPr>
            </w:pPr>
            <w:r w:rsidRPr="004B48B8">
              <w:rPr>
                <w:color w:val="000000"/>
                <w:sz w:val="18"/>
                <w:szCs w:val="18"/>
              </w:rPr>
              <w:t>8.1 Concentration of contaminants</w:t>
            </w:r>
          </w:p>
        </w:tc>
        <w:tc>
          <w:tcPr>
            <w:tcW w:w="797" w:type="pct"/>
            <w:shd w:val="solid" w:color="FFFFFF" w:fill="auto"/>
          </w:tcPr>
          <w:p w:rsidR="00226DA9" w:rsidRPr="004B48B8" w:rsidRDefault="00226DA9" w:rsidP="00987279">
            <w:pPr>
              <w:autoSpaceDE w:val="0"/>
              <w:autoSpaceDN w:val="0"/>
              <w:adjustRightInd w:val="0"/>
              <w:spacing w:line="240" w:lineRule="auto"/>
              <w:rPr>
                <w:sz w:val="18"/>
                <w:szCs w:val="18"/>
                <w:lang w:val="en-US"/>
              </w:rPr>
            </w:pPr>
            <w:r w:rsidRPr="004B48B8">
              <w:rPr>
                <w:sz w:val="18"/>
                <w:szCs w:val="18"/>
                <w:lang w:val="en-US"/>
              </w:rPr>
              <w:t>Concentrations of mercury in the eggs of Common Tern (</w:t>
            </w:r>
            <w:r w:rsidRPr="004B48B8">
              <w:rPr>
                <w:i/>
                <w:iCs/>
                <w:sz w:val="18"/>
                <w:szCs w:val="18"/>
                <w:lang w:val="en-US"/>
              </w:rPr>
              <w:t>Sterna hirundo</w:t>
            </w:r>
            <w:r w:rsidRPr="004B48B8">
              <w:rPr>
                <w:sz w:val="18"/>
                <w:szCs w:val="18"/>
                <w:lang w:val="en-US"/>
              </w:rPr>
              <w:t>) and Eurasian</w:t>
            </w:r>
          </w:p>
          <w:p w:rsidR="00226DA9" w:rsidRPr="004B48B8" w:rsidRDefault="00226DA9" w:rsidP="00987279">
            <w:pPr>
              <w:autoSpaceDE w:val="0"/>
              <w:autoSpaceDN w:val="0"/>
              <w:adjustRightInd w:val="0"/>
              <w:spacing w:line="240" w:lineRule="auto"/>
              <w:rPr>
                <w:sz w:val="18"/>
                <w:szCs w:val="18"/>
                <w:lang w:val="en-US"/>
              </w:rPr>
            </w:pPr>
            <w:r w:rsidRPr="004B48B8">
              <w:rPr>
                <w:sz w:val="18"/>
                <w:szCs w:val="18"/>
                <w:lang w:val="en-US"/>
              </w:rPr>
              <w:t>Oystercatcher (</w:t>
            </w:r>
            <w:r w:rsidRPr="004B48B8">
              <w:rPr>
                <w:i/>
                <w:iCs/>
                <w:sz w:val="18"/>
                <w:szCs w:val="18"/>
                <w:lang w:val="en-US"/>
              </w:rPr>
              <w:t>Haematopusostralegus</w:t>
            </w:r>
            <w:r w:rsidRPr="004B48B8">
              <w:rPr>
                <w:sz w:val="18"/>
                <w:szCs w:val="18"/>
                <w:lang w:val="en-US"/>
              </w:rPr>
              <w:t>) breeding adjacent to the eight industrialised estuaries,</w:t>
            </w:r>
          </w:p>
          <w:p w:rsidR="00226DA9" w:rsidRPr="004B48B8" w:rsidRDefault="00226DA9" w:rsidP="00987279">
            <w:pPr>
              <w:autoSpaceDE w:val="0"/>
              <w:autoSpaceDN w:val="0"/>
              <w:adjustRightInd w:val="0"/>
              <w:spacing w:line="240" w:lineRule="auto"/>
              <w:rPr>
                <w:sz w:val="18"/>
                <w:szCs w:val="18"/>
                <w:lang w:val="en-US"/>
              </w:rPr>
            </w:pPr>
            <w:r w:rsidRPr="004B48B8">
              <w:rPr>
                <w:sz w:val="18"/>
                <w:szCs w:val="18"/>
                <w:lang w:val="en-US"/>
              </w:rPr>
              <w:t>should not exceed concentrations in eggs of the same species breeding in similar habitats in</w:t>
            </w:r>
          </w:p>
          <w:p w:rsidR="00226DA9" w:rsidRPr="004B48B8" w:rsidRDefault="00226DA9" w:rsidP="00987279">
            <w:pPr>
              <w:spacing w:line="240" w:lineRule="auto"/>
              <w:rPr>
                <w:sz w:val="18"/>
                <w:szCs w:val="18"/>
                <w:lang w:val="en-US"/>
              </w:rPr>
            </w:pPr>
            <w:r w:rsidRPr="004B48B8">
              <w:rPr>
                <w:sz w:val="18"/>
                <w:szCs w:val="18"/>
                <w:lang w:val="en-US"/>
              </w:rPr>
              <w:lastRenderedPageBreak/>
              <w:t>south-western Norway and in the Moray Firth</w:t>
            </w:r>
          </w:p>
        </w:tc>
        <w:tc>
          <w:tcPr>
            <w:tcW w:w="607" w:type="pct"/>
            <w:shd w:val="solid" w:color="FFFFFF" w:fill="auto"/>
          </w:tcPr>
          <w:p w:rsidR="00226DA9" w:rsidRPr="004B48B8" w:rsidRDefault="00226DA9" w:rsidP="00987279">
            <w:pPr>
              <w:spacing w:line="240" w:lineRule="auto"/>
              <w:rPr>
                <w:sz w:val="18"/>
                <w:szCs w:val="18"/>
                <w:lang w:val="en-US"/>
              </w:rPr>
            </w:pPr>
            <w:r w:rsidRPr="004B48B8">
              <w:rPr>
                <w:sz w:val="18"/>
                <w:szCs w:val="18"/>
                <w:lang w:val="en-US"/>
              </w:rPr>
              <w:lastRenderedPageBreak/>
              <w:t>Concentrations of hazardous substances close to natural levels</w:t>
            </w:r>
          </w:p>
        </w:tc>
        <w:tc>
          <w:tcPr>
            <w:tcW w:w="759" w:type="pct"/>
            <w:shd w:val="solid" w:color="FFFFFF" w:fill="auto"/>
          </w:tcPr>
          <w:p w:rsidR="00226DA9" w:rsidRPr="004B48B8" w:rsidRDefault="00226DA9" w:rsidP="00987279">
            <w:pPr>
              <w:spacing w:line="240" w:lineRule="auto"/>
              <w:jc w:val="center"/>
              <w:rPr>
                <w:sz w:val="18"/>
                <w:szCs w:val="18"/>
                <w:lang w:val="en-US"/>
              </w:rPr>
            </w:pPr>
            <w:r w:rsidRPr="004B48B8">
              <w:rPr>
                <w:sz w:val="18"/>
                <w:szCs w:val="18"/>
                <w:lang w:val="en-US"/>
              </w:rPr>
              <w:t>9.1 Concentration of priority contaminants is kept within acceptable limits and does not increase</w:t>
            </w: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F464B3" w:rsidRDefault="007B518E" w:rsidP="00987279">
            <w:pPr>
              <w:autoSpaceDE w:val="0"/>
              <w:autoSpaceDN w:val="0"/>
              <w:adjustRightInd w:val="0"/>
              <w:spacing w:line="240" w:lineRule="auto"/>
              <w:rPr>
                <w:bCs/>
                <w:color w:val="000000"/>
                <w:sz w:val="18"/>
                <w:szCs w:val="18"/>
                <w:lang w:val="en-US"/>
              </w:rPr>
            </w:pPr>
            <w:r w:rsidRPr="00F464B3">
              <w:rPr>
                <w:bCs/>
                <w:color w:val="000000"/>
                <w:sz w:val="18"/>
                <w:szCs w:val="18"/>
                <w:lang w:val="en-US"/>
              </w:rPr>
              <w:t>Are the concentrations and trends of hazardous substances in marine organisms acceptable?</w:t>
            </w:r>
            <w:r w:rsidR="004E75A6" w:rsidRPr="00F464B3">
              <w:rPr>
                <w:bCs/>
                <w:color w:val="000000"/>
                <w:sz w:val="18"/>
                <w:szCs w:val="18"/>
                <w:lang w:val="en-US"/>
              </w:rPr>
              <w:t xml:space="preserve"> </w:t>
            </w:r>
          </w:p>
          <w:p w:rsidR="007B518E" w:rsidRPr="00F464B3" w:rsidRDefault="007B518E" w:rsidP="00987279">
            <w:pPr>
              <w:autoSpaceDE w:val="0"/>
              <w:autoSpaceDN w:val="0"/>
              <w:adjustRightInd w:val="0"/>
              <w:spacing w:line="240" w:lineRule="auto"/>
              <w:rPr>
                <w:bCs/>
                <w:color w:val="000000"/>
                <w:sz w:val="18"/>
                <w:szCs w:val="18"/>
                <w:lang w:val="en-US"/>
              </w:rPr>
            </w:pPr>
          </w:p>
        </w:tc>
        <w:tc>
          <w:tcPr>
            <w:tcW w:w="665" w:type="pct"/>
            <w:shd w:val="solid" w:color="FFFFFF" w:fill="auto"/>
          </w:tcPr>
          <w:p w:rsidR="00226DA9" w:rsidRPr="00F464B3" w:rsidRDefault="0017686D" w:rsidP="0017686D">
            <w:pPr>
              <w:autoSpaceDE w:val="0"/>
              <w:autoSpaceDN w:val="0"/>
              <w:adjustRightInd w:val="0"/>
              <w:spacing w:line="240" w:lineRule="auto"/>
              <w:rPr>
                <w:bCs/>
                <w:color w:val="000000"/>
                <w:sz w:val="18"/>
                <w:szCs w:val="18"/>
                <w:lang w:val="en-US"/>
              </w:rPr>
            </w:pPr>
            <w:r w:rsidRPr="00F464B3">
              <w:rPr>
                <w:bCs/>
                <w:color w:val="000000"/>
                <w:sz w:val="18"/>
                <w:szCs w:val="18"/>
                <w:lang w:val="en-US"/>
              </w:rPr>
              <w:t xml:space="preserve">Good chemical status </w:t>
            </w:r>
          </w:p>
        </w:tc>
      </w:tr>
      <w:tr w:rsidR="00226DA9" w:rsidRPr="004B48B8" w:rsidTr="00226DA9">
        <w:trPr>
          <w:trHeight w:val="1128"/>
        </w:trPr>
        <w:tc>
          <w:tcPr>
            <w:tcW w:w="843"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797" w:type="pct"/>
            <w:shd w:val="solid" w:color="FFFFFF" w:fill="auto"/>
          </w:tcPr>
          <w:p w:rsidR="00226DA9" w:rsidRPr="004B48B8" w:rsidRDefault="00226DA9" w:rsidP="00987279">
            <w:pPr>
              <w:autoSpaceDE w:val="0"/>
              <w:autoSpaceDN w:val="0"/>
              <w:adjustRightInd w:val="0"/>
              <w:spacing w:line="240" w:lineRule="auto"/>
              <w:rPr>
                <w:sz w:val="18"/>
                <w:szCs w:val="18"/>
                <w:lang w:val="en-US"/>
              </w:rPr>
            </w:pPr>
            <w:r w:rsidRPr="004B48B8">
              <w:rPr>
                <w:sz w:val="18"/>
                <w:szCs w:val="18"/>
                <w:lang w:val="en-US"/>
              </w:rPr>
              <w:t>Concentrations of organochlorines in the eggs of Common Tern (</w:t>
            </w:r>
            <w:r w:rsidRPr="004B48B8">
              <w:rPr>
                <w:i/>
                <w:iCs/>
                <w:sz w:val="18"/>
                <w:szCs w:val="18"/>
                <w:lang w:val="en-US"/>
              </w:rPr>
              <w:t>Sterna hirundo</w:t>
            </w:r>
            <w:r w:rsidRPr="004B48B8">
              <w:rPr>
                <w:sz w:val="18"/>
                <w:szCs w:val="18"/>
                <w:lang w:val="en-US"/>
              </w:rPr>
              <w:t>) and Eurasian</w:t>
            </w:r>
          </w:p>
          <w:p w:rsidR="00226DA9" w:rsidRPr="004B48B8" w:rsidRDefault="00226DA9" w:rsidP="00987279">
            <w:pPr>
              <w:autoSpaceDE w:val="0"/>
              <w:autoSpaceDN w:val="0"/>
              <w:adjustRightInd w:val="0"/>
              <w:spacing w:line="240" w:lineRule="auto"/>
              <w:rPr>
                <w:sz w:val="18"/>
                <w:szCs w:val="18"/>
                <w:lang w:val="en-US"/>
              </w:rPr>
            </w:pPr>
            <w:r w:rsidRPr="004B48B8">
              <w:rPr>
                <w:sz w:val="18"/>
                <w:szCs w:val="18"/>
                <w:lang w:val="en-US"/>
              </w:rPr>
              <w:t>Oystercatcher (</w:t>
            </w:r>
            <w:r w:rsidRPr="004B48B8">
              <w:rPr>
                <w:i/>
                <w:iCs/>
                <w:sz w:val="18"/>
                <w:szCs w:val="18"/>
                <w:lang w:val="en-US"/>
              </w:rPr>
              <w:t>Haematopusostralegus</w:t>
            </w:r>
            <w:r w:rsidRPr="004B48B8">
              <w:rPr>
                <w:sz w:val="18"/>
                <w:szCs w:val="18"/>
                <w:lang w:val="en-US"/>
              </w:rPr>
              <w:t>) breeding adjacent to the eight industrialised estuaries,</w:t>
            </w:r>
          </w:p>
          <w:p w:rsidR="00226DA9" w:rsidRPr="004B48B8" w:rsidRDefault="00226DA9" w:rsidP="00987279">
            <w:pPr>
              <w:spacing w:line="240" w:lineRule="auto"/>
              <w:rPr>
                <w:sz w:val="18"/>
                <w:szCs w:val="18"/>
                <w:lang w:val="en-US"/>
              </w:rPr>
            </w:pPr>
            <w:r w:rsidRPr="004B48B8">
              <w:rPr>
                <w:sz w:val="18"/>
                <w:szCs w:val="18"/>
                <w:lang w:val="en-US"/>
              </w:rPr>
              <w:t>should not exceed set values.</w:t>
            </w:r>
          </w:p>
        </w:tc>
        <w:tc>
          <w:tcPr>
            <w:tcW w:w="607" w:type="pct"/>
            <w:shd w:val="solid" w:color="FFFFFF" w:fill="auto"/>
          </w:tcPr>
          <w:p w:rsidR="00226DA9" w:rsidRPr="004B48B8" w:rsidRDefault="00226DA9" w:rsidP="00987279">
            <w:pPr>
              <w:spacing w:line="240" w:lineRule="auto"/>
              <w:rPr>
                <w:sz w:val="18"/>
                <w:szCs w:val="18"/>
                <w:lang w:val="en-US"/>
              </w:rPr>
            </w:pPr>
          </w:p>
        </w:tc>
        <w:tc>
          <w:tcPr>
            <w:tcW w:w="759" w:type="pct"/>
            <w:shd w:val="solid" w:color="FFFFFF" w:fill="auto"/>
          </w:tcPr>
          <w:p w:rsidR="00226DA9" w:rsidRPr="004B48B8" w:rsidRDefault="00226DA9" w:rsidP="00987279">
            <w:pPr>
              <w:spacing w:line="240" w:lineRule="auto"/>
              <w:jc w:val="center"/>
              <w:rPr>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r>
      <w:tr w:rsidR="00226DA9" w:rsidRPr="004B48B8" w:rsidTr="00226DA9">
        <w:trPr>
          <w:trHeight w:val="1128"/>
        </w:trPr>
        <w:tc>
          <w:tcPr>
            <w:tcW w:w="843"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797" w:type="pct"/>
            <w:shd w:val="solid" w:color="FFFFFF" w:fill="auto"/>
          </w:tcPr>
          <w:p w:rsidR="00226DA9" w:rsidRPr="004B48B8" w:rsidRDefault="00226DA9" w:rsidP="00987279">
            <w:pPr>
              <w:autoSpaceDE w:val="0"/>
              <w:autoSpaceDN w:val="0"/>
              <w:adjustRightInd w:val="0"/>
              <w:spacing w:line="240" w:lineRule="auto"/>
              <w:rPr>
                <w:sz w:val="18"/>
                <w:szCs w:val="18"/>
                <w:lang w:val="en-US"/>
              </w:rPr>
            </w:pPr>
          </w:p>
        </w:tc>
        <w:tc>
          <w:tcPr>
            <w:tcW w:w="607" w:type="pct"/>
            <w:shd w:val="solid" w:color="FFFFFF" w:fill="auto"/>
          </w:tcPr>
          <w:p w:rsidR="00226DA9" w:rsidRPr="004B48B8" w:rsidRDefault="00226DA9" w:rsidP="00987279">
            <w:pPr>
              <w:spacing w:line="240" w:lineRule="auto"/>
              <w:rPr>
                <w:sz w:val="18"/>
                <w:szCs w:val="18"/>
                <w:lang w:val="en-US"/>
              </w:rPr>
            </w:pPr>
            <w:r w:rsidRPr="004B48B8">
              <w:rPr>
                <w:sz w:val="18"/>
                <w:szCs w:val="18"/>
                <w:lang w:val="en-US"/>
              </w:rPr>
              <w:t>Radioactivity at pre-Chernobyl level</w:t>
            </w:r>
          </w:p>
        </w:tc>
        <w:tc>
          <w:tcPr>
            <w:tcW w:w="759" w:type="pct"/>
            <w:shd w:val="solid" w:color="FFFFFF" w:fill="auto"/>
          </w:tcPr>
          <w:p w:rsidR="00226DA9" w:rsidRPr="004B48B8" w:rsidRDefault="00226DA9" w:rsidP="00987279">
            <w:pPr>
              <w:spacing w:line="240" w:lineRule="auto"/>
              <w:jc w:val="center"/>
              <w:rPr>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r>
      <w:tr w:rsidR="00226DA9" w:rsidRPr="004B48B8" w:rsidTr="00226DA9">
        <w:trPr>
          <w:trHeight w:val="909"/>
        </w:trPr>
        <w:tc>
          <w:tcPr>
            <w:tcW w:w="843"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r w:rsidRPr="004B48B8">
              <w:rPr>
                <w:color w:val="000000"/>
                <w:sz w:val="18"/>
                <w:szCs w:val="18"/>
                <w:lang w:val="en-US"/>
              </w:rPr>
              <w:t>8.2 Effects of contaminants</w:t>
            </w:r>
          </w:p>
        </w:tc>
        <w:tc>
          <w:tcPr>
            <w:tcW w:w="797" w:type="pct"/>
            <w:shd w:val="solid" w:color="FFFFFF" w:fill="auto"/>
          </w:tcPr>
          <w:p w:rsidR="00226DA9" w:rsidRPr="004B48B8" w:rsidRDefault="00226DA9" w:rsidP="00987279">
            <w:pPr>
              <w:autoSpaceDE w:val="0"/>
              <w:autoSpaceDN w:val="0"/>
              <w:adjustRightInd w:val="0"/>
              <w:spacing w:line="240" w:lineRule="auto"/>
              <w:rPr>
                <w:sz w:val="18"/>
                <w:szCs w:val="18"/>
                <w:lang w:val="en-US"/>
              </w:rPr>
            </w:pPr>
            <w:r w:rsidRPr="004B48B8">
              <w:rPr>
                <w:sz w:val="18"/>
                <w:szCs w:val="18"/>
                <w:lang w:val="en-US"/>
              </w:rPr>
              <w:t xml:space="preserve">The </w:t>
            </w:r>
            <w:r w:rsidRPr="004B48B8">
              <w:rPr>
                <w:i/>
                <w:iCs/>
                <w:sz w:val="18"/>
                <w:szCs w:val="18"/>
                <w:lang w:val="en-US"/>
              </w:rPr>
              <w:t xml:space="preserve">proportion of oiled common guillemots </w:t>
            </w:r>
            <w:r w:rsidRPr="004B48B8">
              <w:rPr>
                <w:sz w:val="18"/>
                <w:szCs w:val="18"/>
                <w:lang w:val="en-US"/>
              </w:rPr>
              <w:t>should be 10% or less of the total found dead or</w:t>
            </w:r>
          </w:p>
          <w:p w:rsidR="00226DA9" w:rsidRPr="004B48B8" w:rsidRDefault="00226DA9" w:rsidP="00987279">
            <w:pPr>
              <w:spacing w:line="240" w:lineRule="auto"/>
              <w:rPr>
                <w:sz w:val="18"/>
                <w:szCs w:val="18"/>
                <w:lang w:val="en-US"/>
              </w:rPr>
            </w:pPr>
            <w:r w:rsidRPr="004B48B8">
              <w:rPr>
                <w:sz w:val="18"/>
                <w:szCs w:val="18"/>
                <w:lang w:val="en-US"/>
              </w:rPr>
              <w:t>dying in all areas of the North Sea.</w:t>
            </w:r>
          </w:p>
        </w:tc>
        <w:tc>
          <w:tcPr>
            <w:tcW w:w="607" w:type="pct"/>
            <w:shd w:val="solid" w:color="FFFFFF" w:fill="auto"/>
          </w:tcPr>
          <w:p w:rsidR="00226DA9" w:rsidRPr="004B48B8" w:rsidRDefault="00226DA9" w:rsidP="00987279">
            <w:pPr>
              <w:spacing w:line="240" w:lineRule="auto"/>
              <w:rPr>
                <w:sz w:val="18"/>
                <w:szCs w:val="18"/>
                <w:lang w:val="en-US"/>
              </w:rPr>
            </w:pPr>
            <w:r w:rsidRPr="004B48B8">
              <w:rPr>
                <w:sz w:val="18"/>
                <w:szCs w:val="18"/>
              </w:rPr>
              <w:t>Viable Populations of species</w:t>
            </w:r>
          </w:p>
        </w:tc>
        <w:tc>
          <w:tcPr>
            <w:tcW w:w="759" w:type="pct"/>
            <w:shd w:val="solid" w:color="FFFFFF" w:fill="auto"/>
          </w:tcPr>
          <w:p w:rsidR="00226DA9" w:rsidRPr="004B48B8" w:rsidRDefault="00226DA9" w:rsidP="00987279">
            <w:pPr>
              <w:spacing w:line="240" w:lineRule="auto"/>
              <w:rPr>
                <w:sz w:val="18"/>
                <w:szCs w:val="18"/>
                <w:lang w:val="en-US"/>
              </w:rPr>
            </w:pPr>
            <w:r w:rsidRPr="004B48B8">
              <w:rPr>
                <w:sz w:val="18"/>
                <w:szCs w:val="18"/>
                <w:lang w:val="en-US"/>
              </w:rPr>
              <w:t>9.2 Effects of released contaminants are minimized</w:t>
            </w:r>
          </w:p>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b/>
                <w:bCs/>
                <w:color w:val="000000"/>
                <w:sz w:val="18"/>
                <w:szCs w:val="18"/>
                <w:lang w:val="en-US"/>
              </w:rPr>
            </w:pPr>
          </w:p>
        </w:tc>
      </w:tr>
      <w:tr w:rsidR="00226DA9" w:rsidRPr="004B48B8" w:rsidTr="00226DA9">
        <w:trPr>
          <w:trHeight w:val="412"/>
        </w:trPr>
        <w:tc>
          <w:tcPr>
            <w:tcW w:w="843"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797" w:type="pct"/>
            <w:shd w:val="solid" w:color="FFFFFF" w:fill="auto"/>
          </w:tcPr>
          <w:p w:rsidR="00226DA9" w:rsidRPr="004B48B8" w:rsidRDefault="00226DA9" w:rsidP="00987279">
            <w:pPr>
              <w:autoSpaceDE w:val="0"/>
              <w:autoSpaceDN w:val="0"/>
              <w:adjustRightInd w:val="0"/>
              <w:spacing w:line="240" w:lineRule="auto"/>
              <w:rPr>
                <w:i/>
                <w:iCs/>
                <w:sz w:val="18"/>
                <w:szCs w:val="18"/>
                <w:lang w:val="en-US"/>
              </w:rPr>
            </w:pPr>
            <w:r w:rsidRPr="004B48B8">
              <w:rPr>
                <w:sz w:val="18"/>
                <w:szCs w:val="18"/>
                <w:lang w:val="en-US"/>
              </w:rPr>
              <w:t xml:space="preserve">The average level of </w:t>
            </w:r>
            <w:r w:rsidRPr="004B48B8">
              <w:rPr>
                <w:i/>
                <w:iCs/>
                <w:sz w:val="18"/>
                <w:szCs w:val="18"/>
                <w:lang w:val="en-US"/>
              </w:rPr>
              <w:t>imposex</w:t>
            </w:r>
            <w:r w:rsidRPr="004B48B8">
              <w:rPr>
                <w:sz w:val="18"/>
                <w:szCs w:val="18"/>
                <w:lang w:val="en-US"/>
              </w:rPr>
              <w:t xml:space="preserve">(development of male characteristics by females) </w:t>
            </w:r>
            <w:r w:rsidRPr="004B48B8">
              <w:rPr>
                <w:i/>
                <w:iCs/>
                <w:sz w:val="18"/>
                <w:szCs w:val="18"/>
                <w:lang w:val="en-US"/>
              </w:rPr>
              <w:t>in female</w:t>
            </w:r>
          </w:p>
          <w:p w:rsidR="00226DA9" w:rsidRPr="004B48B8" w:rsidRDefault="00226DA9" w:rsidP="00987279">
            <w:pPr>
              <w:spacing w:line="240" w:lineRule="auto"/>
              <w:rPr>
                <w:sz w:val="18"/>
                <w:szCs w:val="18"/>
                <w:lang w:val="en-US"/>
              </w:rPr>
            </w:pPr>
            <w:r w:rsidRPr="004B48B8">
              <w:rPr>
                <w:i/>
                <w:iCs/>
                <w:sz w:val="18"/>
                <w:szCs w:val="18"/>
                <w:lang w:val="en-US"/>
              </w:rPr>
              <w:t xml:space="preserve">dog whelks </w:t>
            </w:r>
            <w:r w:rsidRPr="004B48B8">
              <w:rPr>
                <w:sz w:val="18"/>
                <w:szCs w:val="18"/>
                <w:lang w:val="en-US"/>
              </w:rPr>
              <w:t>should be consistent with specified levels.</w:t>
            </w:r>
          </w:p>
        </w:tc>
        <w:tc>
          <w:tcPr>
            <w:tcW w:w="607" w:type="pct"/>
            <w:shd w:val="solid" w:color="FFFFFF" w:fill="auto"/>
          </w:tcPr>
          <w:p w:rsidR="00226DA9" w:rsidRPr="004B48B8" w:rsidRDefault="00226DA9" w:rsidP="00987279">
            <w:pPr>
              <w:spacing w:line="240" w:lineRule="auto"/>
              <w:rPr>
                <w:sz w:val="18"/>
                <w:szCs w:val="18"/>
                <w:lang w:val="en-US"/>
              </w:rPr>
            </w:pPr>
            <w:r w:rsidRPr="004B48B8">
              <w:rPr>
                <w:sz w:val="18"/>
                <w:szCs w:val="18"/>
                <w:lang w:val="en-US"/>
              </w:rPr>
              <w:t>Healthy wildlife</w:t>
            </w:r>
          </w:p>
        </w:tc>
        <w:tc>
          <w:tcPr>
            <w:tcW w:w="759"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r>
      <w:tr w:rsidR="00226DA9" w:rsidRPr="004B48B8" w:rsidTr="00226DA9">
        <w:trPr>
          <w:trHeight w:val="312"/>
        </w:trPr>
        <w:tc>
          <w:tcPr>
            <w:tcW w:w="843" w:type="pct"/>
            <w:shd w:val="solid" w:color="FFFFFF" w:fill="auto"/>
          </w:tcPr>
          <w:p w:rsidR="00226DA9" w:rsidRPr="004B48B8" w:rsidRDefault="00226DA9" w:rsidP="00987279">
            <w:pPr>
              <w:spacing w:line="240" w:lineRule="auto"/>
              <w:rPr>
                <w:color w:val="000000"/>
                <w:sz w:val="18"/>
                <w:szCs w:val="18"/>
                <w:lang w:val="en-US"/>
              </w:rPr>
            </w:pPr>
            <w:r w:rsidRPr="004B48B8">
              <w:rPr>
                <w:color w:val="000000"/>
                <w:sz w:val="18"/>
                <w:szCs w:val="18"/>
                <w:lang w:val="en-US"/>
              </w:rPr>
              <w:lastRenderedPageBreak/>
              <w:t>9.1 Levels, number and frequency of contaminants</w:t>
            </w:r>
          </w:p>
        </w:tc>
        <w:tc>
          <w:tcPr>
            <w:tcW w:w="797" w:type="pct"/>
            <w:shd w:val="solid" w:color="FFFFFF" w:fill="auto"/>
          </w:tcPr>
          <w:p w:rsidR="00226DA9" w:rsidRPr="004B48B8" w:rsidRDefault="00226DA9" w:rsidP="00987279">
            <w:pPr>
              <w:spacing w:line="240" w:lineRule="auto"/>
              <w:rPr>
                <w:sz w:val="18"/>
                <w:szCs w:val="18"/>
                <w:lang w:val="mt-MT"/>
              </w:rPr>
            </w:pPr>
            <w:r w:rsidRPr="004B48B8">
              <w:rPr>
                <w:sz w:val="18"/>
                <w:szCs w:val="18"/>
                <w:lang w:val="mt-MT"/>
              </w:rPr>
              <w:t>.</w:t>
            </w:r>
          </w:p>
        </w:tc>
        <w:tc>
          <w:tcPr>
            <w:tcW w:w="607" w:type="pct"/>
            <w:shd w:val="solid" w:color="FFFFFF" w:fill="auto"/>
          </w:tcPr>
          <w:p w:rsidR="00226DA9" w:rsidRPr="004B48B8" w:rsidRDefault="00226DA9" w:rsidP="00987279">
            <w:pPr>
              <w:spacing w:line="240" w:lineRule="auto"/>
              <w:rPr>
                <w:sz w:val="18"/>
                <w:szCs w:val="18"/>
                <w:lang w:val="en-US"/>
              </w:rPr>
            </w:pPr>
            <w:r w:rsidRPr="004B48B8">
              <w:rPr>
                <w:sz w:val="18"/>
                <w:szCs w:val="18"/>
                <w:lang w:val="en-US"/>
              </w:rPr>
              <w:t> All fish safe to eat</w:t>
            </w:r>
          </w:p>
        </w:tc>
        <w:tc>
          <w:tcPr>
            <w:tcW w:w="759" w:type="pct"/>
            <w:shd w:val="solid" w:color="FFFFFF" w:fill="auto"/>
          </w:tcPr>
          <w:p w:rsidR="00226DA9" w:rsidRPr="004B48B8" w:rsidRDefault="00226DA9" w:rsidP="00987279">
            <w:pPr>
              <w:spacing w:line="240" w:lineRule="auto"/>
              <w:rPr>
                <w:sz w:val="18"/>
                <w:szCs w:val="18"/>
                <w:lang w:val="en-US"/>
              </w:rPr>
            </w:pPr>
            <w:r w:rsidRPr="004B48B8">
              <w:rPr>
                <w:sz w:val="18"/>
                <w:szCs w:val="18"/>
                <w:lang w:val="en-US"/>
              </w:rPr>
              <w:t>9.4 Levels of known harmful contaminants in major types of seafood do not exceed established standards</w:t>
            </w:r>
          </w:p>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c>
          <w:tcPr>
            <w:tcW w:w="665" w:type="pct"/>
            <w:shd w:val="solid" w:color="FFFFFF" w:fill="auto"/>
          </w:tcPr>
          <w:p w:rsidR="00226DA9" w:rsidRPr="004B48B8" w:rsidRDefault="00226DA9" w:rsidP="00987279">
            <w:pPr>
              <w:autoSpaceDE w:val="0"/>
              <w:autoSpaceDN w:val="0"/>
              <w:adjustRightInd w:val="0"/>
              <w:spacing w:line="240" w:lineRule="auto"/>
              <w:rPr>
                <w:color w:val="000000"/>
                <w:sz w:val="18"/>
                <w:szCs w:val="18"/>
                <w:lang w:val="en-US"/>
              </w:rPr>
            </w:pPr>
          </w:p>
        </w:tc>
      </w:tr>
    </w:tbl>
    <w:p w:rsidR="00EC5066" w:rsidRPr="00F2534A" w:rsidRDefault="00EC5066" w:rsidP="00987279">
      <w:pPr>
        <w:spacing w:line="240" w:lineRule="auto"/>
        <w:rPr>
          <w:szCs w:val="21"/>
          <w:lang w:val="en-US"/>
        </w:rPr>
      </w:pPr>
    </w:p>
    <w:p w:rsidR="00EC5066" w:rsidRPr="004B48B8" w:rsidRDefault="00EC5066" w:rsidP="004B48B8">
      <w:pPr>
        <w:pStyle w:val="ListParagraph"/>
        <w:spacing w:line="240" w:lineRule="auto"/>
        <w:ind w:left="0"/>
        <w:rPr>
          <w:b/>
          <w:bCs/>
          <w:color w:val="000000"/>
          <w:sz w:val="16"/>
          <w:szCs w:val="16"/>
          <w:lang w:val="en-US"/>
        </w:rPr>
      </w:pPr>
      <w:r w:rsidRPr="004B48B8">
        <w:rPr>
          <w:b/>
          <w:bCs/>
          <w:color w:val="000000"/>
          <w:sz w:val="16"/>
          <w:szCs w:val="16"/>
          <w:vertAlign w:val="superscript"/>
          <w:lang w:val="en-US"/>
        </w:rPr>
        <w:t>1</w:t>
      </w:r>
      <w:r w:rsidRPr="004B48B8">
        <w:rPr>
          <w:sz w:val="16"/>
          <w:szCs w:val="16"/>
          <w:lang w:val="en-US"/>
        </w:rPr>
        <w:t xml:space="preserve">Commission Decision </w:t>
      </w:r>
      <w:r w:rsidRPr="004B48B8">
        <w:rPr>
          <w:bCs/>
          <w:color w:val="000000"/>
          <w:sz w:val="16"/>
          <w:szCs w:val="16"/>
          <w:lang w:val="en-US"/>
        </w:rPr>
        <w:t>2010/477/EU</w:t>
      </w:r>
    </w:p>
    <w:p w:rsidR="00EC5066" w:rsidRPr="004B48B8" w:rsidRDefault="00EC5066" w:rsidP="004B48B8">
      <w:pPr>
        <w:pStyle w:val="ListParagraph"/>
        <w:spacing w:line="240" w:lineRule="auto"/>
        <w:ind w:left="0"/>
        <w:rPr>
          <w:sz w:val="16"/>
          <w:szCs w:val="16"/>
          <w:lang w:val="en-US"/>
        </w:rPr>
      </w:pPr>
      <w:r w:rsidRPr="004B48B8">
        <w:rPr>
          <w:sz w:val="16"/>
          <w:szCs w:val="16"/>
          <w:vertAlign w:val="superscript"/>
          <w:lang w:val="mt-MT"/>
        </w:rPr>
        <w:t>2</w:t>
      </w:r>
      <w:r w:rsidRPr="004B48B8">
        <w:rPr>
          <w:sz w:val="16"/>
          <w:szCs w:val="16"/>
          <w:lang w:val="mt-MT"/>
        </w:rPr>
        <w:t>OSPAR, 2009a</w:t>
      </w:r>
    </w:p>
    <w:p w:rsidR="00EC5066" w:rsidRPr="004B48B8" w:rsidRDefault="00EC5066" w:rsidP="004B48B8">
      <w:pPr>
        <w:pStyle w:val="ListParagraph"/>
        <w:spacing w:line="240" w:lineRule="auto"/>
        <w:ind w:left="0"/>
        <w:rPr>
          <w:sz w:val="16"/>
          <w:szCs w:val="16"/>
          <w:lang w:val="en-US"/>
        </w:rPr>
      </w:pPr>
      <w:r w:rsidRPr="004B48B8">
        <w:rPr>
          <w:sz w:val="16"/>
          <w:szCs w:val="16"/>
          <w:vertAlign w:val="superscript"/>
          <w:lang w:val="en-US"/>
        </w:rPr>
        <w:t>3</w:t>
      </w:r>
      <w:r w:rsidRPr="004B48B8">
        <w:rPr>
          <w:sz w:val="16"/>
          <w:szCs w:val="16"/>
          <w:lang w:val="en-US"/>
        </w:rPr>
        <w:t>HELCOM, 2007</w:t>
      </w:r>
    </w:p>
    <w:p w:rsidR="00EC5066" w:rsidRPr="004B48B8" w:rsidRDefault="00EC5066" w:rsidP="004B48B8">
      <w:pPr>
        <w:framePr w:hSpace="180" w:wrap="around" w:vAnchor="page" w:hAnchor="margin" w:y="1531"/>
        <w:autoSpaceDE w:val="0"/>
        <w:autoSpaceDN w:val="0"/>
        <w:adjustRightInd w:val="0"/>
        <w:spacing w:line="240" w:lineRule="auto"/>
        <w:rPr>
          <w:b/>
          <w:bCs/>
          <w:color w:val="000000"/>
          <w:sz w:val="16"/>
          <w:szCs w:val="16"/>
          <w:lang w:val="en-US"/>
        </w:rPr>
      </w:pPr>
    </w:p>
    <w:p w:rsidR="00EC5066" w:rsidRPr="004B48B8" w:rsidRDefault="00EC5066" w:rsidP="004B48B8">
      <w:pPr>
        <w:pStyle w:val="ListParagraph"/>
        <w:spacing w:line="240" w:lineRule="auto"/>
        <w:ind w:left="0"/>
        <w:rPr>
          <w:bCs/>
          <w:color w:val="000000"/>
          <w:sz w:val="16"/>
          <w:szCs w:val="16"/>
          <w:lang w:val="en-US"/>
        </w:rPr>
      </w:pPr>
      <w:r w:rsidRPr="004B48B8">
        <w:rPr>
          <w:bCs/>
          <w:color w:val="000000"/>
          <w:sz w:val="16"/>
          <w:szCs w:val="16"/>
          <w:vertAlign w:val="superscript"/>
          <w:lang w:val="en-US"/>
        </w:rPr>
        <w:t>4</w:t>
      </w:r>
      <w:r w:rsidRPr="004B48B8">
        <w:rPr>
          <w:bCs/>
          <w:color w:val="000000"/>
          <w:sz w:val="16"/>
          <w:szCs w:val="16"/>
          <w:lang w:val="en-US"/>
        </w:rPr>
        <w:t>UNEP/MAP, 2014</w:t>
      </w:r>
    </w:p>
    <w:p w:rsidR="00EC5066" w:rsidRPr="004B48B8" w:rsidRDefault="00EC5066" w:rsidP="004B48B8">
      <w:pPr>
        <w:pStyle w:val="ListParagraph"/>
        <w:spacing w:line="240" w:lineRule="auto"/>
        <w:ind w:left="0"/>
        <w:rPr>
          <w:sz w:val="16"/>
          <w:szCs w:val="16"/>
          <w:lang w:val="en-US"/>
        </w:rPr>
      </w:pPr>
      <w:r w:rsidRPr="004B48B8">
        <w:rPr>
          <w:bCs/>
          <w:color w:val="000000"/>
          <w:sz w:val="16"/>
          <w:szCs w:val="16"/>
          <w:vertAlign w:val="superscript"/>
          <w:lang w:val="en-US"/>
        </w:rPr>
        <w:t>5</w:t>
      </w:r>
      <w:r w:rsidRPr="004B48B8">
        <w:rPr>
          <w:bCs/>
          <w:color w:val="000000"/>
          <w:sz w:val="16"/>
          <w:szCs w:val="16"/>
          <w:lang w:val="en-US"/>
        </w:rPr>
        <w:t>LBSA2009</w:t>
      </w:r>
    </w:p>
    <w:p w:rsidR="00EC5066" w:rsidRPr="004B48B8" w:rsidRDefault="00EC5066" w:rsidP="004B48B8">
      <w:pPr>
        <w:pStyle w:val="ListParagraph"/>
        <w:spacing w:line="240" w:lineRule="auto"/>
        <w:ind w:left="0"/>
        <w:rPr>
          <w:sz w:val="16"/>
          <w:szCs w:val="16"/>
          <w:lang w:val="en-US"/>
        </w:rPr>
      </w:pPr>
      <w:r w:rsidRPr="004B48B8">
        <w:rPr>
          <w:sz w:val="16"/>
          <w:szCs w:val="16"/>
          <w:vertAlign w:val="superscript"/>
          <w:lang w:val="en-US"/>
        </w:rPr>
        <w:t>6</w:t>
      </w:r>
      <w:r w:rsidRPr="004B48B8">
        <w:rPr>
          <w:sz w:val="16"/>
          <w:szCs w:val="16"/>
          <w:lang w:val="en-US"/>
        </w:rPr>
        <w:t>BSSAP, 2009</w:t>
      </w:r>
    </w:p>
    <w:p w:rsidR="004E75A6" w:rsidRPr="0026180A" w:rsidRDefault="004E75A6" w:rsidP="004E75A6">
      <w:pPr>
        <w:pStyle w:val="ListParagraph"/>
        <w:spacing w:line="240" w:lineRule="auto"/>
        <w:ind w:left="0"/>
        <w:rPr>
          <w:sz w:val="16"/>
          <w:szCs w:val="16"/>
          <w:lang w:val="en-US"/>
        </w:rPr>
      </w:pPr>
      <w:r>
        <w:rPr>
          <w:sz w:val="16"/>
          <w:szCs w:val="16"/>
          <w:vertAlign w:val="superscript"/>
          <w:lang w:val="en-US"/>
        </w:rPr>
        <w:t>7</w:t>
      </w:r>
      <w:r w:rsidRPr="0026180A">
        <w:rPr>
          <w:sz w:val="16"/>
          <w:szCs w:val="16"/>
          <w:lang w:val="en-US"/>
        </w:rPr>
        <w:t>http://www.eea.europa.eu/data-and-maps/indicators/</w:t>
      </w:r>
    </w:p>
    <w:p w:rsidR="00F464B3" w:rsidRDefault="00DE21B0">
      <w:pPr>
        <w:spacing w:line="240" w:lineRule="auto"/>
        <w:jc w:val="left"/>
        <w:rPr>
          <w:sz w:val="16"/>
          <w:szCs w:val="16"/>
          <w:lang w:val="en-US"/>
        </w:rPr>
      </w:pPr>
      <w:r w:rsidRPr="00DE21B0">
        <w:rPr>
          <w:sz w:val="16"/>
          <w:szCs w:val="16"/>
          <w:vertAlign w:val="superscript"/>
          <w:lang w:val="en-US"/>
        </w:rPr>
        <w:t>8</w:t>
      </w:r>
      <w:r w:rsidRPr="00DE21B0">
        <w:rPr>
          <w:sz w:val="16"/>
          <w:szCs w:val="16"/>
          <w:lang w:val="en-US"/>
        </w:rPr>
        <w:t xml:space="preserve">WFD 2000/60/EC </w:t>
      </w:r>
    </w:p>
    <w:p w:rsidR="00F464B3" w:rsidRDefault="00F464B3">
      <w:pPr>
        <w:spacing w:line="240" w:lineRule="auto"/>
        <w:jc w:val="left"/>
        <w:rPr>
          <w:sz w:val="16"/>
          <w:szCs w:val="16"/>
          <w:lang w:val="en-US"/>
        </w:rPr>
      </w:pPr>
      <w:r>
        <w:rPr>
          <w:sz w:val="16"/>
          <w:szCs w:val="16"/>
          <w:lang w:val="en-US"/>
        </w:rPr>
        <w:br w:type="page"/>
      </w:r>
    </w:p>
    <w:p w:rsidR="004B48B8" w:rsidRPr="00044F95" w:rsidRDefault="004B48B8">
      <w:pPr>
        <w:spacing w:line="240" w:lineRule="auto"/>
        <w:jc w:val="left"/>
        <w:rPr>
          <w:sz w:val="16"/>
          <w:szCs w:val="16"/>
          <w:lang w:val="en-US"/>
        </w:rPr>
      </w:pPr>
    </w:p>
    <w:p w:rsidR="00EC5066" w:rsidRPr="00F2534A" w:rsidRDefault="004B48B8" w:rsidP="004B48B8">
      <w:pPr>
        <w:pStyle w:val="Caption"/>
        <w:rPr>
          <w:szCs w:val="21"/>
          <w:lang w:val="en-US"/>
        </w:rPr>
      </w:pPr>
      <w:r>
        <w:t xml:space="preserve">Table </w:t>
      </w:r>
      <w:r w:rsidR="008135ED">
        <w:fldChar w:fldCharType="begin"/>
      </w:r>
      <w:r>
        <w:instrText xml:space="preserve"> STYLEREF 1 \s </w:instrText>
      </w:r>
      <w:r w:rsidR="008135ED">
        <w:fldChar w:fldCharType="separate"/>
      </w:r>
      <w:r w:rsidR="003461A2">
        <w:rPr>
          <w:noProof/>
        </w:rPr>
        <w:t>3</w:t>
      </w:r>
      <w:r w:rsidR="008135ED">
        <w:fldChar w:fldCharType="end"/>
      </w:r>
      <w:r>
        <w:t>.</w:t>
      </w:r>
      <w:r w:rsidR="008135ED">
        <w:fldChar w:fldCharType="begin"/>
      </w:r>
      <w:r>
        <w:instrText xml:space="preserve"> SEQ Table \* ARABIC \s 1 </w:instrText>
      </w:r>
      <w:r w:rsidR="008135ED">
        <w:fldChar w:fldCharType="separate"/>
      </w:r>
      <w:r w:rsidR="003461A2">
        <w:rPr>
          <w:noProof/>
        </w:rPr>
        <w:t>2</w:t>
      </w:r>
      <w:r w:rsidR="008135ED">
        <w:fldChar w:fldCharType="end"/>
      </w:r>
      <w:r>
        <w:tab/>
      </w:r>
      <w:r w:rsidR="00EC5066" w:rsidRPr="00F2534A">
        <w:rPr>
          <w:szCs w:val="21"/>
          <w:lang w:val="en-US"/>
        </w:rPr>
        <w:t>Hazardous substances indicators set by the MSFD, the RCSs, and EEA.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4"/>
        <w:gridCol w:w="1612"/>
        <w:gridCol w:w="1475"/>
        <w:gridCol w:w="1480"/>
        <w:gridCol w:w="1474"/>
        <w:gridCol w:w="1777"/>
        <w:gridCol w:w="1678"/>
        <w:gridCol w:w="1675"/>
      </w:tblGrid>
      <w:tr w:rsidR="00EC5066" w:rsidRPr="00EC5066" w:rsidTr="00EC5066">
        <w:trPr>
          <w:trHeight w:val="385"/>
        </w:trPr>
        <w:tc>
          <w:tcPr>
            <w:tcW w:w="839"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rPr>
              <w:t>ΜSFD</w:t>
            </w:r>
          </w:p>
        </w:tc>
        <w:tc>
          <w:tcPr>
            <w:tcW w:w="600"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rPr>
              <w:t>OSPAR</w:t>
            </w:r>
          </w:p>
        </w:tc>
        <w:tc>
          <w:tcPr>
            <w:tcW w:w="549"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vertAlign w:val="superscript"/>
                <w:lang w:val="en-US"/>
              </w:rPr>
            </w:pPr>
            <w:r w:rsidRPr="00EC5066">
              <w:rPr>
                <w:b/>
                <w:bCs/>
                <w:color w:val="000000"/>
                <w:sz w:val="18"/>
                <w:szCs w:val="18"/>
              </w:rPr>
              <w:t>OSPAR</w:t>
            </w:r>
          </w:p>
        </w:tc>
        <w:tc>
          <w:tcPr>
            <w:tcW w:w="551"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rPr>
              <w:t>HELCOM</w:t>
            </w:r>
          </w:p>
        </w:tc>
        <w:tc>
          <w:tcPr>
            <w:tcW w:w="549"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rPr>
            </w:pPr>
            <w:r w:rsidRPr="00EC5066">
              <w:rPr>
                <w:b/>
                <w:bCs/>
                <w:color w:val="000000"/>
                <w:sz w:val="18"/>
                <w:szCs w:val="18"/>
              </w:rPr>
              <w:t>HELCOM</w:t>
            </w:r>
          </w:p>
        </w:tc>
        <w:tc>
          <w:tcPr>
            <w:tcW w:w="662"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rPr>
            </w:pPr>
            <w:r w:rsidRPr="00EC5066">
              <w:rPr>
                <w:b/>
                <w:bCs/>
                <w:color w:val="000000"/>
                <w:sz w:val="18"/>
                <w:szCs w:val="18"/>
              </w:rPr>
              <w:t>UNEP/MAP</w:t>
            </w:r>
          </w:p>
        </w:tc>
        <w:tc>
          <w:tcPr>
            <w:tcW w:w="625"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lang w:val="en-US"/>
              </w:rPr>
              <w:t>BSC</w:t>
            </w:r>
          </w:p>
        </w:tc>
        <w:tc>
          <w:tcPr>
            <w:tcW w:w="624"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lang w:val="en-US"/>
              </w:rPr>
              <w:t>EEA</w:t>
            </w:r>
          </w:p>
        </w:tc>
      </w:tr>
      <w:tr w:rsidR="00EC5066" w:rsidRPr="00EC5066" w:rsidTr="00EC5066">
        <w:trPr>
          <w:trHeight w:val="405"/>
        </w:trPr>
        <w:tc>
          <w:tcPr>
            <w:tcW w:w="839" w:type="pct"/>
            <w:shd w:val="clear" w:color="auto" w:fill="D9D9D9" w:themeFill="background1" w:themeFillShade="D9"/>
          </w:tcPr>
          <w:p w:rsidR="00EC5066" w:rsidRPr="00EC5066" w:rsidRDefault="00580600" w:rsidP="00987279">
            <w:pPr>
              <w:autoSpaceDE w:val="0"/>
              <w:autoSpaceDN w:val="0"/>
              <w:adjustRightInd w:val="0"/>
              <w:spacing w:line="240" w:lineRule="auto"/>
              <w:rPr>
                <w:b/>
                <w:bCs/>
                <w:color w:val="000000"/>
                <w:sz w:val="18"/>
                <w:szCs w:val="18"/>
                <w:lang w:val="en-US"/>
              </w:rPr>
            </w:pPr>
            <w:r>
              <w:rPr>
                <w:b/>
                <w:bCs/>
                <w:color w:val="000000"/>
                <w:sz w:val="18"/>
                <w:szCs w:val="18"/>
              </w:rPr>
              <w:t>Indicato</w:t>
            </w:r>
            <w:r w:rsidR="00EC5066" w:rsidRPr="00EC5066">
              <w:rPr>
                <w:b/>
                <w:bCs/>
                <w:color w:val="000000"/>
                <w:sz w:val="18"/>
                <w:szCs w:val="18"/>
                <w:lang w:val="en-US"/>
              </w:rPr>
              <w:t>r</w:t>
            </w:r>
            <w:r w:rsidR="00EC5066" w:rsidRPr="00EC5066">
              <w:rPr>
                <w:b/>
                <w:bCs/>
                <w:color w:val="000000"/>
                <w:sz w:val="18"/>
                <w:szCs w:val="18"/>
              </w:rPr>
              <w:t>s</w:t>
            </w:r>
            <w:r w:rsidR="00EC5066" w:rsidRPr="00EC5066">
              <w:rPr>
                <w:b/>
                <w:bCs/>
                <w:color w:val="000000"/>
                <w:sz w:val="18"/>
                <w:szCs w:val="18"/>
                <w:vertAlign w:val="superscript"/>
                <w:lang w:val="en-US"/>
              </w:rPr>
              <w:t>1</w:t>
            </w:r>
          </w:p>
        </w:tc>
        <w:tc>
          <w:tcPr>
            <w:tcW w:w="600"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vertAlign w:val="superscript"/>
                <w:lang w:val="en-US"/>
              </w:rPr>
            </w:pPr>
            <w:r w:rsidRPr="00EC5066">
              <w:rPr>
                <w:b/>
                <w:bCs/>
                <w:color w:val="000000"/>
                <w:sz w:val="18"/>
                <w:szCs w:val="18"/>
              </w:rPr>
              <w:t>Common indica</w:t>
            </w:r>
            <w:r w:rsidR="00580600">
              <w:rPr>
                <w:b/>
                <w:bCs/>
                <w:color w:val="000000"/>
                <w:sz w:val="18"/>
                <w:szCs w:val="18"/>
              </w:rPr>
              <w:t>t</w:t>
            </w:r>
            <w:r w:rsidRPr="00EC5066">
              <w:rPr>
                <w:b/>
                <w:bCs/>
                <w:color w:val="000000"/>
                <w:sz w:val="18"/>
                <w:szCs w:val="18"/>
              </w:rPr>
              <w:t>ors</w:t>
            </w:r>
            <w:r w:rsidRPr="00EC5066">
              <w:rPr>
                <w:b/>
                <w:bCs/>
                <w:color w:val="000000"/>
                <w:sz w:val="18"/>
                <w:szCs w:val="18"/>
                <w:vertAlign w:val="superscript"/>
                <w:lang w:val="en-US"/>
              </w:rPr>
              <w:t>2</w:t>
            </w:r>
          </w:p>
        </w:tc>
        <w:tc>
          <w:tcPr>
            <w:tcW w:w="549"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highlight w:val="yellow"/>
                <w:vertAlign w:val="superscript"/>
                <w:lang w:val="en-US"/>
              </w:rPr>
            </w:pPr>
            <w:r w:rsidRPr="00EC5066">
              <w:rPr>
                <w:b/>
                <w:bCs/>
                <w:color w:val="000000"/>
                <w:sz w:val="18"/>
                <w:szCs w:val="18"/>
              </w:rPr>
              <w:t>Candidate indica</w:t>
            </w:r>
            <w:r w:rsidR="00580600">
              <w:rPr>
                <w:b/>
                <w:bCs/>
                <w:color w:val="000000"/>
                <w:sz w:val="18"/>
                <w:szCs w:val="18"/>
              </w:rPr>
              <w:t>t</w:t>
            </w:r>
            <w:r w:rsidRPr="00EC5066">
              <w:rPr>
                <w:b/>
                <w:bCs/>
                <w:color w:val="000000"/>
                <w:sz w:val="18"/>
                <w:szCs w:val="18"/>
              </w:rPr>
              <w:t>ors</w:t>
            </w:r>
            <w:r w:rsidRPr="00EC5066">
              <w:rPr>
                <w:b/>
                <w:bCs/>
                <w:color w:val="000000"/>
                <w:sz w:val="18"/>
                <w:szCs w:val="18"/>
                <w:vertAlign w:val="superscript"/>
                <w:lang w:val="en-US"/>
              </w:rPr>
              <w:t>2</w:t>
            </w:r>
          </w:p>
        </w:tc>
        <w:tc>
          <w:tcPr>
            <w:tcW w:w="551"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rPr>
              <w:t>Core indicators</w:t>
            </w:r>
            <w:r w:rsidRPr="00EC5066">
              <w:rPr>
                <w:b/>
                <w:bCs/>
                <w:color w:val="000000"/>
                <w:sz w:val="18"/>
                <w:szCs w:val="18"/>
                <w:vertAlign w:val="superscript"/>
                <w:lang w:val="en-US"/>
              </w:rPr>
              <w:t>3</w:t>
            </w:r>
          </w:p>
        </w:tc>
        <w:tc>
          <w:tcPr>
            <w:tcW w:w="549"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lang w:val="en-US"/>
              </w:rPr>
              <w:t>Pre-core indicators</w:t>
            </w:r>
            <w:r w:rsidRPr="00EC5066">
              <w:rPr>
                <w:b/>
                <w:bCs/>
                <w:color w:val="000000"/>
                <w:sz w:val="18"/>
                <w:szCs w:val="18"/>
                <w:vertAlign w:val="superscript"/>
                <w:lang w:val="en-US"/>
              </w:rPr>
              <w:t>3</w:t>
            </w:r>
          </w:p>
        </w:tc>
        <w:tc>
          <w:tcPr>
            <w:tcW w:w="662"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rPr>
              <w:t>Proposed indicators</w:t>
            </w:r>
            <w:r w:rsidRPr="00EC5066">
              <w:rPr>
                <w:b/>
                <w:bCs/>
                <w:color w:val="000000"/>
                <w:sz w:val="18"/>
                <w:szCs w:val="18"/>
                <w:vertAlign w:val="superscript"/>
                <w:lang w:val="en-US"/>
              </w:rPr>
              <w:t>4</w:t>
            </w:r>
          </w:p>
        </w:tc>
        <w:tc>
          <w:tcPr>
            <w:tcW w:w="625"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rPr>
              <w:t xml:space="preserve">Indicators in Diagnostic Report, 2010 </w:t>
            </w:r>
            <w:r w:rsidRPr="00EC5066">
              <w:rPr>
                <w:b/>
                <w:bCs/>
                <w:color w:val="000000"/>
                <w:sz w:val="18"/>
                <w:szCs w:val="18"/>
                <w:vertAlign w:val="superscript"/>
                <w:lang w:val="en-US"/>
              </w:rPr>
              <w:t>5</w:t>
            </w:r>
          </w:p>
        </w:tc>
        <w:tc>
          <w:tcPr>
            <w:tcW w:w="624" w:type="pct"/>
            <w:shd w:val="clear" w:color="auto" w:fill="D9D9D9" w:themeFill="background1" w:themeFillShade="D9"/>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b/>
                <w:bCs/>
                <w:color w:val="000000"/>
                <w:sz w:val="18"/>
                <w:szCs w:val="18"/>
                <w:lang w:val="en-US"/>
              </w:rPr>
              <w:t>Indicators</w:t>
            </w:r>
            <w:r w:rsidRPr="00EC5066">
              <w:rPr>
                <w:b/>
                <w:bCs/>
                <w:color w:val="000000"/>
                <w:sz w:val="18"/>
                <w:szCs w:val="18"/>
                <w:vertAlign w:val="superscript"/>
                <w:lang w:val="en-US"/>
              </w:rPr>
              <w:t>6</w:t>
            </w:r>
          </w:p>
        </w:tc>
      </w:tr>
      <w:tr w:rsidR="00EC5066" w:rsidRPr="00EC5066" w:rsidTr="00EC5066">
        <w:trPr>
          <w:trHeight w:val="470"/>
        </w:trPr>
        <w:tc>
          <w:tcPr>
            <w:tcW w:w="839" w:type="pct"/>
            <w:shd w:val="solid" w:color="FFFFFF" w:fill="auto"/>
          </w:tcPr>
          <w:p w:rsidR="00EC5066" w:rsidRPr="00EC5066" w:rsidRDefault="00EC5066" w:rsidP="00987279">
            <w:pPr>
              <w:autoSpaceDE w:val="0"/>
              <w:autoSpaceDN w:val="0"/>
              <w:adjustRightInd w:val="0"/>
              <w:spacing w:line="240" w:lineRule="auto"/>
              <w:rPr>
                <w:b/>
                <w:bCs/>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color w:val="000000"/>
                <w:sz w:val="18"/>
                <w:szCs w:val="18"/>
                <w:lang w:val="en-US"/>
              </w:rPr>
              <w:t>Inputs of Hg, Cd and Pb via water and air</w:t>
            </w:r>
          </w:p>
        </w:tc>
        <w:tc>
          <w:tcPr>
            <w:tcW w:w="549" w:type="pct"/>
            <w:shd w:val="solid" w:color="FFFFFF" w:fill="auto"/>
          </w:tcPr>
          <w:p w:rsidR="00EC5066" w:rsidRPr="00EC5066" w:rsidRDefault="00EC5066" w:rsidP="00987279">
            <w:pPr>
              <w:autoSpaceDE w:val="0"/>
              <w:autoSpaceDN w:val="0"/>
              <w:adjustRightInd w:val="0"/>
              <w:spacing w:line="240" w:lineRule="auto"/>
              <w:rPr>
                <w:b/>
                <w:bCs/>
                <w:color w:val="FF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bCs/>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625" w:type="pct"/>
          </w:tcPr>
          <w:p w:rsidR="00EC5066" w:rsidRPr="00EC5066" w:rsidRDefault="00EC5066" w:rsidP="00987279">
            <w:pPr>
              <w:autoSpaceDE w:val="0"/>
              <w:autoSpaceDN w:val="0"/>
              <w:adjustRightInd w:val="0"/>
              <w:spacing w:line="240" w:lineRule="auto"/>
              <w:rPr>
                <w:color w:val="000000"/>
                <w:sz w:val="18"/>
                <w:szCs w:val="18"/>
                <w:lang w:val="en-US"/>
              </w:rPr>
            </w:pPr>
            <w:bookmarkStart w:id="56" w:name="OLE_LINK10"/>
            <w:bookmarkStart w:id="57" w:name="OLE_LINK11"/>
            <w:r w:rsidRPr="00EC5066">
              <w:rPr>
                <w:color w:val="000000"/>
                <w:sz w:val="18"/>
                <w:szCs w:val="18"/>
                <w:lang w:val="en-US"/>
              </w:rPr>
              <w:t>Loads: Inputs of nutrients and HSs from direct (point) sources</w:t>
            </w:r>
            <w:bookmarkEnd w:id="56"/>
            <w:bookmarkEnd w:id="57"/>
          </w:p>
        </w:tc>
        <w:tc>
          <w:tcPr>
            <w:tcW w:w="624" w:type="pct"/>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B4C48">
        <w:trPr>
          <w:trHeight w:val="2216"/>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8.1.1 Concentration of the contaminants mentioned above, measured in the relevant matrix (such as biota, sediment and water) in a way that ensures comparability with the assessments under Directive 2000/60/EC</w:t>
            </w: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 xml:space="preserve">Metal (Hg, Cd, Pb) concentrations in biota </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Metals (lead, cadmium and mercury)</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Concentration of key harmful contaminants* in biota, sediment or water</w:t>
            </w: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Hazardous substances in biota</w:t>
            </w: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MAR001Hazardous substances in biota</w:t>
            </w:r>
          </w:p>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Sub indicators: Cadmium, Mercury, Lead, HCB, Lindane, PCB, DDT</w:t>
            </w:r>
          </w:p>
        </w:tc>
      </w:tr>
      <w:tr w:rsidR="00EC5066" w:rsidRPr="00EC5066" w:rsidTr="00EC5066">
        <w:trPr>
          <w:trHeight w:val="936"/>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Metal (Hg, Cd, Pb) concentrations in sediment</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Hazardous substances in sediments</w:t>
            </w: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 xml:space="preserve">PCB concentrations in biota </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Polychlorinated biphenyls (PCB) and dioxins and furans: CB-28, 52, 101, 118, 138, 153and 180; WHO-TEQ of dioxins, furans +dl-</w:t>
            </w:r>
            <w:r w:rsidRPr="00EC5066">
              <w:rPr>
                <w:color w:val="000000"/>
                <w:sz w:val="18"/>
                <w:szCs w:val="18"/>
                <w:lang w:val="en-US"/>
              </w:rPr>
              <w:lastRenderedPageBreak/>
              <w:t>PCBs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P</w:t>
            </w:r>
            <w:r w:rsidRPr="00EC5066">
              <w:rPr>
                <w:color w:val="000000"/>
                <w:sz w:val="18"/>
                <w:szCs w:val="18"/>
                <w:lang w:val="en-US"/>
              </w:rPr>
              <w:t xml:space="preserve">CB </w:t>
            </w:r>
            <w:r w:rsidRPr="00EC5066">
              <w:rPr>
                <w:color w:val="000000"/>
                <w:sz w:val="18"/>
                <w:szCs w:val="18"/>
              </w:rPr>
              <w:t>concentrations in sediments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highlight w:val="yellow"/>
              </w:rPr>
            </w:pPr>
            <w:r w:rsidRPr="00EC5066">
              <w:rPr>
                <w:sz w:val="18"/>
                <w:szCs w:val="18"/>
              </w:rPr>
              <w:t>P</w:t>
            </w:r>
            <w:r w:rsidRPr="00EC5066">
              <w:rPr>
                <w:sz w:val="18"/>
                <w:szCs w:val="18"/>
                <w:lang w:val="en-US"/>
              </w:rPr>
              <w:t xml:space="preserve">AHs </w:t>
            </w:r>
            <w:r w:rsidRPr="00EC5066">
              <w:rPr>
                <w:sz w:val="18"/>
                <w:szCs w:val="18"/>
              </w:rPr>
              <w:t>concentrations in biota</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Polyaromatic hydrocarbons and their metabolites: US EPA 16 PAHs / selected metabolites.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P</w:t>
            </w:r>
            <w:r w:rsidRPr="00EC5066">
              <w:rPr>
                <w:color w:val="000000"/>
                <w:sz w:val="18"/>
                <w:szCs w:val="18"/>
                <w:lang w:val="en-US"/>
              </w:rPr>
              <w:t>AHs</w:t>
            </w:r>
            <w:r w:rsidRPr="00EC5066">
              <w:rPr>
                <w:color w:val="000000"/>
                <w:sz w:val="18"/>
                <w:szCs w:val="18"/>
              </w:rPr>
              <w:t xml:space="preserve"> concentrations in sediments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highlight w:val="yellow"/>
              </w:rPr>
            </w:pPr>
            <w:r w:rsidRPr="00EC5066">
              <w:rPr>
                <w:sz w:val="18"/>
                <w:szCs w:val="18"/>
              </w:rPr>
              <w:t>Organotin concentrations in biota</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Tributyltin (TBT) and imposex</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Organotin concentrations in sediments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PBDE concentrations in biota</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Polybrominated biphenyl ethers (PBDE): BDE-28, 47, 99, 100, 153 and 154</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PBDE concentrations in sediments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lang w:val="en-US"/>
              </w:rPr>
            </w:pPr>
            <w:r w:rsidRPr="00EC5066">
              <w:rPr>
                <w:sz w:val="18"/>
                <w:szCs w:val="18"/>
                <w:lang w:val="en-US"/>
              </w:rPr>
              <w:t>HCB (hexachlorobenzene) concentrations in biota</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lang w:val="en-US"/>
              </w:rPr>
            </w:pPr>
            <w:r w:rsidRPr="00EC5066">
              <w:rPr>
                <w:sz w:val="18"/>
                <w:szCs w:val="18"/>
                <w:lang w:val="en-US"/>
              </w:rPr>
              <w:t xml:space="preserve">HCB (hexachlorobenzene) concentrations </w:t>
            </w:r>
            <w:r w:rsidRPr="00EC5066">
              <w:rPr>
                <w:sz w:val="18"/>
                <w:szCs w:val="18"/>
                <w:lang w:val="en-US"/>
              </w:rPr>
              <w:lastRenderedPageBreak/>
              <w:t>in sediments</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lang w:val="en-US"/>
              </w:rPr>
            </w:pPr>
            <w:r w:rsidRPr="00EC5066">
              <w:rPr>
                <w:sz w:val="18"/>
                <w:szCs w:val="18"/>
                <w:lang w:val="en-US"/>
              </w:rPr>
              <w:t>HCBD (hexachlorobutadiene) concentrations in biota</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lang w:val="en-US"/>
              </w:rPr>
            </w:pPr>
            <w:r w:rsidRPr="00EC5066">
              <w:rPr>
                <w:sz w:val="18"/>
                <w:szCs w:val="18"/>
                <w:lang w:val="en-US"/>
              </w:rPr>
              <w:t>HCBD (hexachlorobutadiene) concentrations in sediments</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FF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rPr>
              <w:t>Hexabromocyclododacene (HBCD)</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FF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Perfluorooctane sulphonate (PFOS)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FF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Pharmaceuticals: Diclofenac, EE2 (+E1, E2, E3 + in vitro yeast essay</w:t>
            </w: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FF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Radioactive substances: Caesium-</w:t>
            </w:r>
            <w:r w:rsidR="00580600">
              <w:rPr>
                <w:color w:val="000000"/>
                <w:sz w:val="18"/>
                <w:szCs w:val="18"/>
                <w:lang w:val="en-US"/>
              </w:rPr>
              <w:t>137 in fi</w:t>
            </w:r>
            <w:r w:rsidRPr="00EC5066">
              <w:rPr>
                <w:color w:val="000000"/>
                <w:sz w:val="18"/>
                <w:szCs w:val="18"/>
                <w:lang w:val="en-US"/>
              </w:rPr>
              <w:t>sh and surface waters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 xml:space="preserve">8.2.1 Levels of pollution effects on the ecosystem components concerned, having regard to the selected biological processes and taxonomic groups where a cause/effect relationship has been </w:t>
            </w:r>
            <w:r w:rsidRPr="00EC5066">
              <w:rPr>
                <w:color w:val="000000"/>
                <w:sz w:val="18"/>
                <w:szCs w:val="18"/>
                <w:lang w:val="en-US"/>
              </w:rPr>
              <w:lastRenderedPageBreak/>
              <w:t>established and needs to be monitored</w:t>
            </w: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lastRenderedPageBreak/>
              <w:t>Imposex/intersex</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Tributyltin (TBT) and imposex</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lang w:val="en-US"/>
              </w:rPr>
              <w:t>Level of pollution effects of key contaminants where a cause and effect relationship has been established</w:t>
            </w: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highlight w:val="yellow"/>
              </w:rPr>
            </w:pPr>
            <w:r w:rsidRPr="00EC5066">
              <w:rPr>
                <w:sz w:val="18"/>
                <w:szCs w:val="18"/>
              </w:rPr>
              <w:t>Externally visible fish diseases</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Fish diseases – a fish stress indicator</w:t>
            </w: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FF0000"/>
                <w:sz w:val="18"/>
                <w:szCs w:val="18"/>
              </w:rPr>
            </w:pPr>
            <w:r w:rsidRPr="00EC5066">
              <w:rPr>
                <w:color w:val="000000"/>
                <w:sz w:val="18"/>
                <w:szCs w:val="18"/>
              </w:rPr>
              <w:t>Lysosomal stability (LMS)</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Lysosomal Membrane Stability – a toxic stress indicator</w:t>
            </w: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FF0000"/>
                <w:sz w:val="18"/>
                <w:szCs w:val="18"/>
                <w:lang w:val="en-US"/>
              </w:rPr>
            </w:pPr>
            <w:r w:rsidRPr="00EC5066">
              <w:rPr>
                <w:color w:val="000000"/>
                <w:sz w:val="18"/>
                <w:szCs w:val="18"/>
              </w:rPr>
              <w:t>Bile metabolites (of PAHs)</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Polyaromatic hydrocarbons and their metabolites: US EPA 16 PAHs / selected metabolites.</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Micronuclei (MN)</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Micronuclei test – a genotoxicity indicator</w:t>
            </w: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r w:rsidRPr="00EC5066">
              <w:rPr>
                <w:color w:val="000000"/>
                <w:sz w:val="18"/>
                <w:szCs w:val="18"/>
              </w:rPr>
              <w:t>EROD</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Eelpout and amphipod embryo malformations</w:t>
            </w: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8.2.2 Occurrence, origin (where possible), extent of significant acute pollution events (e.g. slicks from oil and oil products) and their impact on biota physically affected by this pollution</w:t>
            </w: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rPr>
            </w:pPr>
          </w:p>
        </w:tc>
        <w:tc>
          <w:tcPr>
            <w:tcW w:w="549" w:type="pct"/>
            <w:shd w:val="solid" w:color="FFFFFF" w:fill="auto"/>
          </w:tcPr>
          <w:p w:rsidR="00EC5066" w:rsidRPr="00EC5066" w:rsidRDefault="00EC5066" w:rsidP="00987279">
            <w:pPr>
              <w:autoSpaceDE w:val="0"/>
              <w:autoSpaceDN w:val="0"/>
              <w:adjustRightInd w:val="0"/>
              <w:spacing w:line="240" w:lineRule="auto"/>
              <w:rPr>
                <w:sz w:val="18"/>
                <w:szCs w:val="18"/>
                <w:highlight w:val="yellow"/>
              </w:rPr>
            </w:pPr>
            <w:r w:rsidRPr="00EC5066">
              <w:rPr>
                <w:sz w:val="18"/>
                <w:szCs w:val="18"/>
              </w:rPr>
              <w:t>Oiled birds</w:t>
            </w: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Number of waterbirds being oiled annually (biodiversity core indicator)</w:t>
            </w: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Occurrence, origin (where possible), extent of significant acute pollution events (e.g. slicks from oil, oil products and hazardous substances) and their impact on biota affected by this pollution</w:t>
            </w: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Illegal discharges of oil at sea Accidental oil spills from shipping</w:t>
            </w:r>
          </w:p>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rPr>
              <w:t>Shipping density</w:t>
            </w: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vertAlign w:val="superscript"/>
                <w:lang w:val="en-US"/>
              </w:rPr>
            </w:pPr>
            <w:r w:rsidRPr="00EC5066">
              <w:rPr>
                <w:color w:val="000000"/>
                <w:sz w:val="18"/>
                <w:szCs w:val="18"/>
                <w:lang w:val="en-US"/>
              </w:rPr>
              <w:t>EN14 Discharge of oil from refineries and offshore installations</w:t>
            </w:r>
            <w:r w:rsidRPr="00EC5066">
              <w:rPr>
                <w:color w:val="000000"/>
                <w:sz w:val="18"/>
                <w:szCs w:val="18"/>
                <w:vertAlign w:val="superscript"/>
                <w:lang w:val="en-US"/>
              </w:rPr>
              <w:t>7</w:t>
            </w:r>
          </w:p>
          <w:p w:rsidR="00EC5066" w:rsidRPr="00EC5066" w:rsidRDefault="00EC5066" w:rsidP="00987279">
            <w:pPr>
              <w:autoSpaceDE w:val="0"/>
              <w:autoSpaceDN w:val="0"/>
              <w:adjustRightInd w:val="0"/>
              <w:spacing w:line="240" w:lineRule="auto"/>
              <w:rPr>
                <w:color w:val="000000"/>
                <w:sz w:val="18"/>
                <w:szCs w:val="18"/>
                <w:vertAlign w:val="superscript"/>
                <w:lang w:val="en-US"/>
              </w:rPr>
            </w:pPr>
            <w:r w:rsidRPr="00EC5066">
              <w:rPr>
                <w:color w:val="000000"/>
                <w:sz w:val="18"/>
                <w:szCs w:val="18"/>
                <w:lang w:val="en-US"/>
              </w:rPr>
              <w:t>EN15 Accidental oil spills from marine shipping</w:t>
            </w:r>
            <w:r w:rsidRPr="00EC5066">
              <w:rPr>
                <w:color w:val="000000"/>
                <w:sz w:val="18"/>
                <w:szCs w:val="18"/>
                <w:vertAlign w:val="superscript"/>
                <w:lang w:val="en-US"/>
              </w:rPr>
              <w:t>7</w:t>
            </w:r>
          </w:p>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lastRenderedPageBreak/>
              <w:t>9.1.1 Actual levels of contaminants that have been detected and number of contaminants which have exceeded maximum regulatory levels</w:t>
            </w:r>
          </w:p>
        </w:tc>
        <w:tc>
          <w:tcPr>
            <w:tcW w:w="600"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HELCOM core indicators to assess concentrations</w:t>
            </w:r>
          </w:p>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against specific limit levels; substances</w:t>
            </w:r>
          </w:p>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are Cadmium, Lead, Mercury, dl-PCBs, dioxins,</w:t>
            </w:r>
          </w:p>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Benzo[a]Pyrene and Cesium-137</w:t>
            </w: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r w:rsidRPr="00EC5066">
              <w:rPr>
                <w:color w:val="000000"/>
                <w:sz w:val="18"/>
                <w:szCs w:val="18"/>
                <w:lang w:val="en-US"/>
              </w:rPr>
              <w:t>Actual levels of contaminants that have been detected and number of contaminants which have exceeded maximum regulatory levels in commonly consumed seafood</w:t>
            </w:r>
          </w:p>
        </w:tc>
        <w:tc>
          <w:tcPr>
            <w:tcW w:w="625"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color w:val="000000"/>
                <w:sz w:val="18"/>
                <w:szCs w:val="18"/>
                <w:lang w:val="en-US"/>
              </w:rPr>
              <w:t>9.1.2 Frequency of regulatory levels being exceeded</w:t>
            </w:r>
          </w:p>
        </w:tc>
        <w:tc>
          <w:tcPr>
            <w:tcW w:w="600"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b/>
                <w:bCs/>
                <w:color w:val="00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color w:val="000000"/>
                <w:sz w:val="18"/>
                <w:szCs w:val="18"/>
                <w:lang w:val="en-US"/>
              </w:rPr>
              <w:t>Actual levels of contaminants that have been detected and number of contaminants which have exceeded maximum regulatory levels in commonly consumed seafood</w:t>
            </w:r>
          </w:p>
        </w:tc>
        <w:tc>
          <w:tcPr>
            <w:tcW w:w="625"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r>
      <w:tr w:rsidR="00EC5066" w:rsidRPr="00EC5066" w:rsidTr="00EC5066">
        <w:trPr>
          <w:trHeight w:val="312"/>
        </w:trPr>
        <w:tc>
          <w:tcPr>
            <w:tcW w:w="83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00"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b/>
                <w:bCs/>
                <w:color w:val="000000"/>
                <w:sz w:val="18"/>
                <w:szCs w:val="18"/>
                <w:highlight w:val="yellow"/>
                <w:lang w:val="en-US"/>
              </w:rPr>
            </w:pPr>
          </w:p>
        </w:tc>
        <w:tc>
          <w:tcPr>
            <w:tcW w:w="551"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549" w:type="pct"/>
            <w:shd w:val="solid" w:color="FFFFFF" w:fill="auto"/>
          </w:tcPr>
          <w:p w:rsidR="00EC5066" w:rsidRPr="00EC5066" w:rsidRDefault="00EC5066" w:rsidP="00987279">
            <w:pPr>
              <w:autoSpaceDE w:val="0"/>
              <w:autoSpaceDN w:val="0"/>
              <w:adjustRightInd w:val="0"/>
              <w:spacing w:line="240" w:lineRule="auto"/>
              <w:rPr>
                <w:color w:val="000000"/>
                <w:sz w:val="18"/>
                <w:szCs w:val="18"/>
                <w:lang w:val="en-US"/>
              </w:rPr>
            </w:pPr>
          </w:p>
        </w:tc>
        <w:tc>
          <w:tcPr>
            <w:tcW w:w="662"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r w:rsidRPr="00EC5066">
              <w:rPr>
                <w:color w:val="000000"/>
                <w:sz w:val="18"/>
                <w:szCs w:val="18"/>
                <w:lang w:val="en-US"/>
              </w:rPr>
              <w:t>Percentage of intestinal enterococci concentration measurements within established standards</w:t>
            </w:r>
          </w:p>
        </w:tc>
        <w:tc>
          <w:tcPr>
            <w:tcW w:w="625"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c>
          <w:tcPr>
            <w:tcW w:w="624" w:type="pct"/>
            <w:shd w:val="solid" w:color="FFFFFF" w:fill="auto"/>
          </w:tcPr>
          <w:p w:rsidR="00EC5066" w:rsidRPr="00EC5066" w:rsidRDefault="00EC5066" w:rsidP="00987279">
            <w:pPr>
              <w:autoSpaceDE w:val="0"/>
              <w:autoSpaceDN w:val="0"/>
              <w:adjustRightInd w:val="0"/>
              <w:spacing w:line="240" w:lineRule="auto"/>
              <w:rPr>
                <w:b/>
                <w:bCs/>
                <w:color w:val="000000"/>
                <w:sz w:val="18"/>
                <w:szCs w:val="18"/>
                <w:lang w:val="en-US"/>
              </w:rPr>
            </w:pPr>
          </w:p>
        </w:tc>
      </w:tr>
    </w:tbl>
    <w:p w:rsidR="00EC5066" w:rsidRPr="0026180A" w:rsidRDefault="00EC5066" w:rsidP="004B48B8">
      <w:pPr>
        <w:spacing w:line="240" w:lineRule="auto"/>
        <w:rPr>
          <w:sz w:val="16"/>
          <w:szCs w:val="16"/>
          <w:lang w:val="en-US"/>
        </w:rPr>
      </w:pPr>
      <w:r w:rsidRPr="0026180A">
        <w:rPr>
          <w:sz w:val="16"/>
          <w:szCs w:val="16"/>
          <w:vertAlign w:val="superscript"/>
          <w:lang w:val="en-US"/>
        </w:rPr>
        <w:t>*</w:t>
      </w:r>
      <w:r w:rsidRPr="0026180A">
        <w:rPr>
          <w:sz w:val="16"/>
          <w:szCs w:val="16"/>
          <w:lang w:val="en-US"/>
        </w:rPr>
        <w:t>Priority contaminants as listed under the Barcelona Convention and LBS Protocol</w:t>
      </w:r>
    </w:p>
    <w:p w:rsidR="00EC5066" w:rsidRPr="0026180A" w:rsidRDefault="00EC5066" w:rsidP="004B48B8">
      <w:pPr>
        <w:pStyle w:val="ListParagraph"/>
        <w:spacing w:line="240" w:lineRule="auto"/>
        <w:ind w:left="0"/>
        <w:rPr>
          <w:b/>
          <w:bCs/>
          <w:color w:val="000000"/>
          <w:sz w:val="16"/>
          <w:szCs w:val="16"/>
          <w:lang w:val="fr-FR"/>
        </w:rPr>
      </w:pPr>
      <w:r w:rsidRPr="0026180A">
        <w:rPr>
          <w:b/>
          <w:bCs/>
          <w:color w:val="000000"/>
          <w:sz w:val="16"/>
          <w:szCs w:val="16"/>
          <w:vertAlign w:val="superscript"/>
          <w:lang w:val="fr-FR"/>
        </w:rPr>
        <w:t>1</w:t>
      </w:r>
      <w:r w:rsidRPr="0026180A">
        <w:rPr>
          <w:sz w:val="16"/>
          <w:szCs w:val="16"/>
          <w:lang w:val="fr-FR"/>
        </w:rPr>
        <w:t xml:space="preserve"> Commission Decision</w:t>
      </w:r>
      <w:r w:rsidRPr="0026180A">
        <w:rPr>
          <w:bCs/>
          <w:color w:val="000000"/>
          <w:sz w:val="16"/>
          <w:szCs w:val="16"/>
          <w:lang w:val="fr-FR"/>
        </w:rPr>
        <w:t>2010/477/EU</w:t>
      </w:r>
    </w:p>
    <w:p w:rsidR="00EC5066" w:rsidRPr="0026180A" w:rsidRDefault="00EC5066" w:rsidP="004B48B8">
      <w:pPr>
        <w:pStyle w:val="ListParagraph"/>
        <w:spacing w:line="240" w:lineRule="auto"/>
        <w:ind w:left="0"/>
        <w:rPr>
          <w:bCs/>
          <w:color w:val="000000"/>
          <w:sz w:val="16"/>
          <w:szCs w:val="16"/>
          <w:vertAlign w:val="superscript"/>
          <w:lang w:val="en-US"/>
        </w:rPr>
      </w:pPr>
      <w:r w:rsidRPr="0026180A">
        <w:rPr>
          <w:bCs/>
          <w:color w:val="000000"/>
          <w:sz w:val="16"/>
          <w:szCs w:val="16"/>
          <w:vertAlign w:val="superscript"/>
          <w:lang w:val="fr-FR"/>
        </w:rPr>
        <w:t xml:space="preserve">2 </w:t>
      </w:r>
      <w:r w:rsidRPr="0026180A">
        <w:rPr>
          <w:bCs/>
          <w:color w:val="000000"/>
          <w:sz w:val="16"/>
          <w:szCs w:val="16"/>
          <w:lang w:val="fr-FR"/>
        </w:rPr>
        <w:t xml:space="preserve">ANNEX 6 (Ref. </w:t>
      </w:r>
      <w:r w:rsidRPr="0026180A">
        <w:rPr>
          <w:bCs/>
          <w:color w:val="000000"/>
          <w:sz w:val="16"/>
          <w:szCs w:val="16"/>
          <w:lang w:val="en-US"/>
        </w:rPr>
        <w:t>§ 4.18) OSPAR Convention for the Protection of the Marine Environment of the North-East Atlantic Meeting of the Coordination Group (CoG) London (Secretariat): 21-22 November 2013</w:t>
      </w:r>
    </w:p>
    <w:p w:rsidR="00EC5066" w:rsidRPr="0026180A" w:rsidRDefault="00EC5066" w:rsidP="004B48B8">
      <w:pPr>
        <w:pStyle w:val="ListParagraph"/>
        <w:spacing w:line="240" w:lineRule="auto"/>
        <w:ind w:left="0"/>
        <w:rPr>
          <w:bCs/>
          <w:color w:val="000000"/>
          <w:sz w:val="16"/>
          <w:szCs w:val="16"/>
          <w:lang w:val="en-US"/>
        </w:rPr>
      </w:pPr>
      <w:r w:rsidRPr="0026180A">
        <w:rPr>
          <w:b/>
          <w:bCs/>
          <w:color w:val="000000"/>
          <w:sz w:val="16"/>
          <w:szCs w:val="16"/>
          <w:vertAlign w:val="superscript"/>
          <w:lang w:val="en-US"/>
        </w:rPr>
        <w:lastRenderedPageBreak/>
        <w:t>3</w:t>
      </w:r>
      <w:r w:rsidRPr="0026180A">
        <w:rPr>
          <w:bCs/>
          <w:color w:val="000000"/>
          <w:sz w:val="16"/>
          <w:szCs w:val="16"/>
          <w:lang w:val="en-US"/>
        </w:rPr>
        <w:t xml:space="preserve">HELCOM 2013a </w:t>
      </w:r>
    </w:p>
    <w:p w:rsidR="00EC5066" w:rsidRPr="0026180A" w:rsidRDefault="00EC5066" w:rsidP="004B48B8">
      <w:pPr>
        <w:pStyle w:val="ListParagraph"/>
        <w:spacing w:line="240" w:lineRule="auto"/>
        <w:ind w:left="0"/>
        <w:rPr>
          <w:sz w:val="16"/>
          <w:szCs w:val="16"/>
          <w:vertAlign w:val="superscript"/>
          <w:lang w:val="en-US"/>
        </w:rPr>
      </w:pPr>
      <w:r w:rsidRPr="0026180A">
        <w:rPr>
          <w:b/>
          <w:bCs/>
          <w:color w:val="000000"/>
          <w:sz w:val="16"/>
          <w:szCs w:val="16"/>
          <w:vertAlign w:val="superscript"/>
          <w:lang w:val="en-US"/>
        </w:rPr>
        <w:t>4</w:t>
      </w:r>
      <w:r w:rsidRPr="0026180A">
        <w:rPr>
          <w:sz w:val="16"/>
          <w:szCs w:val="16"/>
          <w:lang w:val="en-US"/>
        </w:rPr>
        <w:t xml:space="preserve"> UNEP/MAP, 2014b</w:t>
      </w:r>
    </w:p>
    <w:p w:rsidR="00EC5066" w:rsidRPr="0026180A" w:rsidRDefault="00EC5066" w:rsidP="004B48B8">
      <w:pPr>
        <w:pStyle w:val="ListParagraph"/>
        <w:spacing w:line="240" w:lineRule="auto"/>
        <w:ind w:left="0"/>
        <w:rPr>
          <w:sz w:val="16"/>
          <w:szCs w:val="16"/>
          <w:lang w:val="en-US"/>
        </w:rPr>
      </w:pPr>
      <w:r w:rsidRPr="0026180A">
        <w:rPr>
          <w:sz w:val="16"/>
          <w:szCs w:val="16"/>
          <w:vertAlign w:val="superscript"/>
          <w:lang w:val="en-US"/>
        </w:rPr>
        <w:t>5</w:t>
      </w:r>
      <w:r w:rsidRPr="0026180A">
        <w:rPr>
          <w:sz w:val="16"/>
          <w:szCs w:val="16"/>
          <w:lang w:val="en-US"/>
        </w:rPr>
        <w:t>BSC (2010)</w:t>
      </w:r>
    </w:p>
    <w:p w:rsidR="00EC5066" w:rsidRPr="0026180A" w:rsidRDefault="00EC5066" w:rsidP="004B48B8">
      <w:pPr>
        <w:pStyle w:val="ListParagraph"/>
        <w:spacing w:line="240" w:lineRule="auto"/>
        <w:ind w:left="0"/>
        <w:rPr>
          <w:sz w:val="16"/>
          <w:szCs w:val="16"/>
          <w:lang w:val="en-US"/>
        </w:rPr>
      </w:pPr>
      <w:r w:rsidRPr="0026180A">
        <w:rPr>
          <w:sz w:val="16"/>
          <w:szCs w:val="16"/>
          <w:vertAlign w:val="superscript"/>
          <w:lang w:val="en-US"/>
        </w:rPr>
        <w:t>6</w:t>
      </w:r>
      <w:r w:rsidRPr="0026180A">
        <w:rPr>
          <w:sz w:val="16"/>
          <w:szCs w:val="16"/>
          <w:lang w:val="en-US"/>
        </w:rPr>
        <w:t>http://www.eea.europa.eu/data-and-maps/indicators/</w:t>
      </w:r>
    </w:p>
    <w:p w:rsidR="00EC5066" w:rsidRPr="0026180A" w:rsidRDefault="00EC5066" w:rsidP="004B48B8">
      <w:pPr>
        <w:pStyle w:val="ListParagraph"/>
        <w:spacing w:line="240" w:lineRule="auto"/>
        <w:ind w:left="0"/>
        <w:rPr>
          <w:sz w:val="16"/>
          <w:szCs w:val="16"/>
          <w:lang w:val="en-US"/>
        </w:rPr>
      </w:pPr>
      <w:r w:rsidRPr="0026180A">
        <w:rPr>
          <w:sz w:val="16"/>
          <w:szCs w:val="16"/>
          <w:vertAlign w:val="superscript"/>
          <w:lang w:val="en-US"/>
        </w:rPr>
        <w:t>7</w:t>
      </w:r>
      <w:r w:rsidRPr="0026180A">
        <w:rPr>
          <w:sz w:val="16"/>
          <w:szCs w:val="16"/>
          <w:lang w:val="en-US"/>
        </w:rPr>
        <w:t>not active any more</w:t>
      </w:r>
    </w:p>
    <w:p w:rsidR="0026180A" w:rsidRDefault="0026180A" w:rsidP="00987279">
      <w:pPr>
        <w:spacing w:line="240" w:lineRule="auto"/>
        <w:rPr>
          <w:szCs w:val="21"/>
          <w:lang w:val="en-US"/>
        </w:rPr>
        <w:sectPr w:rsidR="0026180A" w:rsidSect="00FC64E6">
          <w:pgSz w:w="16838" w:h="11906" w:orient="landscape" w:code="9"/>
          <w:pgMar w:top="1094" w:right="1077" w:bottom="2098" w:left="2552" w:header="822" w:footer="198" w:gutter="0"/>
          <w:cols w:space="708"/>
          <w:docGrid w:linePitch="360"/>
        </w:sectPr>
      </w:pPr>
    </w:p>
    <w:p w:rsidR="0026180A" w:rsidRPr="0026180A" w:rsidRDefault="0026180A" w:rsidP="00987279">
      <w:pPr>
        <w:pStyle w:val="Heading2"/>
        <w:spacing w:before="0" w:line="240" w:lineRule="auto"/>
        <w:rPr>
          <w:lang w:val="en-US"/>
        </w:rPr>
      </w:pPr>
      <w:bookmarkStart w:id="58" w:name="_Toc384815505"/>
      <w:r w:rsidRPr="0026180A">
        <w:rPr>
          <w:szCs w:val="21"/>
          <w:lang w:val="en-US"/>
        </w:rPr>
        <w:lastRenderedPageBreak/>
        <w:t>RSCs methodologies for hazardous substances indicators and assessment tools</w:t>
      </w:r>
      <w:bookmarkEnd w:id="58"/>
    </w:p>
    <w:p w:rsidR="0026180A" w:rsidRPr="00F2534A" w:rsidRDefault="0026180A" w:rsidP="00987279">
      <w:pPr>
        <w:spacing w:line="240" w:lineRule="auto"/>
        <w:rPr>
          <w:b/>
          <w:szCs w:val="21"/>
          <w:lang w:val="en-US"/>
        </w:rPr>
      </w:pPr>
      <w:r w:rsidRPr="00F2534A">
        <w:rPr>
          <w:b/>
          <w:szCs w:val="21"/>
          <w:lang w:val="en-US"/>
        </w:rPr>
        <w:t>HELCOM</w:t>
      </w:r>
    </w:p>
    <w:p w:rsidR="0026180A" w:rsidRPr="00F2534A" w:rsidRDefault="0026180A" w:rsidP="00987279">
      <w:pPr>
        <w:spacing w:line="240" w:lineRule="auto"/>
        <w:rPr>
          <w:szCs w:val="21"/>
          <w:lang w:val="en-US"/>
        </w:rPr>
      </w:pPr>
      <w:r w:rsidRPr="00F2534A">
        <w:rPr>
          <w:szCs w:val="21"/>
          <w:lang w:val="en-US"/>
        </w:rPr>
        <w:t xml:space="preserve">The core indicators will be included as mandatory parameters to the coordinated monitoring programme. Guidelines for monitoring of contaminants and their effects are available in the Manual for Marine Monitoring in the COMBINE Programme of HELCOM at </w:t>
      </w:r>
      <w:hyperlink r:id="rId44" w:history="1">
        <w:r w:rsidRPr="00F2534A">
          <w:rPr>
            <w:rStyle w:val="Hyperlink"/>
            <w:szCs w:val="21"/>
            <w:lang w:val="en-US"/>
          </w:rPr>
          <w:t>http://helcom.fi/action-areas/monitoring-and-assessment/manuals-andguidelines/combine-manual</w:t>
        </w:r>
      </w:hyperlink>
      <w:r w:rsidRPr="00F2534A">
        <w:rPr>
          <w:szCs w:val="21"/>
          <w:lang w:val="en-US"/>
        </w:rPr>
        <w:t xml:space="preserve">. A short overview of the revisions needed in the coordinated monitoring programme presented in HELCOM (2013a, see table below) showed that six of the 13 indicators are at least somehow included in the manual and seven substances or effect indicators need to be included in the manual. In addition, there is a need to consider adding and removing species from the manual, changing sampled tissue, sharpening the details of the sample and agreeing on an effective placement of the monitoring stations. Guidelines for revised HELCOM monitoring programmes addressing all core indicators are being developed in the HELCOM MORE project by the end of year 2014. </w:t>
      </w:r>
    </w:p>
    <w:p w:rsidR="0026180A" w:rsidRPr="00F2534A" w:rsidRDefault="0026180A" w:rsidP="00987279">
      <w:pPr>
        <w:spacing w:line="240" w:lineRule="auto"/>
        <w:rPr>
          <w:szCs w:val="21"/>
          <w:lang w:val="en-US"/>
        </w:rPr>
      </w:pPr>
      <w:r w:rsidRPr="00F2534A">
        <w:rPr>
          <w:szCs w:val="21"/>
          <w:lang w:val="en-US"/>
        </w:rPr>
        <w:t>SOURCE: HELCOM, 2013a</w:t>
      </w:r>
    </w:p>
    <w:p w:rsidR="0026180A" w:rsidRPr="00F2534A" w:rsidRDefault="0026180A" w:rsidP="00987279">
      <w:pPr>
        <w:spacing w:line="240" w:lineRule="auto"/>
        <w:rPr>
          <w:szCs w:val="21"/>
          <w:lang w:val="en-US"/>
        </w:rPr>
      </w:pPr>
      <w:r w:rsidRPr="00F2534A">
        <w:rPr>
          <w:noProof/>
          <w:szCs w:val="21"/>
          <w:lang w:val="el-GR" w:eastAsia="el-GR"/>
        </w:rPr>
        <w:drawing>
          <wp:inline distT="0" distB="0" distL="0" distR="0">
            <wp:extent cx="5278120" cy="3338204"/>
            <wp:effectExtent l="19050" t="0" r="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278120" cy="3338204"/>
                    </a:xfrm>
                    <a:prstGeom prst="rect">
                      <a:avLst/>
                    </a:prstGeom>
                    <a:noFill/>
                    <a:ln w="9525">
                      <a:noFill/>
                      <a:miter lim="800000"/>
                      <a:headEnd/>
                      <a:tailEnd/>
                    </a:ln>
                  </pic:spPr>
                </pic:pic>
              </a:graphicData>
            </a:graphic>
          </wp:inline>
        </w:drawing>
      </w:r>
    </w:p>
    <w:p w:rsidR="0089205E" w:rsidRDefault="0089205E" w:rsidP="00987279">
      <w:pPr>
        <w:spacing w:line="240" w:lineRule="auto"/>
        <w:rPr>
          <w:szCs w:val="21"/>
          <w:lang w:val="en-US"/>
        </w:rPr>
      </w:pPr>
    </w:p>
    <w:p w:rsidR="0026180A" w:rsidRDefault="0026180A" w:rsidP="00987279">
      <w:pPr>
        <w:spacing w:line="240" w:lineRule="auto"/>
        <w:rPr>
          <w:szCs w:val="21"/>
          <w:lang w:val="en-US"/>
        </w:rPr>
      </w:pPr>
      <w:r w:rsidRPr="00F2534A">
        <w:rPr>
          <w:szCs w:val="21"/>
          <w:lang w:val="en-US"/>
        </w:rPr>
        <w:t>For all the proposed core indicators</w:t>
      </w:r>
      <w:r w:rsidR="001733F5">
        <w:rPr>
          <w:szCs w:val="21"/>
          <w:lang w:val="en-US"/>
        </w:rPr>
        <w:t>,</w:t>
      </w:r>
      <w:r w:rsidRPr="00F2534A">
        <w:rPr>
          <w:szCs w:val="21"/>
          <w:lang w:val="en-US"/>
        </w:rPr>
        <w:t xml:space="preserve"> targets showing the boundary for good environmental status (GES) have been determined (HELCOM, 2013a). The status of the hazardous substances core indicators </w:t>
      </w:r>
      <w:r w:rsidR="001733F5">
        <w:rPr>
          <w:szCs w:val="21"/>
          <w:lang w:val="en-US"/>
        </w:rPr>
        <w:t>is</w:t>
      </w:r>
      <w:r w:rsidRPr="00F2534A">
        <w:rPr>
          <w:szCs w:val="21"/>
          <w:lang w:val="en-US"/>
        </w:rPr>
        <w:t xml:space="preserve"> presented in three status classes: good, moderate and bad. ‘Good’ environmental status and ‘moderate’ status are determined by the GES boundary or GES threshold, while ‘bad’ represents a condition of particularly high concentration or adverse impacts. The GES boundaries were primary selected using EU Environmental Quality Standards (EQSs) and also the OSPAR Environmental Assessment Criteria (EAC).</w:t>
      </w:r>
    </w:p>
    <w:p w:rsidR="0026180A" w:rsidRPr="00F2534A" w:rsidRDefault="0026180A" w:rsidP="00987279">
      <w:pPr>
        <w:spacing w:line="240" w:lineRule="auto"/>
        <w:rPr>
          <w:szCs w:val="21"/>
          <w:lang w:val="en-US"/>
        </w:rPr>
      </w:pPr>
    </w:p>
    <w:p w:rsidR="0026180A" w:rsidRDefault="0026180A" w:rsidP="00987279">
      <w:pPr>
        <w:spacing w:line="240" w:lineRule="auto"/>
        <w:rPr>
          <w:szCs w:val="21"/>
          <w:lang w:val="en-US"/>
        </w:rPr>
      </w:pPr>
      <w:r w:rsidRPr="00F2534A">
        <w:rPr>
          <w:szCs w:val="21"/>
          <w:lang w:val="en-US"/>
        </w:rPr>
        <w:t xml:space="preserve">HELCOM guidelines on hazardous substances indicators methodologies can be found at </w:t>
      </w:r>
      <w:hyperlink r:id="rId46" w:history="1">
        <w:r w:rsidR="00290633" w:rsidRPr="00194905">
          <w:rPr>
            <w:rStyle w:val="Hyperlink"/>
            <w:szCs w:val="21"/>
            <w:lang w:val="en-US"/>
          </w:rPr>
          <w:t>http://www.helcom.fi/baltic-sea-trends/hazardous-substances/indicators/</w:t>
        </w:r>
      </w:hyperlink>
    </w:p>
    <w:p w:rsidR="00290633" w:rsidRDefault="00290633" w:rsidP="00987279">
      <w:pPr>
        <w:spacing w:line="240" w:lineRule="auto"/>
        <w:rPr>
          <w:szCs w:val="21"/>
          <w:lang w:val="en-US"/>
        </w:rPr>
      </w:pPr>
      <w:r>
        <w:rPr>
          <w:szCs w:val="21"/>
          <w:lang w:val="en-US"/>
        </w:rPr>
        <w:t xml:space="preserve">An overview of the </w:t>
      </w:r>
      <w:r w:rsidRPr="00F2534A">
        <w:rPr>
          <w:szCs w:val="21"/>
          <w:lang w:val="en-US"/>
        </w:rPr>
        <w:t>HELCOM guidelines on hazardous substances indicators methodologies</w:t>
      </w:r>
      <w:r>
        <w:rPr>
          <w:szCs w:val="21"/>
          <w:lang w:val="en-US"/>
        </w:rPr>
        <w:t xml:space="preserve"> is presented in Table 3.3.</w:t>
      </w:r>
    </w:p>
    <w:p w:rsidR="0026180A" w:rsidRDefault="0026180A" w:rsidP="00987279">
      <w:pPr>
        <w:spacing w:line="240" w:lineRule="auto"/>
        <w:rPr>
          <w:szCs w:val="21"/>
          <w:lang w:val="en-US"/>
        </w:rPr>
      </w:pPr>
    </w:p>
    <w:p w:rsidR="00290633" w:rsidRDefault="00290633" w:rsidP="00987279">
      <w:pPr>
        <w:spacing w:line="240" w:lineRule="auto"/>
        <w:rPr>
          <w:szCs w:val="21"/>
          <w:lang w:val="en-US"/>
        </w:rPr>
      </w:pPr>
    </w:p>
    <w:p w:rsidR="0089205E" w:rsidRDefault="0089205E" w:rsidP="00987279">
      <w:pPr>
        <w:spacing w:line="240" w:lineRule="auto"/>
        <w:rPr>
          <w:szCs w:val="21"/>
          <w:lang w:val="en-US"/>
        </w:rPr>
      </w:pPr>
    </w:p>
    <w:p w:rsidR="00290633" w:rsidRDefault="001733F5" w:rsidP="00987279">
      <w:pPr>
        <w:spacing w:line="240" w:lineRule="auto"/>
        <w:rPr>
          <w:i/>
          <w:sz w:val="17"/>
          <w:szCs w:val="17"/>
          <w:lang w:val="en-US"/>
        </w:rPr>
      </w:pPr>
      <w:r w:rsidRPr="001733F5">
        <w:rPr>
          <w:i/>
          <w:sz w:val="17"/>
          <w:szCs w:val="17"/>
          <w:lang w:val="en-US"/>
        </w:rPr>
        <w:lastRenderedPageBreak/>
        <w:t>Table 3.3. Overview of the HELCOM guidelines on hazardous substances indicators methodologies</w:t>
      </w:r>
    </w:p>
    <w:tbl>
      <w:tblPr>
        <w:tblStyle w:val="TableGrid"/>
        <w:tblW w:w="5000" w:type="pct"/>
        <w:tblLook w:val="04A0"/>
      </w:tblPr>
      <w:tblGrid>
        <w:gridCol w:w="2348"/>
        <w:gridCol w:w="2376"/>
        <w:gridCol w:w="3014"/>
        <w:gridCol w:w="1192"/>
      </w:tblGrid>
      <w:tr w:rsidR="001733F5" w:rsidRPr="00F951EF" w:rsidTr="006B0FAE">
        <w:tc>
          <w:tcPr>
            <w:tcW w:w="1061" w:type="pct"/>
            <w:shd w:val="clear" w:color="auto" w:fill="D9D9D9" w:themeFill="background1" w:themeFillShade="D9"/>
          </w:tcPr>
          <w:p w:rsidR="001733F5" w:rsidRPr="00F951EF" w:rsidRDefault="001733F5" w:rsidP="006B0FAE">
            <w:pPr>
              <w:rPr>
                <w:rFonts w:cs="Calibri"/>
                <w:b/>
                <w:bCs/>
                <w:sz w:val="18"/>
                <w:szCs w:val="18"/>
                <w:lang w:val="en-US"/>
              </w:rPr>
            </w:pPr>
            <w:r w:rsidRPr="00F951EF">
              <w:rPr>
                <w:rFonts w:cs="Calibri"/>
                <w:b/>
                <w:bCs/>
                <w:sz w:val="18"/>
                <w:szCs w:val="18"/>
                <w:lang w:val="en-US"/>
              </w:rPr>
              <w:t>Core indicator</w:t>
            </w:r>
          </w:p>
        </w:tc>
        <w:tc>
          <w:tcPr>
            <w:tcW w:w="1415" w:type="pct"/>
            <w:shd w:val="clear" w:color="auto" w:fill="D9D9D9" w:themeFill="background1" w:themeFillShade="D9"/>
          </w:tcPr>
          <w:p w:rsidR="001733F5" w:rsidRPr="00F951EF" w:rsidRDefault="001733F5" w:rsidP="006B0FAE">
            <w:pPr>
              <w:rPr>
                <w:rFonts w:cs="Calibri"/>
                <w:b/>
                <w:bCs/>
                <w:sz w:val="18"/>
                <w:szCs w:val="18"/>
                <w:lang w:val="en-US"/>
              </w:rPr>
            </w:pPr>
            <w:r w:rsidRPr="00F951EF">
              <w:rPr>
                <w:rFonts w:cs="Calibri"/>
                <w:b/>
                <w:bCs/>
                <w:sz w:val="18"/>
                <w:szCs w:val="18"/>
                <w:lang w:val="en-US"/>
              </w:rPr>
              <w:t>Preferred matrix</w:t>
            </w:r>
          </w:p>
        </w:tc>
        <w:tc>
          <w:tcPr>
            <w:tcW w:w="1772" w:type="pct"/>
            <w:shd w:val="clear" w:color="auto" w:fill="D9D9D9" w:themeFill="background1" w:themeFillShade="D9"/>
          </w:tcPr>
          <w:p w:rsidR="001733F5" w:rsidRPr="00F951EF" w:rsidRDefault="001733F5" w:rsidP="006B0FAE">
            <w:pPr>
              <w:rPr>
                <w:rFonts w:cs="Calibri"/>
                <w:b/>
                <w:bCs/>
                <w:sz w:val="18"/>
                <w:szCs w:val="18"/>
                <w:lang w:val="en-US"/>
              </w:rPr>
            </w:pPr>
            <w:r w:rsidRPr="00F951EF">
              <w:rPr>
                <w:rFonts w:cs="Calibri"/>
                <w:b/>
                <w:bCs/>
                <w:sz w:val="18"/>
                <w:szCs w:val="18"/>
                <w:lang w:val="en-US"/>
              </w:rPr>
              <w:t>Assessment criteria</w:t>
            </w:r>
          </w:p>
        </w:tc>
        <w:tc>
          <w:tcPr>
            <w:tcW w:w="752" w:type="pct"/>
            <w:shd w:val="clear" w:color="auto" w:fill="D9D9D9" w:themeFill="background1" w:themeFillShade="D9"/>
          </w:tcPr>
          <w:p w:rsidR="001733F5" w:rsidRPr="00F951EF" w:rsidRDefault="001733F5" w:rsidP="006B0FAE">
            <w:pPr>
              <w:rPr>
                <w:rFonts w:cs="Calibri"/>
                <w:b/>
                <w:bCs/>
                <w:sz w:val="18"/>
                <w:szCs w:val="18"/>
                <w:lang w:val="en-US"/>
              </w:rPr>
            </w:pPr>
            <w:r w:rsidRPr="00F951EF">
              <w:rPr>
                <w:rFonts w:cs="Calibri"/>
                <w:b/>
                <w:bCs/>
                <w:sz w:val="18"/>
                <w:szCs w:val="18"/>
                <w:lang w:val="en-US"/>
              </w:rPr>
              <w:t>Reference</w:t>
            </w:r>
          </w:p>
        </w:tc>
      </w:tr>
      <w:tr w:rsidR="001733F5" w:rsidRPr="00F951EF" w:rsidTr="006B0FAE">
        <w:tc>
          <w:tcPr>
            <w:tcW w:w="1061" w:type="pct"/>
          </w:tcPr>
          <w:p w:rsidR="001733F5" w:rsidRPr="00F951EF" w:rsidRDefault="001733F5" w:rsidP="006B0FAE">
            <w:pPr>
              <w:rPr>
                <w:rFonts w:cs="Calibri"/>
                <w:bCs/>
                <w:sz w:val="18"/>
                <w:szCs w:val="18"/>
                <w:lang w:val="en-US"/>
              </w:rPr>
            </w:pPr>
            <w:r w:rsidRPr="00F951EF">
              <w:rPr>
                <w:rFonts w:cs="Calibri"/>
                <w:bCs/>
                <w:sz w:val="18"/>
                <w:szCs w:val="18"/>
                <w:lang w:val="en-US"/>
              </w:rPr>
              <w:t xml:space="preserve">Metals (lead, cadmium and mercury) </w:t>
            </w:r>
          </w:p>
        </w:tc>
        <w:tc>
          <w:tcPr>
            <w:tcW w:w="1415" w:type="pct"/>
          </w:tcPr>
          <w:p w:rsidR="001733F5" w:rsidRPr="00F951EF" w:rsidRDefault="001733F5" w:rsidP="006B0FAE">
            <w:pPr>
              <w:rPr>
                <w:sz w:val="18"/>
                <w:szCs w:val="18"/>
                <w:lang w:val="en-US"/>
              </w:rPr>
            </w:pPr>
            <w:r w:rsidRPr="00F951EF">
              <w:rPr>
                <w:sz w:val="18"/>
                <w:szCs w:val="18"/>
                <w:lang w:val="en-US"/>
              </w:rPr>
              <w:t xml:space="preserve">Shellfish or sediment for local surveys </w:t>
            </w:r>
          </w:p>
          <w:p w:rsidR="001733F5" w:rsidRPr="00F951EF" w:rsidRDefault="001733F5" w:rsidP="006B0FAE">
            <w:pPr>
              <w:rPr>
                <w:sz w:val="18"/>
                <w:szCs w:val="18"/>
                <w:lang w:val="en-US"/>
              </w:rPr>
            </w:pPr>
            <w:r w:rsidRPr="00F951EF">
              <w:rPr>
                <w:sz w:val="18"/>
                <w:szCs w:val="18"/>
                <w:lang w:val="en-US"/>
              </w:rPr>
              <w:t>Fish muscle (Hg) and liver (Cd, Pb) for regional surveys</w:t>
            </w:r>
          </w:p>
          <w:p w:rsidR="001733F5" w:rsidRPr="00F951EF" w:rsidRDefault="001733F5" w:rsidP="006B0FAE">
            <w:pPr>
              <w:rPr>
                <w:rFonts w:cs="Calibri"/>
                <w:b/>
                <w:bCs/>
                <w:sz w:val="18"/>
                <w:szCs w:val="18"/>
                <w:lang w:val="en-US"/>
              </w:rPr>
            </w:pPr>
          </w:p>
        </w:tc>
        <w:tc>
          <w:tcPr>
            <w:tcW w:w="1772" w:type="pct"/>
          </w:tcPr>
          <w:p w:rsidR="001733F5" w:rsidRPr="00F951EF" w:rsidRDefault="001733F5" w:rsidP="006B0FAE">
            <w:pPr>
              <w:rPr>
                <w:rFonts w:cs="Calibri"/>
                <w:bCs/>
                <w:sz w:val="18"/>
                <w:szCs w:val="18"/>
                <w:lang w:val="en-US"/>
              </w:rPr>
            </w:pPr>
            <w:r w:rsidRPr="00F951EF">
              <w:rPr>
                <w:rFonts w:cs="Calibri"/>
                <w:bCs/>
                <w:sz w:val="18"/>
                <w:szCs w:val="18"/>
                <w:lang w:val="en-US"/>
              </w:rPr>
              <w:t>OSPAR Background Assessment Criteria (BAC) as the GES boundary</w:t>
            </w:r>
          </w:p>
          <w:p w:rsidR="001733F5" w:rsidRPr="00F951EF" w:rsidRDefault="001733F5" w:rsidP="006B0FAE">
            <w:pPr>
              <w:rPr>
                <w:rFonts w:cs="Calibri"/>
                <w:bCs/>
                <w:sz w:val="18"/>
                <w:szCs w:val="18"/>
                <w:lang w:val="en-US"/>
              </w:rPr>
            </w:pPr>
            <w:r w:rsidRPr="00F951EF">
              <w:rPr>
                <w:rFonts w:cs="Calibri"/>
                <w:bCs/>
                <w:sz w:val="18"/>
                <w:szCs w:val="18"/>
                <w:lang w:val="en-US"/>
              </w:rPr>
              <w:t xml:space="preserve">EU food safety limits for the boundary of ‘bad’ status in mussels and fish </w:t>
            </w:r>
          </w:p>
          <w:p w:rsidR="001733F5" w:rsidRPr="00F951EF" w:rsidRDefault="001733F5" w:rsidP="006B0FAE">
            <w:pPr>
              <w:rPr>
                <w:rFonts w:cs="Calibri"/>
                <w:b/>
                <w:bCs/>
                <w:sz w:val="18"/>
                <w:szCs w:val="18"/>
                <w:lang w:val="en-US"/>
              </w:rPr>
            </w:pPr>
            <w:r w:rsidRPr="00F951EF">
              <w:rPr>
                <w:rFonts w:cs="Calibri"/>
                <w:bCs/>
                <w:sz w:val="18"/>
                <w:szCs w:val="18"/>
                <w:lang w:val="en-US"/>
              </w:rPr>
              <w:t>ERL threshold in sediment</w:t>
            </w:r>
          </w:p>
        </w:tc>
        <w:tc>
          <w:tcPr>
            <w:tcW w:w="752" w:type="pct"/>
          </w:tcPr>
          <w:p w:rsidR="001733F5" w:rsidRPr="00F951EF" w:rsidRDefault="001733F5" w:rsidP="006B0FAE">
            <w:pPr>
              <w:rPr>
                <w:rFonts w:cs="Calibri"/>
                <w:bCs/>
                <w:sz w:val="18"/>
                <w:szCs w:val="18"/>
                <w:lang w:val="en-US"/>
              </w:rPr>
            </w:pPr>
            <w:r w:rsidRPr="00F951EF">
              <w:rPr>
                <w:rFonts w:cs="Calibri"/>
                <w:bCs/>
                <w:sz w:val="18"/>
                <w:szCs w:val="18"/>
                <w:lang w:val="en-US"/>
              </w:rPr>
              <w:t>Nyberg, et al, 2013a</w:t>
            </w:r>
          </w:p>
        </w:tc>
      </w:tr>
      <w:tr w:rsidR="001733F5" w:rsidRPr="00F951EF" w:rsidTr="006B0FAE">
        <w:tc>
          <w:tcPr>
            <w:tcW w:w="1061" w:type="pct"/>
          </w:tcPr>
          <w:p w:rsidR="001733F5" w:rsidRPr="00F951EF" w:rsidRDefault="001733F5" w:rsidP="006B0FAE">
            <w:pPr>
              <w:rPr>
                <w:i/>
                <w:sz w:val="18"/>
                <w:szCs w:val="18"/>
                <w:lang w:val="en-US"/>
              </w:rPr>
            </w:pPr>
            <w:r w:rsidRPr="00F951EF">
              <w:rPr>
                <w:i/>
                <w:sz w:val="18"/>
                <w:szCs w:val="18"/>
                <w:lang w:val="en-US"/>
              </w:rPr>
              <w:t xml:space="preserve">Polyaromatic hydrocarbons (PAH) and their metabolites - US EPA 16 PAHs / selected metabolites </w:t>
            </w:r>
          </w:p>
          <w:p w:rsidR="001733F5" w:rsidRPr="00F951EF" w:rsidRDefault="001733F5" w:rsidP="006B0FAE">
            <w:pPr>
              <w:rPr>
                <w:rFonts w:cs="Calibri"/>
                <w:bCs/>
                <w:sz w:val="18"/>
                <w:szCs w:val="18"/>
                <w:lang w:val="en-US"/>
              </w:rPr>
            </w:pPr>
          </w:p>
        </w:tc>
        <w:tc>
          <w:tcPr>
            <w:tcW w:w="1415" w:type="pct"/>
          </w:tcPr>
          <w:p w:rsidR="001733F5" w:rsidRPr="00F951EF" w:rsidRDefault="001733F5" w:rsidP="006B0FAE">
            <w:pPr>
              <w:rPr>
                <w:sz w:val="18"/>
                <w:szCs w:val="18"/>
                <w:lang w:val="en-US"/>
              </w:rPr>
            </w:pPr>
            <w:r w:rsidRPr="00F951EF">
              <w:rPr>
                <w:sz w:val="18"/>
                <w:szCs w:val="18"/>
                <w:lang w:val="en-US"/>
              </w:rPr>
              <w:t xml:space="preserve">Bivalves and sediment for PAHs </w:t>
            </w:r>
          </w:p>
          <w:p w:rsidR="001733F5" w:rsidRPr="00F951EF" w:rsidRDefault="001733F5" w:rsidP="006B0FAE">
            <w:pPr>
              <w:rPr>
                <w:rFonts w:cs="Calibri"/>
                <w:b/>
                <w:bCs/>
                <w:sz w:val="18"/>
                <w:szCs w:val="18"/>
                <w:lang w:val="en-US"/>
              </w:rPr>
            </w:pPr>
            <w:r w:rsidRPr="00F951EF">
              <w:rPr>
                <w:sz w:val="18"/>
                <w:szCs w:val="18"/>
                <w:lang w:val="en-US"/>
              </w:rPr>
              <w:t>Fish for PAH metabolites</w:t>
            </w:r>
          </w:p>
        </w:tc>
        <w:tc>
          <w:tcPr>
            <w:tcW w:w="1772" w:type="pct"/>
          </w:tcPr>
          <w:p w:rsidR="001733F5" w:rsidRDefault="001733F5" w:rsidP="006B0FAE">
            <w:pPr>
              <w:rPr>
                <w:sz w:val="18"/>
                <w:szCs w:val="18"/>
                <w:lang w:val="en-US"/>
              </w:rPr>
            </w:pPr>
            <w:r w:rsidRPr="00F951EF">
              <w:rPr>
                <w:sz w:val="18"/>
                <w:szCs w:val="18"/>
                <w:lang w:val="en-US"/>
              </w:rPr>
              <w:t xml:space="preserve">Environmental Assessment Criteria of OSPAR (EAC) or Environmental Quality Standards (EQS) of the EU  </w:t>
            </w:r>
          </w:p>
          <w:p w:rsidR="001733F5" w:rsidRPr="00F951EF" w:rsidRDefault="001733F5" w:rsidP="006B0FAE">
            <w:pPr>
              <w:rPr>
                <w:rFonts w:cs="Calibri"/>
                <w:b/>
                <w:bCs/>
                <w:sz w:val="18"/>
                <w:szCs w:val="18"/>
                <w:lang w:val="en-US"/>
              </w:rPr>
            </w:pPr>
            <w:r w:rsidRPr="00F951EF">
              <w:rPr>
                <w:sz w:val="18"/>
                <w:szCs w:val="18"/>
                <w:lang w:val="en-US"/>
              </w:rPr>
              <w:t xml:space="preserve">Background Assessment Criteria </w:t>
            </w:r>
            <w:r>
              <w:rPr>
                <w:sz w:val="18"/>
                <w:szCs w:val="18"/>
                <w:lang w:val="en-US"/>
              </w:rPr>
              <w:t>for PAHS for which EAC or EQS are not available</w:t>
            </w:r>
          </w:p>
        </w:tc>
        <w:tc>
          <w:tcPr>
            <w:tcW w:w="752" w:type="pct"/>
          </w:tcPr>
          <w:p w:rsidR="001733F5" w:rsidRPr="00F951EF" w:rsidRDefault="001733F5" w:rsidP="006B0FAE">
            <w:pPr>
              <w:rPr>
                <w:rFonts w:cs="Calibri"/>
                <w:b/>
                <w:bCs/>
                <w:sz w:val="18"/>
                <w:szCs w:val="18"/>
                <w:lang w:val="en-US"/>
              </w:rPr>
            </w:pPr>
            <w:r w:rsidRPr="00F951EF">
              <w:rPr>
                <w:i/>
                <w:sz w:val="18"/>
                <w:szCs w:val="18"/>
                <w:lang w:val="en-US"/>
              </w:rPr>
              <w:t>Nyberg, et al, 2013b</w:t>
            </w:r>
          </w:p>
        </w:tc>
      </w:tr>
      <w:tr w:rsidR="001733F5" w:rsidRPr="00F951EF" w:rsidTr="006B0FAE">
        <w:tc>
          <w:tcPr>
            <w:tcW w:w="1061" w:type="pct"/>
          </w:tcPr>
          <w:p w:rsidR="001733F5" w:rsidRPr="00F951EF" w:rsidRDefault="001733F5" w:rsidP="006B0FAE">
            <w:pPr>
              <w:rPr>
                <w:bCs/>
                <w:i/>
                <w:sz w:val="18"/>
                <w:szCs w:val="18"/>
                <w:lang w:val="en-US"/>
              </w:rPr>
            </w:pPr>
            <w:r w:rsidRPr="00F951EF">
              <w:rPr>
                <w:bCs/>
                <w:i/>
                <w:sz w:val="18"/>
                <w:szCs w:val="18"/>
                <w:lang w:val="en-US"/>
              </w:rPr>
              <w:t>Caesium-137 (Radioactive substances</w:t>
            </w:r>
            <w:r w:rsidRPr="00F951EF">
              <w:rPr>
                <w:i/>
                <w:sz w:val="18"/>
                <w:szCs w:val="18"/>
                <w:lang w:val="en-US"/>
              </w:rPr>
              <w:t>)</w:t>
            </w:r>
            <w:r w:rsidRPr="00F951EF">
              <w:rPr>
                <w:bCs/>
                <w:i/>
                <w:sz w:val="18"/>
                <w:szCs w:val="18"/>
                <w:lang w:val="en-US"/>
              </w:rPr>
              <w:t xml:space="preserve"> in fish and surface waters </w:t>
            </w:r>
          </w:p>
          <w:p w:rsidR="001733F5" w:rsidRPr="00F951EF" w:rsidRDefault="001733F5" w:rsidP="006B0FAE">
            <w:pPr>
              <w:rPr>
                <w:rFonts w:cs="Calibri"/>
                <w:bCs/>
                <w:sz w:val="18"/>
                <w:szCs w:val="18"/>
                <w:lang w:val="en-US"/>
              </w:rPr>
            </w:pPr>
          </w:p>
        </w:tc>
        <w:tc>
          <w:tcPr>
            <w:tcW w:w="1415" w:type="pct"/>
          </w:tcPr>
          <w:p w:rsidR="001733F5" w:rsidRPr="00F951EF" w:rsidRDefault="001733F5" w:rsidP="006B0FAE">
            <w:pPr>
              <w:rPr>
                <w:sz w:val="18"/>
                <w:szCs w:val="18"/>
                <w:lang w:val="en-US"/>
              </w:rPr>
            </w:pPr>
            <w:r w:rsidRPr="00F951EF">
              <w:rPr>
                <w:sz w:val="18"/>
                <w:szCs w:val="18"/>
                <w:lang w:val="en-US"/>
              </w:rPr>
              <w:t xml:space="preserve">Herring </w:t>
            </w:r>
          </w:p>
          <w:p w:rsidR="001733F5" w:rsidRPr="00F951EF" w:rsidRDefault="001733F5" w:rsidP="006B0FAE">
            <w:pPr>
              <w:rPr>
                <w:sz w:val="18"/>
                <w:szCs w:val="18"/>
                <w:lang w:val="en-US"/>
              </w:rPr>
            </w:pPr>
            <w:r w:rsidRPr="00F951EF">
              <w:rPr>
                <w:sz w:val="18"/>
                <w:szCs w:val="18"/>
                <w:lang w:val="en-US"/>
              </w:rPr>
              <w:t xml:space="preserve">flounder </w:t>
            </w:r>
          </w:p>
          <w:p w:rsidR="001733F5" w:rsidRPr="00F951EF" w:rsidRDefault="001733F5" w:rsidP="006B0FAE">
            <w:pPr>
              <w:rPr>
                <w:sz w:val="18"/>
                <w:szCs w:val="18"/>
                <w:lang w:val="en-US"/>
              </w:rPr>
            </w:pPr>
            <w:r w:rsidRPr="00F951EF">
              <w:rPr>
                <w:sz w:val="18"/>
                <w:szCs w:val="18"/>
                <w:lang w:val="en-US"/>
              </w:rPr>
              <w:t xml:space="preserve">plaice </w:t>
            </w:r>
          </w:p>
          <w:p w:rsidR="001733F5" w:rsidRPr="00F951EF" w:rsidRDefault="001733F5" w:rsidP="006B0FAE">
            <w:pPr>
              <w:rPr>
                <w:rFonts w:cs="Calibri"/>
                <w:b/>
                <w:bCs/>
                <w:sz w:val="18"/>
                <w:szCs w:val="18"/>
                <w:lang w:val="en-US"/>
              </w:rPr>
            </w:pPr>
            <w:r w:rsidRPr="00F951EF">
              <w:rPr>
                <w:sz w:val="18"/>
                <w:szCs w:val="18"/>
                <w:lang w:val="en-US"/>
              </w:rPr>
              <w:t>surface seawater (samples 0–10 m).</w:t>
            </w:r>
          </w:p>
        </w:tc>
        <w:tc>
          <w:tcPr>
            <w:tcW w:w="1772" w:type="pct"/>
          </w:tcPr>
          <w:p w:rsidR="001733F5" w:rsidRPr="00F951EF" w:rsidRDefault="001733F5" w:rsidP="006B0FAE">
            <w:pPr>
              <w:rPr>
                <w:sz w:val="18"/>
                <w:szCs w:val="18"/>
                <w:lang w:val="en-US"/>
              </w:rPr>
            </w:pPr>
            <w:r w:rsidRPr="00F951EF">
              <w:rPr>
                <w:sz w:val="18"/>
                <w:szCs w:val="18"/>
                <w:lang w:val="en-US"/>
              </w:rPr>
              <w:t xml:space="preserve">Average concentrations of </w:t>
            </w:r>
            <w:r w:rsidRPr="00F951EF">
              <w:rPr>
                <w:sz w:val="18"/>
                <w:szCs w:val="18"/>
                <w:vertAlign w:val="superscript"/>
                <w:lang w:val="en-US"/>
              </w:rPr>
              <w:t>137</w:t>
            </w:r>
            <w:r w:rsidRPr="00F951EF">
              <w:rPr>
                <w:sz w:val="18"/>
                <w:szCs w:val="18"/>
                <w:lang w:val="en-US"/>
              </w:rPr>
              <w:t xml:space="preserve">Cs </w:t>
            </w:r>
            <w:r>
              <w:rPr>
                <w:sz w:val="18"/>
                <w:szCs w:val="18"/>
                <w:lang w:val="en-US"/>
              </w:rPr>
              <w:t>prior</w:t>
            </w:r>
            <w:r w:rsidRPr="00F951EF">
              <w:rPr>
                <w:sz w:val="18"/>
                <w:szCs w:val="18"/>
                <w:lang w:val="en-US"/>
              </w:rPr>
              <w:t xml:space="preserve"> the Chernobyl accident have been used as target values. These are for herring (2.5 Bq/kg), flounder and plaice (2.9 Bq/kg) and seawater (15 Bq/kg).</w:t>
            </w:r>
          </w:p>
          <w:p w:rsidR="001733F5" w:rsidRPr="00F951EF" w:rsidRDefault="001733F5" w:rsidP="006B0FAE">
            <w:pPr>
              <w:rPr>
                <w:rFonts w:cs="Calibri"/>
                <w:b/>
                <w:bCs/>
                <w:sz w:val="18"/>
                <w:szCs w:val="18"/>
                <w:lang w:val="en-US"/>
              </w:rPr>
            </w:pPr>
          </w:p>
        </w:tc>
        <w:tc>
          <w:tcPr>
            <w:tcW w:w="752" w:type="pct"/>
          </w:tcPr>
          <w:p w:rsidR="001733F5" w:rsidRPr="00F951EF" w:rsidRDefault="001733F5" w:rsidP="006B0FAE">
            <w:pPr>
              <w:rPr>
                <w:rFonts w:cs="Calibri"/>
                <w:b/>
                <w:bCs/>
                <w:sz w:val="18"/>
                <w:szCs w:val="18"/>
                <w:lang w:val="en-US"/>
              </w:rPr>
            </w:pPr>
            <w:r w:rsidRPr="00F951EF">
              <w:rPr>
                <w:bCs/>
                <w:i/>
                <w:sz w:val="18"/>
                <w:szCs w:val="18"/>
                <w:lang w:val="en-US"/>
              </w:rPr>
              <w:t>Herrmann et al., 2013</w:t>
            </w:r>
          </w:p>
        </w:tc>
      </w:tr>
      <w:tr w:rsidR="001733F5" w:rsidRPr="00F951EF" w:rsidTr="006B0FAE">
        <w:tc>
          <w:tcPr>
            <w:tcW w:w="1061" w:type="pct"/>
          </w:tcPr>
          <w:p w:rsidR="001733F5" w:rsidRPr="00F951EF" w:rsidRDefault="001733F5" w:rsidP="006B0FAE">
            <w:pPr>
              <w:rPr>
                <w:i/>
                <w:sz w:val="18"/>
                <w:szCs w:val="18"/>
                <w:lang w:val="en-US"/>
              </w:rPr>
            </w:pPr>
            <w:r w:rsidRPr="00F951EF">
              <w:rPr>
                <w:i/>
                <w:sz w:val="18"/>
                <w:szCs w:val="18"/>
                <w:lang w:val="en-US"/>
              </w:rPr>
              <w:t xml:space="preserve">Tributyltin (TBT) and imposex </w:t>
            </w:r>
          </w:p>
          <w:p w:rsidR="001733F5" w:rsidRPr="00F951EF" w:rsidRDefault="001733F5" w:rsidP="006B0FAE">
            <w:pPr>
              <w:rPr>
                <w:rFonts w:cs="Calibri"/>
                <w:bCs/>
                <w:sz w:val="18"/>
                <w:szCs w:val="18"/>
                <w:lang w:val="en-US"/>
              </w:rPr>
            </w:pPr>
          </w:p>
        </w:tc>
        <w:tc>
          <w:tcPr>
            <w:tcW w:w="1415" w:type="pct"/>
          </w:tcPr>
          <w:p w:rsidR="001733F5" w:rsidRPr="00F951EF" w:rsidRDefault="001733F5" w:rsidP="006B0FAE">
            <w:pPr>
              <w:rPr>
                <w:sz w:val="18"/>
                <w:szCs w:val="18"/>
                <w:lang w:val="en-US"/>
              </w:rPr>
            </w:pPr>
            <w:r w:rsidRPr="00F951EF">
              <w:rPr>
                <w:sz w:val="18"/>
                <w:szCs w:val="18"/>
                <w:lang w:val="en-US"/>
              </w:rPr>
              <w:t xml:space="preserve">Biota (mussels or gastropoda snails). Fish (liver) can be used as alternative if molluscs are not present, </w:t>
            </w:r>
          </w:p>
          <w:p w:rsidR="001733F5" w:rsidRPr="00F951EF" w:rsidRDefault="001733F5" w:rsidP="006B0FAE">
            <w:pPr>
              <w:rPr>
                <w:sz w:val="18"/>
                <w:szCs w:val="18"/>
                <w:lang w:val="en-US"/>
              </w:rPr>
            </w:pPr>
            <w:r w:rsidRPr="00F951EF">
              <w:rPr>
                <w:sz w:val="18"/>
                <w:szCs w:val="18"/>
                <w:lang w:val="en-US"/>
              </w:rPr>
              <w:t>Sediments – Secondary approach</w:t>
            </w:r>
          </w:p>
          <w:p w:rsidR="001733F5" w:rsidRPr="00F951EF" w:rsidRDefault="001733F5" w:rsidP="006B0FAE">
            <w:pPr>
              <w:rPr>
                <w:rFonts w:cs="Calibri"/>
                <w:b/>
                <w:bCs/>
                <w:sz w:val="18"/>
                <w:szCs w:val="18"/>
                <w:lang w:val="en-US"/>
              </w:rPr>
            </w:pPr>
            <w:r w:rsidRPr="00F951EF">
              <w:rPr>
                <w:sz w:val="18"/>
                <w:szCs w:val="18"/>
                <w:lang w:val="en-US"/>
              </w:rPr>
              <w:t xml:space="preserve"> Water – Optional </w:t>
            </w:r>
          </w:p>
        </w:tc>
        <w:tc>
          <w:tcPr>
            <w:tcW w:w="1772" w:type="pct"/>
          </w:tcPr>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The GES boundary follows the OSPAR Environmental Assessment Criteria (EAC) and the Environmnetal Quality Standards (EQS) of the EU.</w:t>
            </w:r>
          </w:p>
          <w:p w:rsidR="001733F5" w:rsidRPr="00F951EF" w:rsidRDefault="001733F5" w:rsidP="006B0FAE">
            <w:pPr>
              <w:widowControl w:val="0"/>
              <w:autoSpaceDE w:val="0"/>
              <w:autoSpaceDN w:val="0"/>
              <w:adjustRightInd w:val="0"/>
              <w:rPr>
                <w:bCs/>
                <w:sz w:val="18"/>
                <w:szCs w:val="18"/>
                <w:lang w:val="en-US"/>
              </w:rPr>
            </w:pPr>
            <w:r w:rsidRPr="00F951EF">
              <w:rPr>
                <w:bCs/>
                <w:sz w:val="18"/>
                <w:szCs w:val="18"/>
                <w:lang w:val="en-US"/>
              </w:rPr>
              <w:t>Biological effects assessment classes for ECOQO on imposex/intersex are established for six gastropod species.</w:t>
            </w:r>
          </w:p>
          <w:p w:rsidR="001733F5" w:rsidRPr="00F951EF" w:rsidRDefault="001733F5" w:rsidP="006B0FAE">
            <w:pPr>
              <w:rPr>
                <w:rFonts w:cs="Calibri"/>
                <w:b/>
                <w:bCs/>
                <w:sz w:val="18"/>
                <w:szCs w:val="18"/>
                <w:lang w:val="en-US"/>
              </w:rPr>
            </w:pPr>
          </w:p>
        </w:tc>
        <w:tc>
          <w:tcPr>
            <w:tcW w:w="752" w:type="pct"/>
          </w:tcPr>
          <w:p w:rsidR="001733F5" w:rsidRPr="00F951EF" w:rsidRDefault="001733F5" w:rsidP="006B0FAE">
            <w:pPr>
              <w:rPr>
                <w:rFonts w:cs="Calibri"/>
                <w:b/>
                <w:bCs/>
                <w:sz w:val="18"/>
                <w:szCs w:val="18"/>
                <w:lang w:val="en-US"/>
              </w:rPr>
            </w:pPr>
            <w:r w:rsidRPr="00F951EF">
              <w:rPr>
                <w:i/>
                <w:sz w:val="18"/>
                <w:szCs w:val="18"/>
                <w:lang w:val="en-US"/>
              </w:rPr>
              <w:t>Nyberg et al., 2013c</w:t>
            </w:r>
          </w:p>
        </w:tc>
      </w:tr>
      <w:tr w:rsidR="001733F5" w:rsidRPr="00F951EF" w:rsidTr="006B0FAE">
        <w:tc>
          <w:tcPr>
            <w:tcW w:w="1061" w:type="pct"/>
          </w:tcPr>
          <w:p w:rsidR="001733F5" w:rsidRPr="00F951EF" w:rsidRDefault="001733F5" w:rsidP="006B0FAE">
            <w:pPr>
              <w:rPr>
                <w:i/>
                <w:sz w:val="18"/>
                <w:szCs w:val="18"/>
                <w:lang w:val="da-DK"/>
              </w:rPr>
            </w:pPr>
            <w:r w:rsidRPr="00F951EF">
              <w:rPr>
                <w:i/>
                <w:sz w:val="18"/>
                <w:szCs w:val="18"/>
                <w:lang w:val="da-DK"/>
              </w:rPr>
              <w:t xml:space="preserve">Hexabromocyclododecane (HBCD) </w:t>
            </w:r>
          </w:p>
          <w:p w:rsidR="001733F5" w:rsidRPr="00F951EF" w:rsidRDefault="001733F5" w:rsidP="006B0FAE">
            <w:pPr>
              <w:rPr>
                <w:rFonts w:cs="Calibri"/>
                <w:bCs/>
                <w:sz w:val="18"/>
                <w:szCs w:val="18"/>
                <w:lang w:val="da-DK"/>
              </w:rPr>
            </w:pPr>
          </w:p>
        </w:tc>
        <w:tc>
          <w:tcPr>
            <w:tcW w:w="1415" w:type="pct"/>
          </w:tcPr>
          <w:p w:rsidR="001733F5" w:rsidRPr="00F951EF" w:rsidRDefault="001733F5" w:rsidP="006B0FAE">
            <w:pPr>
              <w:rPr>
                <w:sz w:val="18"/>
                <w:szCs w:val="18"/>
                <w:lang w:val="en-US"/>
              </w:rPr>
            </w:pPr>
            <w:r w:rsidRPr="00F951EF">
              <w:rPr>
                <w:sz w:val="18"/>
                <w:szCs w:val="18"/>
                <w:lang w:val="en-US"/>
              </w:rPr>
              <w:t xml:space="preserve">Biota </w:t>
            </w:r>
          </w:p>
          <w:p w:rsidR="001733F5" w:rsidRPr="00F951EF" w:rsidRDefault="001733F5" w:rsidP="006B0FAE">
            <w:pPr>
              <w:rPr>
                <w:sz w:val="18"/>
                <w:szCs w:val="18"/>
                <w:lang w:val="en-US"/>
              </w:rPr>
            </w:pPr>
            <w:r w:rsidRPr="00F951EF">
              <w:rPr>
                <w:sz w:val="18"/>
                <w:szCs w:val="18"/>
                <w:lang w:val="en-US"/>
              </w:rPr>
              <w:t>Sediment</w:t>
            </w:r>
          </w:p>
          <w:p w:rsidR="001733F5" w:rsidRPr="00F951EF" w:rsidRDefault="001733F5" w:rsidP="006B0FAE">
            <w:pPr>
              <w:rPr>
                <w:rFonts w:cs="Calibri"/>
                <w:b/>
                <w:bCs/>
                <w:sz w:val="18"/>
                <w:szCs w:val="18"/>
                <w:lang w:val="en-US"/>
              </w:rPr>
            </w:pPr>
          </w:p>
        </w:tc>
        <w:tc>
          <w:tcPr>
            <w:tcW w:w="1772" w:type="pct"/>
          </w:tcPr>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The GES boundary is the Environmental Quality Standard (EQS) of EU.</w:t>
            </w:r>
            <w:r w:rsidR="0089205E">
              <w:rPr>
                <w:sz w:val="18"/>
                <w:szCs w:val="18"/>
                <w:lang w:val="en-US"/>
              </w:rPr>
              <w:t xml:space="preserve"> </w:t>
            </w:r>
            <w:r w:rsidRPr="00F951EF">
              <w:rPr>
                <w:sz w:val="18"/>
                <w:szCs w:val="18"/>
                <w:lang w:val="en-US"/>
              </w:rPr>
              <w:t xml:space="preserve">The EQS is 167 μg kg-1 fish ww. An alternative approach is to use the Quality Standard for sediment (170 μg kg-1 dw) (WFD WG E Dossier 19.1.2012). </w:t>
            </w:r>
          </w:p>
          <w:p w:rsidR="001733F5" w:rsidRPr="00F951EF" w:rsidRDefault="001733F5" w:rsidP="006B0FAE">
            <w:pPr>
              <w:widowControl w:val="0"/>
              <w:autoSpaceDE w:val="0"/>
              <w:autoSpaceDN w:val="0"/>
              <w:adjustRightInd w:val="0"/>
              <w:rPr>
                <w:rFonts w:cs="Calibri"/>
                <w:b/>
                <w:bCs/>
                <w:sz w:val="18"/>
                <w:szCs w:val="18"/>
                <w:lang w:val="en-US"/>
              </w:rPr>
            </w:pPr>
          </w:p>
        </w:tc>
        <w:tc>
          <w:tcPr>
            <w:tcW w:w="752" w:type="pct"/>
          </w:tcPr>
          <w:p w:rsidR="001733F5" w:rsidRPr="00F951EF" w:rsidRDefault="001733F5" w:rsidP="006B0FAE">
            <w:pPr>
              <w:rPr>
                <w:rFonts w:cs="Calibri"/>
                <w:b/>
                <w:bCs/>
                <w:sz w:val="18"/>
                <w:szCs w:val="18"/>
                <w:lang w:val="en-US"/>
              </w:rPr>
            </w:pPr>
            <w:r w:rsidRPr="00F951EF">
              <w:rPr>
                <w:i/>
                <w:sz w:val="18"/>
                <w:szCs w:val="18"/>
                <w:lang w:val="da-DK"/>
              </w:rPr>
              <w:t>Nyberg et al., 2013d</w:t>
            </w:r>
          </w:p>
        </w:tc>
      </w:tr>
      <w:tr w:rsidR="001733F5" w:rsidRPr="00F951EF" w:rsidTr="006B0FAE">
        <w:tc>
          <w:tcPr>
            <w:tcW w:w="1061" w:type="pct"/>
          </w:tcPr>
          <w:p w:rsidR="001733F5" w:rsidRPr="00F951EF" w:rsidRDefault="001733F5" w:rsidP="006B0FAE">
            <w:pPr>
              <w:rPr>
                <w:rFonts w:cs="Calibri"/>
                <w:bCs/>
                <w:sz w:val="18"/>
                <w:szCs w:val="18"/>
                <w:lang w:val="en-US"/>
              </w:rPr>
            </w:pPr>
            <w:r w:rsidRPr="00F951EF">
              <w:rPr>
                <w:i/>
                <w:sz w:val="18"/>
                <w:szCs w:val="18"/>
                <w:lang w:val="fr-FR"/>
              </w:rPr>
              <w:t>Perfluorooctane sulphonate (PFOS)</w:t>
            </w:r>
          </w:p>
        </w:tc>
        <w:tc>
          <w:tcPr>
            <w:tcW w:w="1415" w:type="pct"/>
          </w:tcPr>
          <w:p w:rsidR="001733F5" w:rsidRPr="00F951EF" w:rsidRDefault="001733F5" w:rsidP="006B0FAE">
            <w:pPr>
              <w:rPr>
                <w:sz w:val="18"/>
                <w:szCs w:val="18"/>
                <w:lang w:val="en-US"/>
              </w:rPr>
            </w:pPr>
            <w:r w:rsidRPr="00F951EF">
              <w:rPr>
                <w:sz w:val="18"/>
                <w:szCs w:val="18"/>
              </w:rPr>
              <w:t xml:space="preserve">Fish </w:t>
            </w:r>
          </w:p>
          <w:p w:rsidR="001733F5" w:rsidRPr="00F951EF" w:rsidRDefault="001733F5" w:rsidP="006B0FAE">
            <w:pPr>
              <w:rPr>
                <w:rFonts w:cs="Calibri"/>
                <w:b/>
                <w:bCs/>
                <w:sz w:val="18"/>
                <w:szCs w:val="18"/>
                <w:lang w:val="en-US"/>
              </w:rPr>
            </w:pPr>
            <w:r w:rsidRPr="00F951EF">
              <w:rPr>
                <w:sz w:val="18"/>
                <w:szCs w:val="18"/>
                <w:lang w:val="en-US"/>
              </w:rPr>
              <w:t>S</w:t>
            </w:r>
            <w:r w:rsidRPr="00F951EF">
              <w:rPr>
                <w:sz w:val="18"/>
                <w:szCs w:val="18"/>
              </w:rPr>
              <w:t>ediment</w:t>
            </w:r>
          </w:p>
        </w:tc>
        <w:tc>
          <w:tcPr>
            <w:tcW w:w="1772" w:type="pct"/>
          </w:tcPr>
          <w:p w:rsidR="001733F5" w:rsidRPr="00F951EF" w:rsidRDefault="001733F5" w:rsidP="0089205E">
            <w:pPr>
              <w:rPr>
                <w:rFonts w:cstheme="minorBidi"/>
                <w:sz w:val="18"/>
                <w:szCs w:val="18"/>
                <w:lang w:val="en-US"/>
              </w:rPr>
            </w:pPr>
            <w:r w:rsidRPr="00F951EF">
              <w:rPr>
                <w:sz w:val="18"/>
                <w:szCs w:val="18"/>
                <w:lang w:val="en-US"/>
              </w:rPr>
              <w:t xml:space="preserve">The GES boundary is the Environmental Quality Standard (EQS), </w:t>
            </w:r>
            <w:r w:rsidR="0089205E" w:rsidRPr="00F951EF">
              <w:rPr>
                <w:sz w:val="18"/>
                <w:szCs w:val="18"/>
                <w:lang w:val="en-US"/>
              </w:rPr>
              <w:t>of EU</w:t>
            </w:r>
            <w:r w:rsidR="0089205E">
              <w:rPr>
                <w:sz w:val="18"/>
                <w:szCs w:val="18"/>
                <w:lang w:val="en-US"/>
              </w:rPr>
              <w:t xml:space="preserve">, </w:t>
            </w:r>
            <w:r w:rsidRPr="00F951EF">
              <w:rPr>
                <w:sz w:val="18"/>
                <w:szCs w:val="18"/>
                <w:lang w:val="en-US"/>
              </w:rPr>
              <w:t xml:space="preserve">The EQS is 9.1 μg kg-1 fish ww. An alternative approach is to use the </w:t>
            </w:r>
            <w:r w:rsidR="0089205E">
              <w:rPr>
                <w:sz w:val="18"/>
                <w:szCs w:val="18"/>
                <w:lang w:val="en-US"/>
              </w:rPr>
              <w:t xml:space="preserve">EU </w:t>
            </w:r>
            <w:r w:rsidRPr="00F951EF">
              <w:rPr>
                <w:sz w:val="18"/>
                <w:szCs w:val="18"/>
                <w:lang w:val="en-US"/>
              </w:rPr>
              <w:t>Quality St</w:t>
            </w:r>
            <w:r w:rsidR="0089205E">
              <w:rPr>
                <w:sz w:val="18"/>
                <w:szCs w:val="18"/>
                <w:lang w:val="en-US"/>
              </w:rPr>
              <w:t>andard for water (0.23 μg l-1) T</w:t>
            </w:r>
            <w:r w:rsidRPr="00F951EF">
              <w:rPr>
                <w:sz w:val="18"/>
                <w:szCs w:val="18"/>
                <w:lang w:val="en-US"/>
              </w:rPr>
              <w:t>here is no QS for benthic organisms (sediment).</w:t>
            </w:r>
          </w:p>
        </w:tc>
        <w:tc>
          <w:tcPr>
            <w:tcW w:w="752" w:type="pct"/>
          </w:tcPr>
          <w:p w:rsidR="001733F5" w:rsidRPr="00F951EF" w:rsidRDefault="001733F5" w:rsidP="006B0FAE">
            <w:pPr>
              <w:rPr>
                <w:rFonts w:cs="Calibri"/>
                <w:b/>
                <w:bCs/>
                <w:sz w:val="18"/>
                <w:szCs w:val="18"/>
                <w:lang w:val="en-US"/>
              </w:rPr>
            </w:pPr>
            <w:r w:rsidRPr="00F951EF">
              <w:rPr>
                <w:i/>
                <w:sz w:val="18"/>
                <w:szCs w:val="18"/>
                <w:lang w:val="fr-FR"/>
              </w:rPr>
              <w:t>Nyberg et al., 2013e</w:t>
            </w:r>
          </w:p>
        </w:tc>
      </w:tr>
      <w:tr w:rsidR="001733F5" w:rsidRPr="00F951EF" w:rsidTr="006B0FAE">
        <w:tc>
          <w:tcPr>
            <w:tcW w:w="1061" w:type="pct"/>
          </w:tcPr>
          <w:p w:rsidR="001733F5" w:rsidRPr="00F951EF" w:rsidRDefault="001733F5" w:rsidP="006B0FAE">
            <w:pPr>
              <w:rPr>
                <w:i/>
                <w:sz w:val="18"/>
                <w:szCs w:val="18"/>
                <w:lang w:val="en-US"/>
              </w:rPr>
            </w:pPr>
            <w:r w:rsidRPr="00F951EF">
              <w:rPr>
                <w:i/>
                <w:sz w:val="18"/>
                <w:szCs w:val="18"/>
                <w:lang w:val="en-US"/>
              </w:rPr>
              <w:lastRenderedPageBreak/>
              <w:t xml:space="preserve">PolybrominatedDiphenyl Ethers (PBDE) </w:t>
            </w:r>
          </w:p>
          <w:p w:rsidR="001733F5" w:rsidRPr="00F951EF" w:rsidRDefault="001733F5" w:rsidP="006B0FAE">
            <w:pPr>
              <w:rPr>
                <w:rFonts w:cs="Calibri"/>
                <w:bCs/>
                <w:sz w:val="18"/>
                <w:szCs w:val="18"/>
                <w:lang w:val="en-US"/>
              </w:rPr>
            </w:pPr>
          </w:p>
        </w:tc>
        <w:tc>
          <w:tcPr>
            <w:tcW w:w="1415" w:type="pct"/>
          </w:tcPr>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Biota e.g. fish and mussels (primary matrix)</w:t>
            </w:r>
          </w:p>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 xml:space="preserve"> Sediment (secondary matrix.)</w:t>
            </w:r>
          </w:p>
          <w:p w:rsidR="001733F5" w:rsidRPr="00F951EF" w:rsidRDefault="001733F5" w:rsidP="006B0FAE">
            <w:pPr>
              <w:rPr>
                <w:rFonts w:cs="Calibri"/>
                <w:b/>
                <w:bCs/>
                <w:sz w:val="18"/>
                <w:szCs w:val="18"/>
                <w:lang w:val="en-US"/>
              </w:rPr>
            </w:pPr>
          </w:p>
        </w:tc>
        <w:tc>
          <w:tcPr>
            <w:tcW w:w="1772" w:type="pct"/>
          </w:tcPr>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 xml:space="preserve">GES boundary is the </w:t>
            </w:r>
            <w:r w:rsidR="0089205E">
              <w:rPr>
                <w:sz w:val="18"/>
                <w:szCs w:val="18"/>
                <w:lang w:val="en-US"/>
              </w:rPr>
              <w:t xml:space="preserve">EU </w:t>
            </w:r>
            <w:r w:rsidRPr="00F951EF">
              <w:rPr>
                <w:sz w:val="18"/>
                <w:szCs w:val="18"/>
                <w:lang w:val="en-US"/>
              </w:rPr>
              <w:t xml:space="preserve">Environmental Quality Standard for the sum of polybrominateddiphenyl ethers (congeners 28, 47, 99, 100, 153 and 154): 0.0085 μg kg-1 ww fish. </w:t>
            </w:r>
          </w:p>
          <w:p w:rsidR="001733F5" w:rsidRPr="00F951EF" w:rsidRDefault="001733F5" w:rsidP="006B0FAE">
            <w:pPr>
              <w:widowControl w:val="0"/>
              <w:autoSpaceDE w:val="0"/>
              <w:autoSpaceDN w:val="0"/>
              <w:adjustRightInd w:val="0"/>
              <w:rPr>
                <w:rFonts w:cstheme="minorBidi"/>
                <w:sz w:val="18"/>
                <w:szCs w:val="18"/>
                <w:lang w:val="en-US"/>
              </w:rPr>
            </w:pPr>
            <w:r w:rsidRPr="00F951EF">
              <w:rPr>
                <w:sz w:val="18"/>
                <w:szCs w:val="18"/>
                <w:lang w:val="en-US"/>
              </w:rPr>
              <w:t xml:space="preserve">The GES boundary for sediment (a secondary approach) is proposed to be 4.5 μg kg-1 dw.. </w:t>
            </w:r>
          </w:p>
        </w:tc>
        <w:tc>
          <w:tcPr>
            <w:tcW w:w="752" w:type="pct"/>
          </w:tcPr>
          <w:p w:rsidR="001733F5" w:rsidRPr="00F951EF" w:rsidRDefault="001733F5" w:rsidP="006B0FAE">
            <w:pPr>
              <w:rPr>
                <w:rFonts w:cs="Calibri"/>
                <w:b/>
                <w:bCs/>
                <w:sz w:val="18"/>
                <w:szCs w:val="18"/>
                <w:lang w:val="en-US"/>
              </w:rPr>
            </w:pPr>
            <w:r w:rsidRPr="00F951EF">
              <w:rPr>
                <w:i/>
                <w:sz w:val="18"/>
                <w:szCs w:val="18"/>
                <w:lang w:val="en-US"/>
              </w:rPr>
              <w:t>Nyberg et al., 2013f</w:t>
            </w:r>
          </w:p>
        </w:tc>
      </w:tr>
      <w:tr w:rsidR="001733F5" w:rsidRPr="00F951EF" w:rsidTr="006B0FAE">
        <w:tc>
          <w:tcPr>
            <w:tcW w:w="1061" w:type="pct"/>
          </w:tcPr>
          <w:p w:rsidR="001733F5" w:rsidRPr="00F951EF" w:rsidRDefault="001733F5" w:rsidP="006B0FAE">
            <w:pPr>
              <w:rPr>
                <w:sz w:val="18"/>
                <w:szCs w:val="18"/>
                <w:lang w:val="en-US"/>
              </w:rPr>
            </w:pPr>
            <w:r w:rsidRPr="00F951EF">
              <w:rPr>
                <w:sz w:val="18"/>
                <w:szCs w:val="18"/>
                <w:lang w:val="en-US"/>
              </w:rPr>
              <w:t xml:space="preserve">Polychlorinated biphenyls (PCB) and dioxins and furans </w:t>
            </w:r>
          </w:p>
          <w:p w:rsidR="001733F5" w:rsidRPr="00F951EF" w:rsidRDefault="001733F5" w:rsidP="006B0FAE">
            <w:pPr>
              <w:rPr>
                <w:i/>
                <w:sz w:val="18"/>
                <w:szCs w:val="18"/>
                <w:lang w:val="en-US"/>
              </w:rPr>
            </w:pPr>
          </w:p>
        </w:tc>
        <w:tc>
          <w:tcPr>
            <w:tcW w:w="1415" w:type="pct"/>
          </w:tcPr>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 xml:space="preserve">Sediments </w:t>
            </w:r>
          </w:p>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Biota</w:t>
            </w:r>
          </w:p>
        </w:tc>
        <w:tc>
          <w:tcPr>
            <w:tcW w:w="1772" w:type="pct"/>
          </w:tcPr>
          <w:p w:rsidR="001733F5" w:rsidRPr="00F951EF" w:rsidRDefault="001733F5" w:rsidP="006B0FAE">
            <w:pPr>
              <w:widowControl w:val="0"/>
              <w:autoSpaceDE w:val="0"/>
              <w:autoSpaceDN w:val="0"/>
              <w:adjustRightInd w:val="0"/>
              <w:rPr>
                <w:sz w:val="18"/>
                <w:szCs w:val="18"/>
                <w:lang w:val="en-US"/>
              </w:rPr>
            </w:pPr>
            <w:r w:rsidRPr="00F951EF">
              <w:rPr>
                <w:sz w:val="18"/>
                <w:szCs w:val="18"/>
                <w:lang w:val="en-US"/>
              </w:rPr>
              <w:t xml:space="preserve">The seven PCBs should be monitored but the core indicator assesses primarily two congeners only: CB-118 (dioxin like) and CB-153 (non-dioxin like). Tentatively the OSPAR EACs for these two congeners are suggested to be used. For dioxins, the GES boundary of 4.0 ng kg-1 ww WHO-TEQ for dioxins and 8.0 ng kg-1 ww WHO-TEQ for dioxins and dl-PCBs. </w:t>
            </w:r>
          </w:p>
        </w:tc>
        <w:tc>
          <w:tcPr>
            <w:tcW w:w="752" w:type="pct"/>
          </w:tcPr>
          <w:p w:rsidR="001733F5" w:rsidRPr="00F951EF" w:rsidRDefault="001733F5" w:rsidP="006B0FAE">
            <w:pPr>
              <w:rPr>
                <w:i/>
                <w:sz w:val="18"/>
                <w:szCs w:val="18"/>
                <w:lang w:val="en-US"/>
              </w:rPr>
            </w:pPr>
            <w:r w:rsidRPr="00F951EF">
              <w:rPr>
                <w:sz w:val="18"/>
                <w:szCs w:val="18"/>
                <w:lang w:val="en-US"/>
              </w:rPr>
              <w:t>Boalt et al., 2013</w:t>
            </w:r>
          </w:p>
        </w:tc>
      </w:tr>
    </w:tbl>
    <w:p w:rsidR="001733F5" w:rsidRPr="001733F5" w:rsidRDefault="001733F5" w:rsidP="00987279">
      <w:pPr>
        <w:spacing w:line="240" w:lineRule="auto"/>
        <w:rPr>
          <w:i/>
          <w:sz w:val="17"/>
          <w:szCs w:val="17"/>
          <w:lang w:val="en-US"/>
        </w:rPr>
      </w:pPr>
    </w:p>
    <w:p w:rsidR="001733F5" w:rsidRDefault="001733F5" w:rsidP="00987279">
      <w:pPr>
        <w:spacing w:line="240" w:lineRule="auto"/>
        <w:rPr>
          <w:sz w:val="17"/>
          <w:szCs w:val="17"/>
          <w:lang w:val="en-US"/>
        </w:rPr>
      </w:pPr>
    </w:p>
    <w:p w:rsidR="001733F5" w:rsidRPr="001733F5" w:rsidRDefault="001733F5" w:rsidP="00987279">
      <w:pPr>
        <w:spacing w:line="240" w:lineRule="auto"/>
        <w:rPr>
          <w:sz w:val="17"/>
          <w:szCs w:val="17"/>
          <w:lang w:val="en-US"/>
        </w:rPr>
      </w:pPr>
    </w:p>
    <w:p w:rsidR="0026180A" w:rsidRPr="00F2534A" w:rsidRDefault="0026180A" w:rsidP="00987279">
      <w:pPr>
        <w:spacing w:line="240" w:lineRule="auto"/>
        <w:rPr>
          <w:szCs w:val="21"/>
          <w:u w:val="single"/>
          <w:lang w:val="en-US"/>
        </w:rPr>
      </w:pPr>
      <w:r w:rsidRPr="00F2534A">
        <w:rPr>
          <w:szCs w:val="21"/>
          <w:u w:val="single"/>
          <w:lang w:val="en-US"/>
        </w:rPr>
        <w:t>The HELCOM Hazardous Substances Status Assessment Tool (CHASE)</w:t>
      </w:r>
    </w:p>
    <w:p w:rsidR="0026180A" w:rsidRPr="00F2534A" w:rsidRDefault="0026180A" w:rsidP="00987279">
      <w:pPr>
        <w:spacing w:line="240" w:lineRule="auto"/>
        <w:rPr>
          <w:szCs w:val="21"/>
          <w:lang w:val="en-US"/>
        </w:rPr>
      </w:pPr>
      <w:r w:rsidRPr="00F2534A">
        <w:rPr>
          <w:szCs w:val="21"/>
          <w:lang w:val="en-US"/>
        </w:rPr>
        <w:t>The HELCOM Hazardous Substances Status Assessment Tool (CHASE) is a multimetric indicator-based tool developed for the HELCOM integrated thematic assessment of hazardous substances in the Baltic Sea (HELCOM, 2010c).</w:t>
      </w:r>
    </w:p>
    <w:p w:rsidR="0026180A" w:rsidRDefault="0026180A" w:rsidP="00987279">
      <w:pPr>
        <w:spacing w:line="240" w:lineRule="auto"/>
        <w:rPr>
          <w:szCs w:val="21"/>
          <w:lang w:val="en-US"/>
        </w:rPr>
      </w:pPr>
      <w:r w:rsidRPr="00F2534A">
        <w:rPr>
          <w:szCs w:val="21"/>
          <w:lang w:val="en-US"/>
        </w:rPr>
        <w:t>The quantification of the “hazardous substances status” is based on a Contamination Ratio (CR), which is the ratio of the current status (measurement of the concentration of a substance or biological effect) and a threshold level or quality criterion, which is used as an approximation for an environmental target for that particular substance or biological effect. For each of the four HELCOM ecological objectives dealing with hazardous substances, the CRs of all substances or indicators are integrated to yield a status classification (“high”, “good”, “moderate”, “poor” or “bad”) of that particular ecological objective. CR values are summed within an element and then divided by the square root of the number of indicators. As a result, the status is not totally dependent on the number of indicators in the element, it does not give much weight to several low-CR indicators and it does not “mask” individual indicators with high CR values. The primary classification is based on the threshold level, which defines a moderate or good status for each element. This boundary is ecotoxicologically justifiable (if the threshold is based on ecotoxicology). The further classification is not intended to be understood strictly as an ecotoxicological status of the environment, but rather as a deviation from the boundary condition. Moderate status is defined as a CR sum value &gt;1.0. Poor status is assigned for a CR sum value &gt;5.0 and bad status is reached at a value of 10.0. At the opposite end, a high status is a CR sum value &lt;0.5.</w:t>
      </w:r>
    </w:p>
    <w:p w:rsidR="0026180A" w:rsidRPr="00F2534A" w:rsidRDefault="0026180A" w:rsidP="00987279">
      <w:pPr>
        <w:spacing w:line="240" w:lineRule="auto"/>
        <w:rPr>
          <w:szCs w:val="21"/>
          <w:lang w:val="en-US"/>
        </w:rPr>
      </w:pPr>
    </w:p>
    <w:p w:rsidR="0026180A" w:rsidRPr="00F2534A" w:rsidRDefault="0026180A" w:rsidP="00987279">
      <w:pPr>
        <w:spacing w:line="240" w:lineRule="auto"/>
        <w:rPr>
          <w:szCs w:val="21"/>
          <w:lang w:val="en-US"/>
        </w:rPr>
      </w:pPr>
      <w:r w:rsidRPr="00F2534A">
        <w:rPr>
          <w:szCs w:val="21"/>
          <w:lang w:val="en-US"/>
        </w:rPr>
        <w:t xml:space="preserve">Subsequently, the CHASE tool makes use of a ‘one out, all out’ principle among the four ecological objectives. The ecological objective receiving the lowest status classification serves as the overall classification of the assessed site or area, giving the classification of the “hazardous substances status” of that site or area according to one of five classes. “High” and “good” classes indicate that areas are not disturbed by hazardous substances, while </w:t>
      </w:r>
      <w:r w:rsidRPr="00F2534A">
        <w:rPr>
          <w:szCs w:val="21"/>
          <w:lang w:val="en-US"/>
        </w:rPr>
        <w:lastRenderedPageBreak/>
        <w:t xml:space="preserve">“moderate”, “poor” and “bad” indicate different degrees of disturbance by hazardous substances. </w:t>
      </w:r>
      <w:r w:rsidRPr="00F2534A">
        <w:rPr>
          <w:bCs/>
          <w:szCs w:val="21"/>
          <w:lang w:val="en-US"/>
        </w:rPr>
        <w:t>The tool also carries out an estimate of the quality of the assessment results.</w:t>
      </w:r>
    </w:p>
    <w:p w:rsidR="0026180A" w:rsidRDefault="0026180A" w:rsidP="00987279">
      <w:pPr>
        <w:spacing w:line="240" w:lineRule="auto"/>
        <w:rPr>
          <w:bCs/>
          <w:szCs w:val="21"/>
          <w:lang w:val="en-US"/>
        </w:rPr>
      </w:pPr>
      <w:r w:rsidRPr="00F2534A">
        <w:rPr>
          <w:bCs/>
          <w:szCs w:val="21"/>
          <w:lang w:val="en-US"/>
        </w:rPr>
        <w:t>The selection of indicators for CHASE was based on two primary criteria: (1) an indicator must have a threshold level which is preferably ecotoxicologically or statistically justified, and (2) an indicator must reliably describe the status of hazardous substances in the Baltic Sea. In addition, the following criteria were set: (3) a substance cannot be entered into an element more than once, and (4) the indicators under elements 1 and 4 are to be based on measurements primarily from bivalves, secondarily from fish, and thirdly from sediment.</w:t>
      </w:r>
    </w:p>
    <w:p w:rsidR="0026180A" w:rsidRPr="00F2534A" w:rsidRDefault="0026180A" w:rsidP="00987279">
      <w:pPr>
        <w:spacing w:line="240" w:lineRule="auto"/>
        <w:rPr>
          <w:bCs/>
          <w:szCs w:val="21"/>
          <w:lang w:val="en-US"/>
        </w:rPr>
      </w:pPr>
    </w:p>
    <w:p w:rsidR="0026180A" w:rsidRDefault="0026180A" w:rsidP="00987279">
      <w:pPr>
        <w:spacing w:line="240" w:lineRule="auto"/>
        <w:rPr>
          <w:b/>
          <w:szCs w:val="21"/>
          <w:lang w:val="en-US"/>
        </w:rPr>
      </w:pPr>
      <w:r w:rsidRPr="00F2534A">
        <w:rPr>
          <w:b/>
          <w:szCs w:val="21"/>
          <w:lang w:val="en-US"/>
        </w:rPr>
        <w:t>OSPAR</w:t>
      </w:r>
    </w:p>
    <w:p w:rsidR="0026180A" w:rsidRPr="00F2534A" w:rsidRDefault="0026180A" w:rsidP="00987279">
      <w:pPr>
        <w:spacing w:line="240" w:lineRule="auto"/>
        <w:rPr>
          <w:b/>
          <w:szCs w:val="21"/>
          <w:lang w:val="en-US"/>
        </w:rPr>
      </w:pPr>
    </w:p>
    <w:p w:rsidR="0026180A" w:rsidRDefault="0026180A" w:rsidP="00987279">
      <w:pPr>
        <w:spacing w:line="240" w:lineRule="auto"/>
        <w:rPr>
          <w:szCs w:val="21"/>
          <w:lang w:val="en-US"/>
        </w:rPr>
      </w:pPr>
      <w:r w:rsidRPr="00F2534A">
        <w:rPr>
          <w:szCs w:val="21"/>
          <w:lang w:val="en-US"/>
        </w:rPr>
        <w:t>The OSPAR assessment of levels and trends in marine hazardous substances is prepared using the methods for data screening, treatment of quality assurance information, temporal trend assessment and assessment against assessment criteria which have been used in previous CEMP assessments and are described in the CEMP Assessment Manual</w:t>
      </w:r>
      <w:r w:rsidRPr="00F2534A">
        <w:rPr>
          <w:rStyle w:val="FootnoteReference"/>
          <w:szCs w:val="21"/>
          <w:lang w:val="en-US"/>
        </w:rPr>
        <w:footnoteReference w:id="7"/>
      </w:r>
      <w:r w:rsidRPr="00F2534A">
        <w:rPr>
          <w:szCs w:val="21"/>
          <w:lang w:val="en-US"/>
        </w:rPr>
        <w:t xml:space="preserve"> .   The assessment criteria used to assess environmental concentrations of hazardous substances are set out  in OSPAR agreement on CEMP Assessment Criteria for the QSR 2010 (OSPAR agreement 2009-2). The  derivation of these assessment criteria for hazardous substances is discussed in a Background Document  on CEMP Assessment Criteria for the QSR 2010 (OSPAR, 2009b). The assessment criteria reflect a two  stage process in which data are compared to concentrations that are unlikely to give rise to unacceptable  biological effects (c.f. Environmental Assessment Criteria, EACs) and then against Background  Concentrations (BCs) or zero, expressed as Background Assessment Co</w:t>
      </w:r>
      <w:r w:rsidR="004B48B8">
        <w:rPr>
          <w:szCs w:val="21"/>
          <w:lang w:val="en-US"/>
        </w:rPr>
        <w:t>ncentrations (BACs). The latter</w:t>
      </w:r>
      <w:r w:rsidRPr="00F2534A">
        <w:rPr>
          <w:szCs w:val="21"/>
          <w:lang w:val="en-US"/>
        </w:rPr>
        <w:t xml:space="preserve"> reflects the objective of the OSPAR Hazardous Substances Strategy that concentrations should be at or  close to background levels for naturally occurring substances or to zero for man-made substances. </w:t>
      </w:r>
    </w:p>
    <w:p w:rsidR="0026180A" w:rsidRPr="00F2534A" w:rsidRDefault="0026180A" w:rsidP="00987279">
      <w:pPr>
        <w:spacing w:line="240" w:lineRule="auto"/>
        <w:rPr>
          <w:szCs w:val="21"/>
        </w:rPr>
      </w:pPr>
    </w:p>
    <w:p w:rsidR="0026180A" w:rsidRDefault="0026180A" w:rsidP="00987279">
      <w:pPr>
        <w:spacing w:line="240" w:lineRule="auto"/>
        <w:rPr>
          <w:b/>
          <w:szCs w:val="21"/>
          <w:lang w:val="en-US"/>
        </w:rPr>
      </w:pPr>
      <w:r w:rsidRPr="00F2534A">
        <w:rPr>
          <w:b/>
          <w:szCs w:val="21"/>
          <w:lang w:val="en-US"/>
        </w:rPr>
        <w:t>UNEP/MAP</w:t>
      </w:r>
    </w:p>
    <w:p w:rsidR="0026180A" w:rsidRPr="00F2534A" w:rsidRDefault="0026180A" w:rsidP="00987279">
      <w:pPr>
        <w:spacing w:line="240" w:lineRule="auto"/>
        <w:rPr>
          <w:b/>
          <w:szCs w:val="21"/>
          <w:lang w:val="en-US"/>
        </w:rPr>
      </w:pPr>
    </w:p>
    <w:p w:rsidR="0026180A" w:rsidRPr="00F2534A" w:rsidRDefault="0026180A" w:rsidP="00987279">
      <w:pPr>
        <w:spacing w:line="240" w:lineRule="auto"/>
        <w:rPr>
          <w:szCs w:val="21"/>
          <w:lang w:val="en-US"/>
        </w:rPr>
      </w:pPr>
      <w:r w:rsidRPr="00F2534A">
        <w:rPr>
          <w:szCs w:val="21"/>
          <w:lang w:val="en-US"/>
        </w:rPr>
        <w:t xml:space="preserve">For EO 9, five common indicators are currently </w:t>
      </w:r>
      <w:r w:rsidRPr="00FC64E6">
        <w:rPr>
          <w:szCs w:val="21"/>
          <w:lang w:val="en-US"/>
        </w:rPr>
        <w:t xml:space="preserve">proposed (Table </w:t>
      </w:r>
      <w:r w:rsidR="00FC64E6" w:rsidRPr="00FC64E6">
        <w:rPr>
          <w:szCs w:val="21"/>
          <w:lang w:val="en-US"/>
        </w:rPr>
        <w:t>3.</w:t>
      </w:r>
      <w:r w:rsidR="00290633">
        <w:rPr>
          <w:szCs w:val="21"/>
          <w:lang w:val="en-US"/>
        </w:rPr>
        <w:t>4</w:t>
      </w:r>
      <w:r w:rsidRPr="00F2534A">
        <w:rPr>
          <w:szCs w:val="21"/>
          <w:lang w:val="en-US"/>
        </w:rPr>
        <w:t>, UNEP/MAP, 2014a).The process of identifying targets and corresponding GES for EO5 has initiated in 2012 (</w:t>
      </w:r>
      <w:r w:rsidRPr="00F2534A">
        <w:rPr>
          <w:bCs/>
          <w:szCs w:val="21"/>
          <w:lang w:val="en-US"/>
        </w:rPr>
        <w:t>UNEP/MAP 2012b</w:t>
      </w:r>
      <w:r w:rsidRPr="00F2534A">
        <w:rPr>
          <w:szCs w:val="21"/>
          <w:lang w:val="en-US"/>
        </w:rPr>
        <w:t>). Thresholds values are not yet available but MED POL has made some preparatory work to provide initial background information on the methodology to be followed for the definition of the assessment criteria for hazardous substances in the Mediterranean (UNEP/MAP, 2011c). The proposed methodology is the one developed by OSPAR. Using Mediterranean data from the MED POL database and applying the OSPAR methodology, a first estimate of the background concentrations (BCs) and the background assessment concentrations (BACs) of trace meals (mercury, cadmium and lead) and organic contaminants (chlorinated hydrocarbons and PAHs) in sediments and biota in the Mediterranean basin was provided (UNEP/MAP, 2011c).This work would need to be further discussed during national expert meetings organized by MAP MED POL during 2014-2015.</w:t>
      </w:r>
    </w:p>
    <w:p w:rsidR="0026180A" w:rsidRDefault="0026180A" w:rsidP="00987279">
      <w:pPr>
        <w:spacing w:line="240" w:lineRule="auto"/>
        <w:rPr>
          <w:szCs w:val="21"/>
          <w:lang w:val="en-US"/>
        </w:rPr>
      </w:pPr>
    </w:p>
    <w:p w:rsidR="0089205E" w:rsidRDefault="0089205E" w:rsidP="00987279">
      <w:pPr>
        <w:spacing w:line="240" w:lineRule="auto"/>
        <w:rPr>
          <w:szCs w:val="21"/>
          <w:lang w:val="en-US"/>
        </w:rPr>
      </w:pPr>
    </w:p>
    <w:p w:rsidR="0089205E" w:rsidRDefault="0089205E" w:rsidP="00987279">
      <w:pPr>
        <w:spacing w:line="240" w:lineRule="auto"/>
        <w:rPr>
          <w:szCs w:val="21"/>
          <w:lang w:val="en-US"/>
        </w:rPr>
      </w:pPr>
    </w:p>
    <w:p w:rsidR="0089205E" w:rsidRDefault="0089205E" w:rsidP="00987279">
      <w:pPr>
        <w:spacing w:line="240" w:lineRule="auto"/>
        <w:rPr>
          <w:szCs w:val="21"/>
          <w:lang w:val="en-US"/>
        </w:rPr>
      </w:pPr>
    </w:p>
    <w:p w:rsidR="0089205E" w:rsidRDefault="0089205E" w:rsidP="00987279">
      <w:pPr>
        <w:spacing w:line="240" w:lineRule="auto"/>
        <w:rPr>
          <w:szCs w:val="21"/>
          <w:lang w:val="en-US"/>
        </w:rPr>
      </w:pPr>
    </w:p>
    <w:p w:rsidR="0089205E" w:rsidRDefault="0089205E" w:rsidP="00987279">
      <w:pPr>
        <w:spacing w:line="240" w:lineRule="auto"/>
        <w:rPr>
          <w:szCs w:val="21"/>
          <w:lang w:val="en-US"/>
        </w:rPr>
      </w:pPr>
    </w:p>
    <w:p w:rsidR="0089205E" w:rsidRPr="00F2534A" w:rsidRDefault="0089205E" w:rsidP="00987279">
      <w:pPr>
        <w:spacing w:line="240" w:lineRule="auto"/>
        <w:rPr>
          <w:szCs w:val="21"/>
          <w:lang w:val="en-US"/>
        </w:rPr>
      </w:pPr>
    </w:p>
    <w:p w:rsidR="0026180A" w:rsidRPr="00F2534A" w:rsidRDefault="004B48B8" w:rsidP="004B48B8">
      <w:pPr>
        <w:pStyle w:val="Caption"/>
        <w:rPr>
          <w:lang w:val="en-US"/>
        </w:rPr>
      </w:pPr>
      <w:r>
        <w:lastRenderedPageBreak/>
        <w:t xml:space="preserve">Table </w:t>
      </w:r>
      <w:r w:rsidR="008135ED">
        <w:fldChar w:fldCharType="begin"/>
      </w:r>
      <w:r>
        <w:instrText xml:space="preserve"> STYLEREF 1 \s </w:instrText>
      </w:r>
      <w:r w:rsidR="008135ED">
        <w:fldChar w:fldCharType="separate"/>
      </w:r>
      <w:r w:rsidR="003461A2">
        <w:rPr>
          <w:noProof/>
        </w:rPr>
        <w:t>3</w:t>
      </w:r>
      <w:r w:rsidR="008135ED">
        <w:fldChar w:fldCharType="end"/>
      </w:r>
      <w:r>
        <w:t>.</w:t>
      </w:r>
      <w:r w:rsidR="00290633">
        <w:t>4</w:t>
      </w:r>
      <w:r>
        <w:tab/>
      </w:r>
      <w:r w:rsidR="0026180A" w:rsidRPr="00F2534A">
        <w:rPr>
          <w:lang w:val="en-US"/>
        </w:rPr>
        <w:t>Common indicators, GES and targets for EO9 contaminants Adapted from UNEP/MAP (2014a)</w:t>
      </w:r>
    </w:p>
    <w:tbl>
      <w:tblPr>
        <w:tblStyle w:val="TableGrid"/>
        <w:tblW w:w="0" w:type="auto"/>
        <w:tblLook w:val="04A0"/>
      </w:tblPr>
      <w:tblGrid>
        <w:gridCol w:w="2660"/>
        <w:gridCol w:w="2977"/>
        <w:gridCol w:w="2891"/>
      </w:tblGrid>
      <w:tr w:rsidR="0026180A" w:rsidRPr="0026180A" w:rsidTr="002C3E00">
        <w:tc>
          <w:tcPr>
            <w:tcW w:w="2660" w:type="dxa"/>
            <w:shd w:val="clear" w:color="auto" w:fill="D9D9D9" w:themeFill="background1" w:themeFillShade="D9"/>
          </w:tcPr>
          <w:p w:rsidR="0026180A" w:rsidRPr="0026180A" w:rsidRDefault="0026180A" w:rsidP="00987279">
            <w:pPr>
              <w:spacing w:line="240" w:lineRule="auto"/>
              <w:rPr>
                <w:sz w:val="18"/>
                <w:szCs w:val="18"/>
                <w:lang w:val="en-US"/>
              </w:rPr>
            </w:pPr>
            <w:r w:rsidRPr="0026180A">
              <w:rPr>
                <w:sz w:val="18"/>
                <w:szCs w:val="18"/>
                <w:lang w:val="en-US"/>
              </w:rPr>
              <w:t>Common Indicator</w:t>
            </w:r>
          </w:p>
          <w:p w:rsidR="0026180A" w:rsidRPr="0026180A" w:rsidRDefault="0026180A" w:rsidP="00987279">
            <w:pPr>
              <w:spacing w:line="240" w:lineRule="auto"/>
              <w:rPr>
                <w:sz w:val="18"/>
                <w:szCs w:val="18"/>
                <w:lang w:val="en-US"/>
              </w:rPr>
            </w:pPr>
          </w:p>
        </w:tc>
        <w:tc>
          <w:tcPr>
            <w:tcW w:w="2977" w:type="dxa"/>
            <w:shd w:val="clear" w:color="auto" w:fill="D9D9D9" w:themeFill="background1" w:themeFillShade="D9"/>
          </w:tcPr>
          <w:p w:rsidR="0026180A" w:rsidRPr="0026180A" w:rsidRDefault="0026180A" w:rsidP="00987279">
            <w:pPr>
              <w:spacing w:line="240" w:lineRule="auto"/>
              <w:rPr>
                <w:sz w:val="18"/>
                <w:szCs w:val="18"/>
                <w:lang w:val="en-US"/>
              </w:rPr>
            </w:pPr>
            <w:r w:rsidRPr="0026180A">
              <w:rPr>
                <w:sz w:val="18"/>
                <w:szCs w:val="18"/>
                <w:lang w:val="en-US"/>
              </w:rPr>
              <w:t>GES</w:t>
            </w:r>
          </w:p>
          <w:p w:rsidR="0026180A" w:rsidRPr="0026180A" w:rsidRDefault="0026180A" w:rsidP="00987279">
            <w:pPr>
              <w:spacing w:line="240" w:lineRule="auto"/>
              <w:rPr>
                <w:sz w:val="18"/>
                <w:szCs w:val="18"/>
                <w:lang w:val="en-US"/>
              </w:rPr>
            </w:pPr>
          </w:p>
        </w:tc>
        <w:tc>
          <w:tcPr>
            <w:tcW w:w="2891" w:type="dxa"/>
            <w:shd w:val="clear" w:color="auto" w:fill="D9D9D9" w:themeFill="background1" w:themeFillShade="D9"/>
          </w:tcPr>
          <w:p w:rsidR="0026180A" w:rsidRPr="0026180A" w:rsidRDefault="0026180A" w:rsidP="00987279">
            <w:pPr>
              <w:spacing w:line="240" w:lineRule="auto"/>
              <w:rPr>
                <w:sz w:val="18"/>
                <w:szCs w:val="18"/>
                <w:lang w:val="en-US"/>
              </w:rPr>
            </w:pPr>
            <w:r w:rsidRPr="0026180A">
              <w:rPr>
                <w:sz w:val="18"/>
                <w:szCs w:val="18"/>
                <w:lang w:val="en-US"/>
              </w:rPr>
              <w:t>Targets</w:t>
            </w:r>
          </w:p>
          <w:p w:rsidR="0026180A" w:rsidRPr="0026180A" w:rsidRDefault="0026180A" w:rsidP="00987279">
            <w:pPr>
              <w:spacing w:line="240" w:lineRule="auto"/>
              <w:rPr>
                <w:sz w:val="18"/>
                <w:szCs w:val="18"/>
                <w:lang w:val="en-US"/>
              </w:rPr>
            </w:pPr>
          </w:p>
        </w:tc>
      </w:tr>
      <w:tr w:rsidR="0026180A" w:rsidRPr="0026180A" w:rsidTr="002C3E00">
        <w:trPr>
          <w:trHeight w:val="3016"/>
        </w:trPr>
        <w:tc>
          <w:tcPr>
            <w:tcW w:w="2660" w:type="dxa"/>
          </w:tcPr>
          <w:p w:rsidR="0026180A" w:rsidRPr="0026180A" w:rsidRDefault="0026180A" w:rsidP="00987279">
            <w:pPr>
              <w:spacing w:line="240" w:lineRule="auto"/>
              <w:rPr>
                <w:sz w:val="18"/>
                <w:szCs w:val="18"/>
                <w:lang w:val="en-US"/>
              </w:rPr>
            </w:pPr>
            <w:r w:rsidRPr="0026180A">
              <w:rPr>
                <w:sz w:val="18"/>
                <w:szCs w:val="18"/>
                <w:lang w:val="en-US"/>
              </w:rPr>
              <w:t>9.1.1 Concentration of key harmful contaminants</w:t>
            </w:r>
            <w:r w:rsidRPr="0026180A">
              <w:rPr>
                <w:sz w:val="18"/>
                <w:szCs w:val="18"/>
                <w:vertAlign w:val="superscript"/>
                <w:lang w:val="en-US"/>
              </w:rPr>
              <w:t>1</w:t>
            </w:r>
            <w:r w:rsidRPr="0026180A">
              <w:rPr>
                <w:sz w:val="18"/>
                <w:szCs w:val="18"/>
                <w:lang w:val="en-US"/>
              </w:rPr>
              <w:t>in biota, sediment or water</w:t>
            </w:r>
          </w:p>
        </w:tc>
        <w:tc>
          <w:tcPr>
            <w:tcW w:w="2977" w:type="dxa"/>
          </w:tcPr>
          <w:p w:rsidR="0026180A" w:rsidRPr="0026180A" w:rsidRDefault="0026180A" w:rsidP="00987279">
            <w:pPr>
              <w:spacing w:line="240" w:lineRule="auto"/>
              <w:rPr>
                <w:sz w:val="18"/>
                <w:szCs w:val="18"/>
                <w:lang w:val="en-US"/>
              </w:rPr>
            </w:pPr>
            <w:r w:rsidRPr="0026180A">
              <w:rPr>
                <w:sz w:val="18"/>
                <w:szCs w:val="18"/>
                <w:lang w:val="en-US"/>
              </w:rPr>
              <w:t>Level of pollution is below a determined threshold defined for the area</w:t>
            </w:r>
          </w:p>
        </w:tc>
        <w:tc>
          <w:tcPr>
            <w:tcW w:w="2891" w:type="dxa"/>
          </w:tcPr>
          <w:p w:rsidR="0026180A" w:rsidRPr="0026180A" w:rsidRDefault="0026180A" w:rsidP="00987279">
            <w:pPr>
              <w:spacing w:line="240" w:lineRule="auto"/>
              <w:rPr>
                <w:b/>
                <w:sz w:val="18"/>
                <w:szCs w:val="18"/>
                <w:lang w:val="en-US"/>
              </w:rPr>
            </w:pPr>
            <w:r w:rsidRPr="0026180A">
              <w:rPr>
                <w:b/>
                <w:sz w:val="18"/>
                <w:szCs w:val="18"/>
                <w:lang w:val="en-US"/>
              </w:rPr>
              <w:t>State</w:t>
            </w:r>
          </w:p>
          <w:p w:rsidR="0026180A" w:rsidRPr="0026180A" w:rsidRDefault="0026180A" w:rsidP="00987279">
            <w:pPr>
              <w:spacing w:line="240" w:lineRule="auto"/>
              <w:rPr>
                <w:sz w:val="18"/>
                <w:szCs w:val="18"/>
                <w:lang w:val="en-US"/>
              </w:rPr>
            </w:pPr>
            <w:r w:rsidRPr="0026180A">
              <w:rPr>
                <w:sz w:val="18"/>
                <w:szCs w:val="18"/>
                <w:lang w:val="en-US"/>
              </w:rPr>
              <w:t>Concentrations of specific contaminants below EACs or below reference concentrations</w:t>
            </w:r>
            <w:r w:rsidRPr="0026180A">
              <w:rPr>
                <w:sz w:val="18"/>
                <w:szCs w:val="18"/>
                <w:vertAlign w:val="superscript"/>
                <w:lang w:val="en-US"/>
              </w:rPr>
              <w:t>2</w:t>
            </w:r>
          </w:p>
          <w:p w:rsidR="0026180A" w:rsidRPr="0026180A" w:rsidRDefault="0026180A" w:rsidP="00987279">
            <w:pPr>
              <w:spacing w:line="240" w:lineRule="auto"/>
              <w:rPr>
                <w:sz w:val="18"/>
                <w:szCs w:val="18"/>
                <w:lang w:val="en-US"/>
              </w:rPr>
            </w:pPr>
            <w:r w:rsidRPr="0026180A">
              <w:rPr>
                <w:sz w:val="18"/>
                <w:szCs w:val="18"/>
                <w:lang w:val="en-US"/>
              </w:rPr>
              <w:t>No deterioration trend in contaminants concentrations in sediment and biota from human impacted areas, statistically define</w:t>
            </w:r>
          </w:p>
          <w:p w:rsidR="0026180A" w:rsidRPr="0026180A" w:rsidRDefault="0026180A" w:rsidP="00987279">
            <w:pPr>
              <w:spacing w:line="240" w:lineRule="auto"/>
              <w:rPr>
                <w:b/>
                <w:sz w:val="18"/>
                <w:szCs w:val="18"/>
                <w:lang w:val="en-US"/>
              </w:rPr>
            </w:pPr>
            <w:r w:rsidRPr="0026180A">
              <w:rPr>
                <w:b/>
                <w:sz w:val="18"/>
                <w:szCs w:val="18"/>
                <w:lang w:val="en-US"/>
              </w:rPr>
              <w:t>Pressure</w:t>
            </w:r>
          </w:p>
          <w:p w:rsidR="0026180A" w:rsidRPr="0026180A" w:rsidRDefault="0026180A" w:rsidP="00987279">
            <w:pPr>
              <w:spacing w:line="240" w:lineRule="auto"/>
              <w:rPr>
                <w:sz w:val="18"/>
                <w:szCs w:val="18"/>
                <w:lang w:val="en-US"/>
              </w:rPr>
            </w:pPr>
            <w:r w:rsidRPr="0026180A">
              <w:rPr>
                <w:sz w:val="18"/>
                <w:szCs w:val="18"/>
                <w:lang w:val="en-US"/>
              </w:rPr>
              <w:t>Reduction of contaminants emissions from land based sources</w:t>
            </w:r>
            <w:r w:rsidRPr="0026180A">
              <w:rPr>
                <w:sz w:val="18"/>
                <w:szCs w:val="18"/>
                <w:vertAlign w:val="superscript"/>
                <w:lang w:val="en-US"/>
              </w:rPr>
              <w:t>3</w:t>
            </w:r>
          </w:p>
        </w:tc>
      </w:tr>
      <w:tr w:rsidR="0026180A" w:rsidRPr="0026180A" w:rsidTr="002C3E00">
        <w:trPr>
          <w:trHeight w:val="1333"/>
        </w:trPr>
        <w:tc>
          <w:tcPr>
            <w:tcW w:w="2660" w:type="dxa"/>
          </w:tcPr>
          <w:p w:rsidR="0026180A" w:rsidRPr="0026180A" w:rsidRDefault="0026180A" w:rsidP="00987279">
            <w:pPr>
              <w:spacing w:line="240" w:lineRule="auto"/>
              <w:rPr>
                <w:sz w:val="18"/>
                <w:szCs w:val="18"/>
                <w:lang w:val="en-US"/>
              </w:rPr>
            </w:pPr>
            <w:r w:rsidRPr="0026180A">
              <w:rPr>
                <w:sz w:val="18"/>
                <w:szCs w:val="18"/>
                <w:lang w:val="en-US"/>
              </w:rPr>
              <w:t>9.2.1 Level of pollution effects of key contaminants where a cause and effect relationship has been established</w:t>
            </w:r>
          </w:p>
          <w:p w:rsidR="0026180A" w:rsidRPr="0026180A" w:rsidRDefault="0026180A" w:rsidP="00987279">
            <w:pPr>
              <w:spacing w:line="240" w:lineRule="auto"/>
              <w:rPr>
                <w:sz w:val="18"/>
                <w:szCs w:val="18"/>
                <w:lang w:val="en-US"/>
              </w:rPr>
            </w:pPr>
          </w:p>
        </w:tc>
        <w:tc>
          <w:tcPr>
            <w:tcW w:w="2977" w:type="dxa"/>
          </w:tcPr>
          <w:p w:rsidR="0026180A" w:rsidRPr="0026180A" w:rsidRDefault="0026180A" w:rsidP="00987279">
            <w:pPr>
              <w:spacing w:line="240" w:lineRule="auto"/>
              <w:rPr>
                <w:sz w:val="18"/>
                <w:szCs w:val="18"/>
                <w:lang w:val="en-US"/>
              </w:rPr>
            </w:pPr>
            <w:r w:rsidRPr="0026180A">
              <w:rPr>
                <w:sz w:val="18"/>
                <w:szCs w:val="18"/>
                <w:lang w:val="en-US"/>
              </w:rPr>
              <w:t>Concentrations of contaminants are not giving rise to pollution effects.</w:t>
            </w:r>
          </w:p>
          <w:p w:rsidR="0026180A" w:rsidRPr="0026180A" w:rsidRDefault="0026180A" w:rsidP="00987279">
            <w:pPr>
              <w:pStyle w:val="Default"/>
              <w:spacing w:line="240" w:lineRule="auto"/>
              <w:rPr>
                <w:sz w:val="18"/>
                <w:szCs w:val="18"/>
                <w:lang w:val="en-US"/>
              </w:rPr>
            </w:pPr>
          </w:p>
        </w:tc>
        <w:tc>
          <w:tcPr>
            <w:tcW w:w="2891" w:type="dxa"/>
          </w:tcPr>
          <w:p w:rsidR="0026180A" w:rsidRPr="0026180A" w:rsidRDefault="0026180A" w:rsidP="00987279">
            <w:pPr>
              <w:spacing w:line="240" w:lineRule="auto"/>
              <w:rPr>
                <w:b/>
                <w:sz w:val="18"/>
                <w:szCs w:val="18"/>
                <w:lang w:val="en-US"/>
              </w:rPr>
            </w:pPr>
            <w:r w:rsidRPr="0026180A">
              <w:rPr>
                <w:b/>
                <w:sz w:val="18"/>
                <w:szCs w:val="18"/>
                <w:lang w:val="en-US"/>
              </w:rPr>
              <w:t>State</w:t>
            </w:r>
          </w:p>
          <w:p w:rsidR="0026180A" w:rsidRPr="0026180A" w:rsidRDefault="0026180A" w:rsidP="00987279">
            <w:pPr>
              <w:pStyle w:val="Default"/>
              <w:spacing w:line="240" w:lineRule="auto"/>
              <w:rPr>
                <w:sz w:val="18"/>
                <w:szCs w:val="18"/>
                <w:lang w:val="en-US"/>
              </w:rPr>
            </w:pPr>
            <w:r w:rsidRPr="0026180A">
              <w:rPr>
                <w:sz w:val="18"/>
                <w:szCs w:val="18"/>
                <w:lang w:val="en-US"/>
              </w:rPr>
              <w:t>Contaminants effects below threshold</w:t>
            </w:r>
            <w:r w:rsidRPr="0026180A">
              <w:rPr>
                <w:sz w:val="18"/>
                <w:szCs w:val="18"/>
                <w:vertAlign w:val="superscript"/>
                <w:lang w:val="en-US"/>
              </w:rPr>
              <w:t>4</w:t>
            </w:r>
          </w:p>
        </w:tc>
      </w:tr>
      <w:tr w:rsidR="0026180A" w:rsidRPr="0026180A" w:rsidTr="002C3E00">
        <w:tc>
          <w:tcPr>
            <w:tcW w:w="2660" w:type="dxa"/>
          </w:tcPr>
          <w:p w:rsidR="0026180A" w:rsidRPr="0026180A" w:rsidRDefault="0026180A" w:rsidP="00987279">
            <w:pPr>
              <w:spacing w:line="240" w:lineRule="auto"/>
              <w:rPr>
                <w:sz w:val="18"/>
                <w:szCs w:val="18"/>
                <w:lang w:val="en-US"/>
              </w:rPr>
            </w:pPr>
            <w:r w:rsidRPr="0026180A">
              <w:rPr>
                <w:sz w:val="18"/>
                <w:szCs w:val="18"/>
                <w:lang w:val="en-US"/>
              </w:rPr>
              <w:t>9.3.1 Occurrence, origin (where possible), extent of significant acute pollution events (e.g. slicks from oil, oil products and hazardous substances) and their impact on biota affected by this pollution</w:t>
            </w:r>
          </w:p>
          <w:p w:rsidR="0026180A" w:rsidRPr="0026180A" w:rsidRDefault="0026180A" w:rsidP="00987279">
            <w:pPr>
              <w:spacing w:line="240" w:lineRule="auto"/>
              <w:rPr>
                <w:sz w:val="18"/>
                <w:szCs w:val="18"/>
                <w:lang w:val="en-US"/>
              </w:rPr>
            </w:pPr>
          </w:p>
          <w:p w:rsidR="0026180A" w:rsidRPr="0026180A" w:rsidRDefault="0026180A" w:rsidP="00987279">
            <w:pPr>
              <w:spacing w:line="240" w:lineRule="auto"/>
              <w:rPr>
                <w:sz w:val="18"/>
                <w:szCs w:val="18"/>
                <w:lang w:val="en-US"/>
              </w:rPr>
            </w:pPr>
          </w:p>
        </w:tc>
        <w:tc>
          <w:tcPr>
            <w:tcW w:w="2977" w:type="dxa"/>
          </w:tcPr>
          <w:p w:rsidR="0026180A" w:rsidRPr="0026180A" w:rsidRDefault="0026180A" w:rsidP="00987279">
            <w:pPr>
              <w:pStyle w:val="Default"/>
              <w:spacing w:line="240" w:lineRule="auto"/>
              <w:rPr>
                <w:sz w:val="18"/>
                <w:szCs w:val="18"/>
                <w:lang w:val="en-US"/>
              </w:rPr>
            </w:pPr>
            <w:r w:rsidRPr="0026180A">
              <w:rPr>
                <w:sz w:val="18"/>
                <w:szCs w:val="18"/>
                <w:lang w:val="en-US"/>
              </w:rPr>
              <w:t>Occurrence of acute pollution events are reduced to the minimum</w:t>
            </w:r>
          </w:p>
        </w:tc>
        <w:tc>
          <w:tcPr>
            <w:tcW w:w="2891" w:type="dxa"/>
          </w:tcPr>
          <w:p w:rsidR="0026180A" w:rsidRPr="0026180A" w:rsidRDefault="0026180A" w:rsidP="00987279">
            <w:pPr>
              <w:spacing w:line="240" w:lineRule="auto"/>
              <w:rPr>
                <w:b/>
                <w:sz w:val="18"/>
                <w:szCs w:val="18"/>
                <w:lang w:val="en-US"/>
              </w:rPr>
            </w:pPr>
            <w:r w:rsidRPr="0026180A">
              <w:rPr>
                <w:b/>
                <w:sz w:val="18"/>
                <w:szCs w:val="18"/>
                <w:lang w:val="en-US"/>
              </w:rPr>
              <w:t>State</w:t>
            </w:r>
          </w:p>
          <w:p w:rsidR="0026180A" w:rsidRPr="0026180A" w:rsidRDefault="0026180A" w:rsidP="00987279">
            <w:pPr>
              <w:spacing w:line="240" w:lineRule="auto"/>
              <w:rPr>
                <w:sz w:val="18"/>
                <w:szCs w:val="18"/>
                <w:lang w:val="en-US"/>
              </w:rPr>
            </w:pPr>
            <w:r w:rsidRPr="0026180A">
              <w:rPr>
                <w:sz w:val="18"/>
                <w:szCs w:val="18"/>
                <w:lang w:val="en-US"/>
              </w:rPr>
              <w:t>Decreasing trend in the occurrences of acute pollution events.</w:t>
            </w:r>
          </w:p>
          <w:p w:rsidR="0026180A" w:rsidRPr="0026180A" w:rsidRDefault="0026180A" w:rsidP="00987279">
            <w:pPr>
              <w:spacing w:line="240" w:lineRule="auto"/>
              <w:rPr>
                <w:sz w:val="18"/>
                <w:szCs w:val="18"/>
                <w:lang w:val="en-US"/>
              </w:rPr>
            </w:pPr>
            <w:r w:rsidRPr="0026180A">
              <w:rPr>
                <w:sz w:val="18"/>
                <w:szCs w:val="18"/>
                <w:lang w:val="en-US"/>
              </w:rPr>
              <w:t>Pressure</w:t>
            </w:r>
          </w:p>
          <w:p w:rsidR="0026180A" w:rsidRPr="0026180A" w:rsidRDefault="0026180A" w:rsidP="00987279">
            <w:pPr>
              <w:spacing w:line="240" w:lineRule="auto"/>
              <w:rPr>
                <w:sz w:val="18"/>
                <w:szCs w:val="18"/>
                <w:lang w:val="en-US"/>
              </w:rPr>
            </w:pPr>
            <w:r w:rsidRPr="0026180A">
              <w:rPr>
                <w:sz w:val="18"/>
                <w:szCs w:val="18"/>
                <w:lang w:val="en-US"/>
              </w:rPr>
              <w:t>Decreasing trend in the operational releases of oil and other contaminants from coastal, maritime and off-shore activities.</w:t>
            </w:r>
          </w:p>
        </w:tc>
      </w:tr>
      <w:tr w:rsidR="0026180A" w:rsidRPr="0026180A" w:rsidTr="002C3E00">
        <w:trPr>
          <w:trHeight w:val="1266"/>
        </w:trPr>
        <w:tc>
          <w:tcPr>
            <w:tcW w:w="2660" w:type="dxa"/>
          </w:tcPr>
          <w:p w:rsidR="0026180A" w:rsidRPr="0026180A" w:rsidRDefault="0026180A" w:rsidP="00987279">
            <w:pPr>
              <w:spacing w:line="240" w:lineRule="auto"/>
              <w:rPr>
                <w:sz w:val="18"/>
                <w:szCs w:val="18"/>
                <w:lang w:val="en-US"/>
              </w:rPr>
            </w:pPr>
            <w:r w:rsidRPr="0026180A">
              <w:rPr>
                <w:sz w:val="18"/>
                <w:szCs w:val="18"/>
                <w:lang w:val="en-US"/>
              </w:rPr>
              <w:t>9.4.1 Actual levels of contaminants that have been detected and number of contaminants which have exceeded maximum regulatory levels in commonly consumed seafood</w:t>
            </w:r>
            <w:r w:rsidRPr="0026180A">
              <w:rPr>
                <w:sz w:val="18"/>
                <w:szCs w:val="18"/>
                <w:vertAlign w:val="superscript"/>
                <w:lang w:val="en-US"/>
              </w:rPr>
              <w:t>5</w:t>
            </w:r>
          </w:p>
          <w:p w:rsidR="0026180A" w:rsidRPr="0026180A" w:rsidRDefault="0026180A" w:rsidP="00987279">
            <w:pPr>
              <w:spacing w:line="240" w:lineRule="auto"/>
              <w:rPr>
                <w:sz w:val="18"/>
                <w:szCs w:val="18"/>
                <w:lang w:val="en-US"/>
              </w:rPr>
            </w:pPr>
          </w:p>
        </w:tc>
        <w:tc>
          <w:tcPr>
            <w:tcW w:w="2977" w:type="dxa"/>
          </w:tcPr>
          <w:p w:rsidR="0026180A" w:rsidRPr="0026180A" w:rsidRDefault="0026180A" w:rsidP="00987279">
            <w:pPr>
              <w:spacing w:line="240" w:lineRule="auto"/>
              <w:rPr>
                <w:sz w:val="18"/>
                <w:szCs w:val="18"/>
                <w:lang w:val="en-US"/>
              </w:rPr>
            </w:pPr>
            <w:r w:rsidRPr="0026180A">
              <w:rPr>
                <w:sz w:val="18"/>
                <w:szCs w:val="18"/>
                <w:lang w:val="en-US"/>
              </w:rPr>
              <w:t>Concentrations of contaminants are within the regulatory limits for consumption by humans</w:t>
            </w:r>
          </w:p>
          <w:p w:rsidR="0026180A" w:rsidRPr="0026180A" w:rsidRDefault="0026180A" w:rsidP="00987279">
            <w:pPr>
              <w:pStyle w:val="Default"/>
              <w:spacing w:line="240" w:lineRule="auto"/>
              <w:rPr>
                <w:sz w:val="18"/>
                <w:szCs w:val="18"/>
                <w:lang w:val="en-US"/>
              </w:rPr>
            </w:pPr>
          </w:p>
        </w:tc>
        <w:tc>
          <w:tcPr>
            <w:tcW w:w="2891" w:type="dxa"/>
          </w:tcPr>
          <w:p w:rsidR="0026180A" w:rsidRPr="0026180A" w:rsidRDefault="0026180A" w:rsidP="00987279">
            <w:pPr>
              <w:spacing w:line="240" w:lineRule="auto"/>
              <w:rPr>
                <w:b/>
                <w:sz w:val="18"/>
                <w:szCs w:val="18"/>
                <w:lang w:val="en-US"/>
              </w:rPr>
            </w:pPr>
            <w:r w:rsidRPr="0026180A">
              <w:rPr>
                <w:b/>
                <w:sz w:val="18"/>
                <w:szCs w:val="18"/>
                <w:lang w:val="en-US"/>
              </w:rPr>
              <w:t>State</w:t>
            </w:r>
          </w:p>
          <w:p w:rsidR="0026180A" w:rsidRPr="0026180A" w:rsidRDefault="0026180A" w:rsidP="00987279">
            <w:pPr>
              <w:spacing w:line="240" w:lineRule="auto"/>
              <w:rPr>
                <w:sz w:val="18"/>
                <w:szCs w:val="18"/>
                <w:lang w:val="en-US"/>
              </w:rPr>
            </w:pPr>
            <w:r w:rsidRPr="0026180A">
              <w:rPr>
                <w:sz w:val="18"/>
                <w:szCs w:val="18"/>
                <w:lang w:val="en-US"/>
              </w:rPr>
              <w:t>Concentrations of contaminants are within the regulatory limits set by legislation</w:t>
            </w:r>
            <w:r w:rsidRPr="0026180A">
              <w:rPr>
                <w:sz w:val="18"/>
                <w:szCs w:val="18"/>
                <w:vertAlign w:val="superscript"/>
                <w:lang w:val="en-US"/>
              </w:rPr>
              <w:t>6</w:t>
            </w:r>
          </w:p>
          <w:p w:rsidR="0026180A" w:rsidRPr="0026180A" w:rsidRDefault="0026180A" w:rsidP="00987279">
            <w:pPr>
              <w:pStyle w:val="Default"/>
              <w:spacing w:line="240" w:lineRule="auto"/>
              <w:rPr>
                <w:sz w:val="18"/>
                <w:szCs w:val="18"/>
                <w:lang w:val="en-US"/>
              </w:rPr>
            </w:pPr>
          </w:p>
        </w:tc>
      </w:tr>
      <w:tr w:rsidR="0026180A" w:rsidRPr="0026180A" w:rsidTr="002C3E00">
        <w:tc>
          <w:tcPr>
            <w:tcW w:w="2660" w:type="dxa"/>
          </w:tcPr>
          <w:p w:rsidR="0026180A" w:rsidRPr="0026180A" w:rsidRDefault="0026180A" w:rsidP="00987279">
            <w:pPr>
              <w:spacing w:line="240" w:lineRule="auto"/>
              <w:rPr>
                <w:sz w:val="18"/>
                <w:szCs w:val="18"/>
                <w:lang w:val="en-US"/>
              </w:rPr>
            </w:pPr>
            <w:r w:rsidRPr="0026180A">
              <w:rPr>
                <w:sz w:val="18"/>
                <w:szCs w:val="18"/>
                <w:lang w:val="en-US"/>
              </w:rPr>
              <w:t>9.5.1 Percentage of intestinal enterococci concentration measurements within established standards</w:t>
            </w:r>
          </w:p>
          <w:p w:rsidR="0026180A" w:rsidRPr="0026180A" w:rsidRDefault="0026180A" w:rsidP="00987279">
            <w:pPr>
              <w:spacing w:line="240" w:lineRule="auto"/>
              <w:rPr>
                <w:sz w:val="18"/>
                <w:szCs w:val="18"/>
                <w:lang w:val="en-US"/>
              </w:rPr>
            </w:pPr>
          </w:p>
        </w:tc>
        <w:tc>
          <w:tcPr>
            <w:tcW w:w="2977" w:type="dxa"/>
          </w:tcPr>
          <w:p w:rsidR="0026180A" w:rsidRPr="0026180A" w:rsidRDefault="0026180A" w:rsidP="00987279">
            <w:pPr>
              <w:spacing w:line="240" w:lineRule="auto"/>
              <w:rPr>
                <w:sz w:val="18"/>
                <w:szCs w:val="18"/>
                <w:lang w:val="en-US"/>
              </w:rPr>
            </w:pPr>
            <w:r w:rsidRPr="0026180A">
              <w:rPr>
                <w:sz w:val="18"/>
                <w:szCs w:val="18"/>
                <w:lang w:val="en-US"/>
              </w:rPr>
              <w:t>Concentrations of intestinal enterococci are within established standards</w:t>
            </w:r>
          </w:p>
          <w:p w:rsidR="0026180A" w:rsidRPr="0026180A" w:rsidRDefault="0026180A" w:rsidP="00987279">
            <w:pPr>
              <w:pStyle w:val="Default"/>
              <w:spacing w:line="240" w:lineRule="auto"/>
              <w:rPr>
                <w:sz w:val="18"/>
                <w:szCs w:val="18"/>
                <w:lang w:val="en-US"/>
              </w:rPr>
            </w:pPr>
          </w:p>
        </w:tc>
        <w:tc>
          <w:tcPr>
            <w:tcW w:w="2891" w:type="dxa"/>
          </w:tcPr>
          <w:p w:rsidR="0026180A" w:rsidRPr="0026180A" w:rsidRDefault="0026180A" w:rsidP="00987279">
            <w:pPr>
              <w:spacing w:line="240" w:lineRule="auto"/>
              <w:rPr>
                <w:b/>
                <w:sz w:val="18"/>
                <w:szCs w:val="18"/>
                <w:lang w:val="en-US"/>
              </w:rPr>
            </w:pPr>
            <w:r w:rsidRPr="0026180A">
              <w:rPr>
                <w:b/>
                <w:sz w:val="18"/>
                <w:szCs w:val="18"/>
                <w:lang w:val="en-US"/>
              </w:rPr>
              <w:t>State</w:t>
            </w:r>
          </w:p>
          <w:p w:rsidR="0026180A" w:rsidRPr="0026180A" w:rsidRDefault="0026180A" w:rsidP="00987279">
            <w:pPr>
              <w:pStyle w:val="Default"/>
              <w:spacing w:line="240" w:lineRule="auto"/>
              <w:rPr>
                <w:sz w:val="18"/>
                <w:szCs w:val="18"/>
                <w:lang w:val="en-US"/>
              </w:rPr>
            </w:pPr>
            <w:r w:rsidRPr="0026180A">
              <w:rPr>
                <w:sz w:val="18"/>
                <w:szCs w:val="18"/>
                <w:lang w:val="en-US"/>
              </w:rPr>
              <w:t>Increasing trend in the percentage of intestinal enterococci concentration measurements within established standards</w:t>
            </w:r>
          </w:p>
        </w:tc>
      </w:tr>
    </w:tbl>
    <w:p w:rsidR="0026180A" w:rsidRPr="00F2534A" w:rsidRDefault="0026180A" w:rsidP="00987279">
      <w:pPr>
        <w:spacing w:line="240" w:lineRule="auto"/>
        <w:rPr>
          <w:szCs w:val="21"/>
          <w:lang w:val="en-US"/>
        </w:rPr>
      </w:pPr>
    </w:p>
    <w:p w:rsidR="0026180A" w:rsidRDefault="0026180A" w:rsidP="00987279">
      <w:pPr>
        <w:spacing w:line="240" w:lineRule="auto"/>
        <w:rPr>
          <w:rStyle w:val="Hyperlink"/>
          <w:szCs w:val="21"/>
          <w:lang w:val="en-US"/>
        </w:rPr>
      </w:pPr>
      <w:r w:rsidRPr="00F2534A">
        <w:rPr>
          <w:szCs w:val="21"/>
          <w:vertAlign w:val="superscript"/>
          <w:lang w:val="en-US"/>
        </w:rPr>
        <w:t>1</w:t>
      </w:r>
      <w:r w:rsidRPr="00F2534A">
        <w:rPr>
          <w:szCs w:val="21"/>
          <w:lang w:val="en-US"/>
        </w:rPr>
        <w:t xml:space="preserve">Priority contaminants as listed under the Barcelona Convention and LBS Protocol found at </w:t>
      </w:r>
      <w:hyperlink r:id="rId47" w:history="1">
        <w:r w:rsidRPr="00F2534A">
          <w:rPr>
            <w:rStyle w:val="Hyperlink"/>
            <w:szCs w:val="21"/>
            <w:lang w:val="en-US"/>
          </w:rPr>
          <w:t>http://www.unep.ch/regionalseas/main/med/mlbsprot.html</w:t>
        </w:r>
      </w:hyperlink>
    </w:p>
    <w:p w:rsidR="0026180A" w:rsidRPr="00F2534A" w:rsidRDefault="0026180A" w:rsidP="00987279">
      <w:pPr>
        <w:spacing w:line="240" w:lineRule="auto"/>
        <w:rPr>
          <w:szCs w:val="21"/>
          <w:lang w:val="en-US"/>
        </w:rPr>
      </w:pPr>
    </w:p>
    <w:p w:rsidR="0026180A" w:rsidRPr="00F2534A" w:rsidRDefault="0026180A" w:rsidP="00987279">
      <w:pPr>
        <w:spacing w:line="240" w:lineRule="auto"/>
        <w:rPr>
          <w:szCs w:val="21"/>
          <w:lang w:val="en-US"/>
        </w:rPr>
      </w:pPr>
      <w:r w:rsidRPr="00F2534A">
        <w:rPr>
          <w:szCs w:val="21"/>
          <w:vertAlign w:val="superscript"/>
          <w:lang w:val="en-US"/>
        </w:rPr>
        <w:t>2</w:t>
      </w:r>
      <w:r w:rsidRPr="00F2534A">
        <w:rPr>
          <w:szCs w:val="21"/>
          <w:lang w:val="en-US"/>
        </w:rPr>
        <w:t>Use for further work on reference conditions ERL for sediments taking into account specifics of the Mediterranean.</w:t>
      </w:r>
    </w:p>
    <w:p w:rsidR="0026180A" w:rsidRPr="00F2534A" w:rsidRDefault="0026180A" w:rsidP="00987279">
      <w:pPr>
        <w:spacing w:line="240" w:lineRule="auto"/>
        <w:rPr>
          <w:szCs w:val="21"/>
          <w:lang w:val="en-US"/>
        </w:rPr>
      </w:pPr>
      <w:r w:rsidRPr="00F2534A">
        <w:rPr>
          <w:szCs w:val="21"/>
          <w:vertAlign w:val="superscript"/>
          <w:lang w:val="en-US"/>
        </w:rPr>
        <w:t>3</w:t>
      </w:r>
      <w:r w:rsidRPr="00F2534A">
        <w:rPr>
          <w:szCs w:val="21"/>
          <w:lang w:val="en-US"/>
        </w:rPr>
        <w:t>Thresholds to be set by COP19.</w:t>
      </w:r>
    </w:p>
    <w:p w:rsidR="0026180A" w:rsidRPr="00F2534A" w:rsidRDefault="0026180A" w:rsidP="00987279">
      <w:pPr>
        <w:spacing w:line="240" w:lineRule="auto"/>
        <w:rPr>
          <w:szCs w:val="21"/>
          <w:lang w:val="en-US"/>
        </w:rPr>
      </w:pPr>
      <w:r w:rsidRPr="00F2534A">
        <w:rPr>
          <w:szCs w:val="21"/>
          <w:vertAlign w:val="superscript"/>
          <w:lang w:val="en-US"/>
        </w:rPr>
        <w:t>4</w:t>
      </w:r>
      <w:r w:rsidRPr="00F2534A">
        <w:rPr>
          <w:szCs w:val="21"/>
          <w:lang w:val="en-US"/>
        </w:rPr>
        <w:t>Reduction programmes are already in place through the Protocols of the Barcelona Convention and the Marine Litter Regional Strategy.</w:t>
      </w:r>
    </w:p>
    <w:p w:rsidR="0089205E" w:rsidRDefault="0026180A" w:rsidP="00987279">
      <w:pPr>
        <w:spacing w:line="240" w:lineRule="auto"/>
        <w:rPr>
          <w:szCs w:val="21"/>
          <w:lang w:val="en-US"/>
        </w:rPr>
      </w:pPr>
      <w:r w:rsidRPr="00F2534A">
        <w:rPr>
          <w:szCs w:val="21"/>
          <w:vertAlign w:val="superscript"/>
          <w:lang w:val="en-US"/>
        </w:rPr>
        <w:t>6</w:t>
      </w:r>
      <w:r w:rsidRPr="00F2534A">
        <w:rPr>
          <w:szCs w:val="21"/>
          <w:lang w:val="en-US"/>
        </w:rPr>
        <w:t>Thresholds to be set by COP19.</w:t>
      </w:r>
    </w:p>
    <w:p w:rsidR="0026180A" w:rsidRPr="0089205E" w:rsidRDefault="0026180A" w:rsidP="00987279">
      <w:pPr>
        <w:spacing w:line="240" w:lineRule="auto"/>
        <w:rPr>
          <w:szCs w:val="21"/>
          <w:lang w:val="en-US"/>
        </w:rPr>
      </w:pPr>
      <w:r w:rsidRPr="00F2534A">
        <w:rPr>
          <w:szCs w:val="21"/>
          <w:u w:val="single"/>
          <w:lang w:val="en-US"/>
        </w:rPr>
        <w:lastRenderedPageBreak/>
        <w:t>Common Indicator 11: Concentration of key harmful contaminants measured in the relevant matrix (biota, sediment, seawater)</w:t>
      </w:r>
    </w:p>
    <w:p w:rsidR="0026180A" w:rsidRPr="00F2534A" w:rsidRDefault="0026180A" w:rsidP="00987279">
      <w:pPr>
        <w:spacing w:line="240" w:lineRule="auto"/>
        <w:rPr>
          <w:szCs w:val="21"/>
          <w:u w:val="single"/>
          <w:lang w:val="en-US"/>
        </w:rPr>
      </w:pPr>
    </w:p>
    <w:p w:rsidR="0026180A" w:rsidRDefault="0026180A" w:rsidP="00987279">
      <w:pPr>
        <w:spacing w:line="240" w:lineRule="auto"/>
        <w:rPr>
          <w:szCs w:val="21"/>
          <w:lang w:val="en-US"/>
        </w:rPr>
      </w:pPr>
      <w:r w:rsidRPr="00F2534A">
        <w:rPr>
          <w:szCs w:val="21"/>
          <w:lang w:val="en-US"/>
        </w:rPr>
        <w:t xml:space="preserve">Data and relevant methodologies for common indicator 11 are provided in the framework of the MED POL monitoring programme (UNEP/MAP, 2011b). The information reported by countries for the assessment of this indicator ranges from heavy metals and petroleum hydrocarbons only, to 3 groups of contaminants in water, sediment and biota: synthetic contaminants (PAHs, PCBs, DDTs, aldrin, endrin and dieldrin), non –synthetic contaminants (Cd, Pb, Cu, Zn, Hg) and petroleum hydrocarbons, and radionuclides (137 Cs). However, many countries do not provide monitoring data on a regular basis and there are gaps in spatial and temporal coverage of the Mediterranean coastline. An overview of MED POL Phase III and IV data provided by the countries is </w:t>
      </w:r>
      <w:r w:rsidRPr="00FC64E6">
        <w:rPr>
          <w:szCs w:val="21"/>
          <w:lang w:val="en-US"/>
        </w:rPr>
        <w:t xml:space="preserve">shown in Table </w:t>
      </w:r>
      <w:r w:rsidR="00290633">
        <w:rPr>
          <w:szCs w:val="21"/>
          <w:lang w:val="en-US"/>
        </w:rPr>
        <w:t>3.5</w:t>
      </w:r>
      <w:r w:rsidRPr="00FC64E6">
        <w:rPr>
          <w:szCs w:val="21"/>
          <w:lang w:val="en-US"/>
        </w:rPr>
        <w:t>.</w:t>
      </w:r>
    </w:p>
    <w:p w:rsidR="0026180A" w:rsidRPr="00F2534A" w:rsidRDefault="0026180A" w:rsidP="00987279">
      <w:pPr>
        <w:spacing w:line="240" w:lineRule="auto"/>
        <w:rPr>
          <w:szCs w:val="21"/>
          <w:lang w:val="en-US"/>
        </w:rPr>
      </w:pPr>
    </w:p>
    <w:p w:rsidR="0026180A" w:rsidRPr="00F2534A" w:rsidRDefault="0026180A" w:rsidP="00987279">
      <w:pPr>
        <w:autoSpaceDE w:val="0"/>
        <w:autoSpaceDN w:val="0"/>
        <w:adjustRightInd w:val="0"/>
        <w:spacing w:line="240" w:lineRule="auto"/>
        <w:rPr>
          <w:szCs w:val="21"/>
          <w:lang w:val="en-US"/>
        </w:rPr>
      </w:pPr>
      <w:r w:rsidRPr="00F2534A">
        <w:rPr>
          <w:szCs w:val="21"/>
          <w:lang w:val="en-US"/>
        </w:rPr>
        <w:t xml:space="preserve">For the Thematic Assessment Report on Hazardous Substances in the Mediterranean coastal environment prepared using MED POL data (UNEP/MAP, 2011d), only trace metals were found suitable for assessment at the regional level in sediments and trace metals and organochlorinated compounds in marine biota. As regards species applied, the bivalve </w:t>
      </w:r>
      <w:r w:rsidRPr="00F2534A">
        <w:rPr>
          <w:i/>
          <w:szCs w:val="21"/>
          <w:lang w:val="en-US"/>
        </w:rPr>
        <w:t>Mytilus</w:t>
      </w:r>
      <w:r w:rsidR="00580600">
        <w:rPr>
          <w:i/>
          <w:szCs w:val="21"/>
          <w:lang w:val="en-US"/>
        </w:rPr>
        <w:t xml:space="preserve"> </w:t>
      </w:r>
      <w:r w:rsidRPr="00F2534A">
        <w:rPr>
          <w:i/>
          <w:szCs w:val="21"/>
          <w:lang w:val="en-US"/>
        </w:rPr>
        <w:t>galloprovincialis</w:t>
      </w:r>
      <w:r w:rsidRPr="00F2534A">
        <w:rPr>
          <w:szCs w:val="21"/>
          <w:lang w:val="en-US"/>
        </w:rPr>
        <w:t xml:space="preserve"> and the benthic fish </w:t>
      </w:r>
      <w:r w:rsidRPr="00F2534A">
        <w:rPr>
          <w:i/>
          <w:szCs w:val="21"/>
          <w:lang w:val="en-US"/>
        </w:rPr>
        <w:t>Mullus</w:t>
      </w:r>
      <w:r w:rsidR="00580600">
        <w:rPr>
          <w:i/>
          <w:szCs w:val="21"/>
          <w:lang w:val="en-US"/>
        </w:rPr>
        <w:t xml:space="preserve"> </w:t>
      </w:r>
      <w:r w:rsidRPr="00F2534A">
        <w:rPr>
          <w:i/>
          <w:szCs w:val="21"/>
          <w:lang w:val="en-US"/>
        </w:rPr>
        <w:t>barbatus</w:t>
      </w:r>
      <w:r w:rsidRPr="00F2534A">
        <w:rPr>
          <w:szCs w:val="21"/>
          <w:lang w:val="en-US"/>
        </w:rPr>
        <w:t>, were the more common and widely analyzed species in the region.</w:t>
      </w:r>
    </w:p>
    <w:p w:rsidR="004B48B8" w:rsidRDefault="004B48B8">
      <w:pPr>
        <w:spacing w:line="240" w:lineRule="auto"/>
        <w:jc w:val="left"/>
        <w:rPr>
          <w:szCs w:val="21"/>
          <w:lang w:val="en-US"/>
        </w:rPr>
      </w:pPr>
    </w:p>
    <w:p w:rsidR="0026180A" w:rsidRPr="00F2534A" w:rsidRDefault="0026180A" w:rsidP="00987279">
      <w:pPr>
        <w:spacing w:line="240" w:lineRule="auto"/>
        <w:rPr>
          <w:szCs w:val="21"/>
          <w:lang w:val="en-US"/>
        </w:rPr>
      </w:pPr>
    </w:p>
    <w:p w:rsidR="0026180A" w:rsidRPr="00F2534A" w:rsidRDefault="004B48B8" w:rsidP="004B48B8">
      <w:pPr>
        <w:pStyle w:val="Caption"/>
        <w:rPr>
          <w:lang w:val="en-US"/>
        </w:rPr>
      </w:pPr>
      <w:r>
        <w:t xml:space="preserve">Table </w:t>
      </w:r>
      <w:r w:rsidR="008135ED">
        <w:fldChar w:fldCharType="begin"/>
      </w:r>
      <w:r>
        <w:instrText xml:space="preserve"> STYLEREF 1 \s </w:instrText>
      </w:r>
      <w:r w:rsidR="008135ED">
        <w:fldChar w:fldCharType="separate"/>
      </w:r>
      <w:r w:rsidR="003461A2">
        <w:rPr>
          <w:noProof/>
        </w:rPr>
        <w:t>3</w:t>
      </w:r>
      <w:r w:rsidR="008135ED">
        <w:fldChar w:fldCharType="end"/>
      </w:r>
      <w:r>
        <w:t>.</w:t>
      </w:r>
      <w:r w:rsidR="00290633">
        <w:t>5</w:t>
      </w:r>
      <w:r>
        <w:tab/>
      </w:r>
      <w:r w:rsidR="0026180A" w:rsidRPr="00F2534A">
        <w:rPr>
          <w:lang w:val="en-US"/>
        </w:rPr>
        <w:t>MED POL Phase III and IVdata provision by each country until 2010. SOURCE: UNEP/MAP 2011</w:t>
      </w:r>
    </w:p>
    <w:p w:rsidR="0026180A" w:rsidRDefault="0026180A" w:rsidP="00987279">
      <w:pPr>
        <w:spacing w:line="240" w:lineRule="auto"/>
        <w:rPr>
          <w:szCs w:val="21"/>
          <w:lang w:val="en-US"/>
        </w:rPr>
      </w:pPr>
      <w:r w:rsidRPr="00F2534A">
        <w:rPr>
          <w:noProof/>
          <w:szCs w:val="21"/>
          <w:lang w:val="el-GR" w:eastAsia="el-GR"/>
        </w:rPr>
        <w:drawing>
          <wp:inline distT="0" distB="0" distL="0" distR="0">
            <wp:extent cx="4413770" cy="4355921"/>
            <wp:effectExtent l="19050" t="0" r="583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418959" cy="4361042"/>
                    </a:xfrm>
                    <a:prstGeom prst="rect">
                      <a:avLst/>
                    </a:prstGeom>
                    <a:noFill/>
                    <a:ln w="9525">
                      <a:noFill/>
                      <a:miter lim="800000"/>
                      <a:headEnd/>
                      <a:tailEnd/>
                    </a:ln>
                  </pic:spPr>
                </pic:pic>
              </a:graphicData>
            </a:graphic>
          </wp:inline>
        </w:drawing>
      </w:r>
    </w:p>
    <w:p w:rsidR="0089205E" w:rsidRPr="00F2534A" w:rsidRDefault="0089205E" w:rsidP="00987279">
      <w:pPr>
        <w:spacing w:line="240" w:lineRule="auto"/>
        <w:rPr>
          <w:szCs w:val="21"/>
          <w:lang w:val="en-US"/>
        </w:rPr>
      </w:pPr>
    </w:p>
    <w:p w:rsidR="0026180A" w:rsidRDefault="0026180A" w:rsidP="00987279">
      <w:pPr>
        <w:spacing w:line="240" w:lineRule="auto"/>
        <w:rPr>
          <w:szCs w:val="21"/>
          <w:u w:val="single"/>
          <w:lang w:val="en-US"/>
        </w:rPr>
      </w:pPr>
      <w:r w:rsidRPr="00F2534A">
        <w:rPr>
          <w:szCs w:val="21"/>
          <w:u w:val="single"/>
          <w:lang w:val="en-US"/>
        </w:rPr>
        <w:lastRenderedPageBreak/>
        <w:t>Common Indicator 12: Level of pollution effects of key contaminants where a cause and effect relationship has been established.</w:t>
      </w:r>
    </w:p>
    <w:p w:rsidR="0026180A" w:rsidRPr="00F2534A" w:rsidRDefault="0026180A" w:rsidP="00987279">
      <w:pPr>
        <w:spacing w:line="240" w:lineRule="auto"/>
        <w:rPr>
          <w:szCs w:val="21"/>
          <w:u w:val="single"/>
          <w:lang w:val="en-US"/>
        </w:rPr>
      </w:pPr>
    </w:p>
    <w:p w:rsidR="0026180A" w:rsidRDefault="0026180A" w:rsidP="00987279">
      <w:pPr>
        <w:spacing w:line="240" w:lineRule="auto"/>
        <w:rPr>
          <w:szCs w:val="21"/>
          <w:lang w:val="en-US"/>
        </w:rPr>
      </w:pPr>
      <w:r w:rsidRPr="00F2534A">
        <w:rPr>
          <w:szCs w:val="21"/>
          <w:lang w:val="en-US"/>
        </w:rPr>
        <w:t>Biological effects of contaminants are less measured in the Mediterranean coastal environment than contaminant concentrations. Data on biological effects of contaminants have been generated for the MED POL Phase IV contaminants monitoring programme, involving the biomarker lysosomal membrane stability. Outside of the MED POL biological effects monitoring activities, biomarkers including EROD activity, lysosomal membrane stability, stress on stress, acetylcholinesterase activity, metallothionein content and</w:t>
      </w:r>
      <w:r w:rsidR="00580600">
        <w:rPr>
          <w:szCs w:val="21"/>
          <w:lang w:val="en-US"/>
        </w:rPr>
        <w:t xml:space="preserve"> frequency of micronuclei occurrence </w:t>
      </w:r>
      <w:r w:rsidRPr="00F2534A">
        <w:rPr>
          <w:szCs w:val="21"/>
          <w:lang w:val="en-US"/>
        </w:rPr>
        <w:t xml:space="preserve">measured by a small number of Mediterranean countries. Sentinel organisms include </w:t>
      </w:r>
      <w:r w:rsidRPr="00F2534A">
        <w:rPr>
          <w:i/>
          <w:szCs w:val="21"/>
          <w:lang w:val="en-US"/>
        </w:rPr>
        <w:t>Mullus</w:t>
      </w:r>
      <w:r w:rsidR="00580600">
        <w:rPr>
          <w:i/>
          <w:szCs w:val="21"/>
          <w:lang w:val="en-US"/>
        </w:rPr>
        <w:t xml:space="preserve"> </w:t>
      </w:r>
      <w:r w:rsidRPr="00F2534A">
        <w:rPr>
          <w:i/>
          <w:szCs w:val="21"/>
          <w:lang w:val="en-US"/>
        </w:rPr>
        <w:t>barbatus</w:t>
      </w:r>
      <w:r w:rsidRPr="00F2534A">
        <w:rPr>
          <w:szCs w:val="21"/>
          <w:lang w:val="en-US"/>
        </w:rPr>
        <w:t xml:space="preserve"> and </w:t>
      </w:r>
      <w:r w:rsidRPr="00F2534A">
        <w:rPr>
          <w:i/>
          <w:szCs w:val="21"/>
          <w:lang w:val="en-US"/>
        </w:rPr>
        <w:t>Mytilus</w:t>
      </w:r>
      <w:r w:rsidR="00580600">
        <w:rPr>
          <w:i/>
          <w:szCs w:val="21"/>
          <w:lang w:val="en-US"/>
        </w:rPr>
        <w:t xml:space="preserve"> </w:t>
      </w:r>
      <w:r w:rsidRPr="00F2534A">
        <w:rPr>
          <w:i/>
          <w:szCs w:val="21"/>
          <w:lang w:val="en-US"/>
        </w:rPr>
        <w:t>edulis</w:t>
      </w:r>
      <w:r w:rsidRPr="00F2534A">
        <w:rPr>
          <w:szCs w:val="21"/>
          <w:lang w:val="en-US"/>
        </w:rPr>
        <w:t xml:space="preserve">. </w:t>
      </w:r>
    </w:p>
    <w:p w:rsidR="0026180A" w:rsidRPr="00F2534A" w:rsidRDefault="0026180A" w:rsidP="00987279">
      <w:pPr>
        <w:spacing w:line="240" w:lineRule="auto"/>
        <w:rPr>
          <w:szCs w:val="21"/>
          <w:lang w:val="en-US"/>
        </w:rPr>
      </w:pPr>
    </w:p>
    <w:p w:rsidR="0026180A" w:rsidRPr="00F2534A" w:rsidRDefault="0026180A" w:rsidP="00987279">
      <w:pPr>
        <w:spacing w:line="240" w:lineRule="auto"/>
        <w:rPr>
          <w:szCs w:val="21"/>
          <w:lang w:val="en-US"/>
        </w:rPr>
      </w:pPr>
      <w:r w:rsidRPr="00F2534A">
        <w:rPr>
          <w:szCs w:val="21"/>
          <w:lang w:val="en-US"/>
        </w:rPr>
        <w:t>Since the most widely used specific technique where a cause and effect relationship has been established is the measurement of TBT effects (imposex) on gastropods, the possibility to use available information for TBT thresholds from other regions in order to propose similar effects thresholds for the Mediterranean is considered. However it has been mentioned that the “imposex" indicator for the biological effect of TBT is not suitable for the French Mediterranean Sea, and is operational only in coastal areas. For the time being, it is not considered possible to define thresholds in relation to effects, using a quantitative approach, for other contaminants. The need to develop and test more contaminant-specific techniques is pointed out and will be the objective of expert group meetings organized by MAP during 2014-2015.</w:t>
      </w:r>
    </w:p>
    <w:p w:rsidR="0026180A" w:rsidRPr="00F2534A" w:rsidRDefault="0026180A" w:rsidP="00987279">
      <w:pPr>
        <w:spacing w:line="240" w:lineRule="auto"/>
        <w:rPr>
          <w:szCs w:val="21"/>
          <w:lang w:val="en-US"/>
        </w:rPr>
      </w:pPr>
    </w:p>
    <w:p w:rsidR="0026180A" w:rsidRDefault="0026180A" w:rsidP="00987279">
      <w:pPr>
        <w:spacing w:line="240" w:lineRule="auto"/>
        <w:rPr>
          <w:szCs w:val="21"/>
          <w:u w:val="single"/>
          <w:lang w:val="en-US"/>
        </w:rPr>
      </w:pPr>
      <w:r w:rsidRPr="00F2534A">
        <w:rPr>
          <w:szCs w:val="21"/>
          <w:u w:val="single"/>
          <w:lang w:val="en-US"/>
        </w:rPr>
        <w:t>Common Indicator 13: Occurrence, origin (where possible) extent of acute pollution events (e.g. slicks from oil, oil products and hazardous substances) and their impact on biota affected by this pollution)</w:t>
      </w:r>
    </w:p>
    <w:p w:rsidR="0026180A" w:rsidRPr="00F2534A" w:rsidRDefault="0026180A" w:rsidP="00987279">
      <w:pPr>
        <w:spacing w:line="240" w:lineRule="auto"/>
        <w:rPr>
          <w:szCs w:val="21"/>
          <w:u w:val="single"/>
          <w:lang w:val="en-US"/>
        </w:rPr>
      </w:pPr>
    </w:p>
    <w:p w:rsidR="0026180A" w:rsidRDefault="0026180A" w:rsidP="00987279">
      <w:pPr>
        <w:spacing w:line="240" w:lineRule="auto"/>
        <w:rPr>
          <w:szCs w:val="21"/>
          <w:lang w:val="en-US"/>
        </w:rPr>
      </w:pPr>
      <w:r w:rsidRPr="00F2534A">
        <w:rPr>
          <w:szCs w:val="21"/>
          <w:lang w:val="en-US"/>
        </w:rPr>
        <w:t xml:space="preserve">Acute pollution events (oil spills) are followed and recorded in the framework of the Prevention and Emergency Protocol, 2002 by the MAP Regional Marine Pollution Emergency Centre (REMPEC), which is also reviewing the maritime traffic in the Mediterranean providing information on routine operations. REMPEC has data on shipping accidents that caused oil or </w:t>
      </w:r>
      <w:r w:rsidRPr="00F2534A">
        <w:rPr>
          <w:color w:val="000000"/>
          <w:szCs w:val="21"/>
          <w:lang w:val="en-US" w:eastAsia="el-GR"/>
        </w:rPr>
        <w:t>other hazardous and noxious substances (</w:t>
      </w:r>
      <w:r w:rsidRPr="00F2534A">
        <w:rPr>
          <w:szCs w:val="21"/>
          <w:lang w:val="en-US"/>
        </w:rPr>
        <w:t>HNS) pollution in the Mediterranean or were likely to cause it.</w:t>
      </w:r>
    </w:p>
    <w:p w:rsidR="0026180A" w:rsidRPr="00F2534A" w:rsidRDefault="0026180A" w:rsidP="00987279">
      <w:pPr>
        <w:spacing w:line="240" w:lineRule="auto"/>
        <w:rPr>
          <w:szCs w:val="21"/>
          <w:lang w:val="en-US"/>
        </w:rPr>
      </w:pPr>
    </w:p>
    <w:p w:rsidR="0026180A" w:rsidRDefault="0026180A" w:rsidP="00987279">
      <w:pPr>
        <w:spacing w:line="240" w:lineRule="auto"/>
        <w:rPr>
          <w:szCs w:val="21"/>
          <w:lang w:val="en-US"/>
        </w:rPr>
      </w:pPr>
      <w:r w:rsidRPr="00F2534A">
        <w:rPr>
          <w:szCs w:val="21"/>
          <w:lang w:val="en-US"/>
        </w:rPr>
        <w:t>Moreover, in the field of scientific assistance for oil spill drift forecast, during the last few years, REMPEC developed a strong relationship with the Mediterranean Operational Oceanographic Network (MOON) with regard to operational use of forecasting and backtracking system for oil spills based on meteo oceanographic observations and models. REMPEC and MOON have also signed a co-operation agreement to formalise their working relationship and define the type of common activities to be implemented.</w:t>
      </w:r>
    </w:p>
    <w:p w:rsidR="0026180A" w:rsidRPr="00F2534A" w:rsidRDefault="0026180A" w:rsidP="00987279">
      <w:pPr>
        <w:spacing w:line="240" w:lineRule="auto"/>
        <w:rPr>
          <w:szCs w:val="21"/>
          <w:lang w:val="en-US"/>
        </w:rPr>
      </w:pPr>
    </w:p>
    <w:p w:rsidR="0026180A" w:rsidRDefault="0026180A" w:rsidP="00987279">
      <w:pPr>
        <w:spacing w:line="240" w:lineRule="auto"/>
        <w:rPr>
          <w:szCs w:val="21"/>
          <w:u w:val="single"/>
          <w:lang w:val="en-US"/>
        </w:rPr>
      </w:pPr>
      <w:r w:rsidRPr="00F2534A">
        <w:rPr>
          <w:szCs w:val="21"/>
          <w:u w:val="single"/>
          <w:lang w:val="en-US"/>
        </w:rPr>
        <w:t>Common Indicator 14: Actual levels of contaminants that have been detected and number of contaminants which have exceeded maximum regulatory levels in commonly consumed seafood</w:t>
      </w:r>
    </w:p>
    <w:p w:rsidR="0026180A" w:rsidRPr="00F2534A" w:rsidRDefault="0026180A" w:rsidP="00987279">
      <w:pPr>
        <w:spacing w:line="240" w:lineRule="auto"/>
        <w:rPr>
          <w:szCs w:val="21"/>
          <w:u w:val="single"/>
          <w:lang w:val="en-US"/>
        </w:rPr>
      </w:pPr>
    </w:p>
    <w:p w:rsidR="0026180A" w:rsidRPr="00F2534A" w:rsidRDefault="0026180A" w:rsidP="00987279">
      <w:pPr>
        <w:spacing w:line="240" w:lineRule="auto"/>
        <w:rPr>
          <w:szCs w:val="21"/>
          <w:lang w:val="en-US"/>
        </w:rPr>
      </w:pPr>
      <w:r w:rsidRPr="00F2534A">
        <w:rPr>
          <w:szCs w:val="21"/>
          <w:lang w:val="en-US"/>
        </w:rPr>
        <w:t>The information reported by countries for the assessment of this indicator includes concentrations of heavy metals (Pb, Cd and Hg) in fish tissues, heavy metals and different persistent organic pollutants according to EU regulations with partial availability of data for regulated substances, contaminants data on a wide variety of marine commercial species, and trends of bioaccumulation in the biota and functional groups used as bio-indicators (</w:t>
      </w:r>
      <w:r w:rsidRPr="00F2534A">
        <w:rPr>
          <w:i/>
          <w:szCs w:val="21"/>
          <w:lang w:val="en-US"/>
        </w:rPr>
        <w:t>Mytilus</w:t>
      </w:r>
      <w:r w:rsidR="00580600">
        <w:rPr>
          <w:i/>
          <w:szCs w:val="21"/>
          <w:lang w:val="en-US"/>
        </w:rPr>
        <w:t xml:space="preserve"> </w:t>
      </w:r>
      <w:r w:rsidRPr="00F2534A">
        <w:rPr>
          <w:i/>
          <w:szCs w:val="21"/>
          <w:lang w:val="en-US"/>
        </w:rPr>
        <w:t>galloprovincialis</w:t>
      </w:r>
      <w:r w:rsidRPr="00F2534A">
        <w:rPr>
          <w:szCs w:val="21"/>
          <w:lang w:val="en-US"/>
        </w:rPr>
        <w:t xml:space="preserve"> and </w:t>
      </w:r>
      <w:r w:rsidRPr="00F2534A">
        <w:rPr>
          <w:i/>
          <w:szCs w:val="21"/>
          <w:lang w:val="en-US"/>
        </w:rPr>
        <w:t>Mullus</w:t>
      </w:r>
      <w:r w:rsidR="00580600">
        <w:rPr>
          <w:i/>
          <w:szCs w:val="21"/>
          <w:lang w:val="en-US"/>
        </w:rPr>
        <w:t xml:space="preserve"> </w:t>
      </w:r>
      <w:r w:rsidRPr="00F2534A">
        <w:rPr>
          <w:i/>
          <w:szCs w:val="21"/>
          <w:lang w:val="en-US"/>
        </w:rPr>
        <w:t>barbatus/ Boops</w:t>
      </w:r>
      <w:r w:rsidR="00580600">
        <w:rPr>
          <w:i/>
          <w:szCs w:val="21"/>
          <w:lang w:val="en-US"/>
        </w:rPr>
        <w:t xml:space="preserve"> </w:t>
      </w:r>
      <w:r w:rsidRPr="00F2534A">
        <w:rPr>
          <w:i/>
          <w:szCs w:val="21"/>
          <w:lang w:val="en-US"/>
        </w:rPr>
        <w:t>boops</w:t>
      </w:r>
      <w:r w:rsidRPr="00F2534A">
        <w:rPr>
          <w:szCs w:val="21"/>
          <w:lang w:val="en-US"/>
        </w:rPr>
        <w:t>, respectively). Some monitoring programmes still need improvements to provide an appropriate assessment. No corresponding data has been collected under MED POL Phase IV.</w:t>
      </w:r>
    </w:p>
    <w:p w:rsidR="0026180A" w:rsidRPr="00F2534A" w:rsidRDefault="0026180A" w:rsidP="00987279">
      <w:pPr>
        <w:spacing w:line="240" w:lineRule="auto"/>
        <w:rPr>
          <w:szCs w:val="21"/>
          <w:lang w:val="en-US"/>
        </w:rPr>
      </w:pPr>
    </w:p>
    <w:p w:rsidR="0026180A" w:rsidRDefault="0026180A" w:rsidP="00987279">
      <w:pPr>
        <w:spacing w:line="240" w:lineRule="auto"/>
        <w:rPr>
          <w:b/>
          <w:szCs w:val="21"/>
          <w:lang w:val="en-US"/>
        </w:rPr>
      </w:pPr>
      <w:r w:rsidRPr="00F2534A">
        <w:rPr>
          <w:b/>
          <w:szCs w:val="21"/>
          <w:lang w:val="en-US"/>
        </w:rPr>
        <w:t>BSC</w:t>
      </w:r>
    </w:p>
    <w:p w:rsidR="0026180A" w:rsidRPr="00F2534A" w:rsidRDefault="0026180A" w:rsidP="00987279">
      <w:pPr>
        <w:spacing w:line="240" w:lineRule="auto"/>
        <w:rPr>
          <w:b/>
          <w:szCs w:val="21"/>
          <w:lang w:val="en-US"/>
        </w:rPr>
      </w:pPr>
    </w:p>
    <w:p w:rsidR="0026180A" w:rsidRPr="00F2534A" w:rsidRDefault="0026180A" w:rsidP="00987279">
      <w:pPr>
        <w:spacing w:line="240" w:lineRule="auto"/>
        <w:rPr>
          <w:szCs w:val="21"/>
          <w:lang w:val="en-US"/>
        </w:rPr>
      </w:pPr>
      <w:r w:rsidRPr="00F2534A">
        <w:rPr>
          <w:szCs w:val="21"/>
          <w:lang w:val="en-US"/>
        </w:rPr>
        <w:t xml:space="preserve">The BSIMAP is based on National monitoring programs financed by the Black Sea countries. Each country decides which and how many stations will use, the frequency of sampling and which stations will be used for the reporting for the BSIMAP. The BSIMAP provides recommendations on parameters, frequency and methodologies to be used. </w:t>
      </w:r>
    </w:p>
    <w:p w:rsidR="0026180A" w:rsidRDefault="0026180A" w:rsidP="00987279">
      <w:pPr>
        <w:spacing w:line="240" w:lineRule="auto"/>
        <w:rPr>
          <w:szCs w:val="21"/>
          <w:lang w:val="en-US"/>
        </w:rPr>
      </w:pPr>
      <w:r w:rsidRPr="00F2534A">
        <w:rPr>
          <w:szCs w:val="21"/>
          <w:lang w:val="en-US"/>
        </w:rPr>
        <w:t xml:space="preserve">Mandatory parameters under the PMA (Pollution Monitoring and Assessment) Advisory Group, include heavy metals (Hg, Cu, Cd, Pb), and Total Petroleum Hydrocarbons (TPHs) in water; heavy metals (Hg, Cu, Cd, Pb), pesticides (DDT, DDD, DDE, </w:t>
      </w:r>
      <w:r w:rsidRPr="00F2534A">
        <w:rPr>
          <w:szCs w:val="21"/>
          <w:lang w:val="el-GR"/>
        </w:rPr>
        <w:t>α</w:t>
      </w:r>
      <w:r w:rsidRPr="00F2534A">
        <w:rPr>
          <w:szCs w:val="21"/>
          <w:lang w:val="en-US"/>
        </w:rPr>
        <w:t xml:space="preserve">-HCH, </w:t>
      </w:r>
      <w:r w:rsidRPr="00F2534A">
        <w:rPr>
          <w:szCs w:val="21"/>
          <w:lang w:val="el-GR"/>
        </w:rPr>
        <w:t>β</w:t>
      </w:r>
      <w:r w:rsidRPr="00F2534A">
        <w:rPr>
          <w:szCs w:val="21"/>
          <w:lang w:val="en-US"/>
        </w:rPr>
        <w:t xml:space="preserve">-HCH, </w:t>
      </w:r>
      <w:r w:rsidRPr="00F2534A">
        <w:rPr>
          <w:szCs w:val="21"/>
          <w:lang w:val="el-GR"/>
        </w:rPr>
        <w:t>γ</w:t>
      </w:r>
      <w:r w:rsidRPr="00F2534A">
        <w:rPr>
          <w:szCs w:val="21"/>
          <w:lang w:val="en-US"/>
        </w:rPr>
        <w:t xml:space="preserve">-HCH ), PCBs total, TPHs and phenols in sediments; and heavy metals (Hg, Cu, Cd, Pb), pesticides (DDT, DDD, DDE, </w:t>
      </w:r>
      <w:r w:rsidRPr="00F2534A">
        <w:rPr>
          <w:szCs w:val="21"/>
          <w:lang w:val="el-GR"/>
        </w:rPr>
        <w:t>γ</w:t>
      </w:r>
      <w:r w:rsidRPr="00F2534A">
        <w:rPr>
          <w:szCs w:val="21"/>
          <w:lang w:val="en-US"/>
        </w:rPr>
        <w:t>-HCH ) and PCBs in biota.  Proposed media for contaminants in biota are</w:t>
      </w:r>
      <w:r w:rsidRPr="00F2534A">
        <w:rPr>
          <w:szCs w:val="21"/>
        </w:rPr>
        <w:t xml:space="preserve"> b</w:t>
      </w:r>
      <w:r w:rsidRPr="00F2534A">
        <w:rPr>
          <w:szCs w:val="21"/>
          <w:lang w:val="en-US"/>
        </w:rPr>
        <w:t xml:space="preserve">ivalves, anchovies, sprat, turbot, horse mackerel. Pressures from Hot Spots (rivers, municipal and industrial sources) are mandatory parameters under the LBS (Control of Pollution from Land Based Sources) Advisory Group. </w:t>
      </w:r>
    </w:p>
    <w:p w:rsidR="006666A7" w:rsidRPr="00F2534A" w:rsidRDefault="006666A7" w:rsidP="00987279">
      <w:pPr>
        <w:spacing w:line="240" w:lineRule="auto"/>
        <w:rPr>
          <w:szCs w:val="21"/>
          <w:lang w:val="en-US"/>
        </w:rPr>
      </w:pPr>
    </w:p>
    <w:p w:rsidR="006666A7" w:rsidRPr="00996EE8" w:rsidRDefault="006666A7" w:rsidP="006666A7">
      <w:pPr>
        <w:pStyle w:val="Heading2"/>
        <w:numPr>
          <w:ilvl w:val="0"/>
          <w:numId w:val="0"/>
        </w:numPr>
        <w:spacing w:before="0" w:line="240" w:lineRule="auto"/>
        <w:rPr>
          <w:lang w:val="en-US"/>
        </w:rPr>
      </w:pPr>
      <w:bookmarkStart w:id="59" w:name="_Toc384815506"/>
      <w:r w:rsidRPr="00996EE8">
        <w:rPr>
          <w:szCs w:val="21"/>
          <w:lang w:val="en-US"/>
        </w:rPr>
        <w:t>Hazardous substances assessment in the WFD</w:t>
      </w:r>
      <w:bookmarkEnd w:id="59"/>
    </w:p>
    <w:p w:rsidR="00943AF1" w:rsidRDefault="00996EE8" w:rsidP="00987279">
      <w:pPr>
        <w:spacing w:line="240" w:lineRule="auto"/>
        <w:rPr>
          <w:szCs w:val="21"/>
          <w:lang w:val="en-US"/>
        </w:rPr>
      </w:pPr>
      <w:r w:rsidRPr="00996EE8">
        <w:rPr>
          <w:szCs w:val="21"/>
          <w:lang w:val="en-US"/>
        </w:rPr>
        <w:t xml:space="preserve">Article 16 of the Water Framework Directive 2000/60/EC requires the establishment of a list of priority substances, to be selected amongst those presenting a significant risk to or via the aquatic environment at EU level. </w:t>
      </w:r>
      <w:r w:rsidR="00E04463" w:rsidRPr="00E04463">
        <w:rPr>
          <w:szCs w:val="21"/>
          <w:lang w:val="en-US"/>
        </w:rPr>
        <w:t>Risk to or via the aquatic environment is identified by: (a) risk assessment carried out under Council Regulation (EEC) No 793/93 (1), Council Directive 91/414/EEC (2), and Directive 98/8/EC of the European Parliament and of the Council (3), or (b) targeted risk-based assessment (following the methodology of Regulation (EEC) No 793/93) focusing solely on aquatic ecotoxicity and on human toxicity via the aquatic environment. When necessary in order to meet the timetable set by WFD, risk to, or via the aquatic environment, can be identified by a simplified risk-based assessment procedure based on scientific principl</w:t>
      </w:r>
      <w:r w:rsidR="00943AF1">
        <w:rPr>
          <w:szCs w:val="21"/>
          <w:lang w:val="en-US"/>
        </w:rPr>
        <w:t>es taking particular account of</w:t>
      </w:r>
      <w:r w:rsidR="00E04463" w:rsidRPr="00E04463">
        <w:rPr>
          <w:szCs w:val="21"/>
          <w:lang w:val="en-US"/>
        </w:rPr>
        <w:t xml:space="preserve"> evidence regarding the intrinsic haz</w:t>
      </w:r>
      <w:r w:rsidR="00943AF1">
        <w:rPr>
          <w:szCs w:val="21"/>
          <w:lang w:val="en-US"/>
        </w:rPr>
        <w:t xml:space="preserve">ard of the substance concerned </w:t>
      </w:r>
      <w:r w:rsidR="00E04463" w:rsidRPr="00E04463">
        <w:rPr>
          <w:szCs w:val="21"/>
          <w:lang w:val="en-US"/>
        </w:rPr>
        <w:t xml:space="preserve">and in particular its aquatic ecotoxicity and human toxicity via aquatic exposure routes, and evidence from monitoring of widespread environmental contamination and other proven factors which may indicate the possibility of widespread environmental contamination, </w:t>
      </w:r>
    </w:p>
    <w:p w:rsidR="0026180A" w:rsidRPr="00996EE8" w:rsidRDefault="00996EE8" w:rsidP="00987279">
      <w:pPr>
        <w:spacing w:line="240" w:lineRule="auto"/>
        <w:rPr>
          <w:szCs w:val="21"/>
          <w:lang w:val="en-US"/>
        </w:rPr>
      </w:pPr>
      <w:r w:rsidRPr="00996EE8">
        <w:rPr>
          <w:szCs w:val="21"/>
          <w:lang w:val="en-US"/>
        </w:rPr>
        <w:t>Decision 2455/2001/EC established the First list, and Directive 2008/105/EC (the Environmental Quality Standards Directive – EQSD) set environmental</w:t>
      </w:r>
      <w:r w:rsidR="00E837A0">
        <w:rPr>
          <w:szCs w:val="21"/>
          <w:lang w:val="en-US"/>
        </w:rPr>
        <w:t xml:space="preserve"> quality standards (EQS) for </w:t>
      </w:r>
      <w:r w:rsidRPr="00996EE8">
        <w:rPr>
          <w:szCs w:val="21"/>
          <w:lang w:val="en-US"/>
        </w:rPr>
        <w:t>33 priority substances and certain other pollutants in surface waters (river, lake, transitional and coastal). According to Annex V, point 1.4.3 of the WFD and Article 1 of the EQSD, good chemical status is reached for a water body when it complies with the EQS for all the priority substances and other pollutants listed in Annex I of the EQSD. Directive 2013/39/EU amended Directives 2000/60/EC and 2008/105/EC as regards priority substances</w:t>
      </w:r>
      <w:r>
        <w:rPr>
          <w:szCs w:val="21"/>
          <w:lang w:val="en-US"/>
        </w:rPr>
        <w:t>,</w:t>
      </w:r>
      <w:r w:rsidRPr="00996EE8">
        <w:rPr>
          <w:szCs w:val="21"/>
          <w:lang w:val="en-US"/>
        </w:rPr>
        <w:t xml:space="preserve"> adding 8 substances in the list.</w:t>
      </w:r>
    </w:p>
    <w:p w:rsidR="004B48B8" w:rsidRDefault="004B48B8" w:rsidP="00987279">
      <w:pPr>
        <w:spacing w:line="240" w:lineRule="auto"/>
        <w:rPr>
          <w:b/>
          <w:szCs w:val="21"/>
          <w:lang w:val="en-US"/>
        </w:rPr>
      </w:pPr>
    </w:p>
    <w:p w:rsidR="00CD4F68" w:rsidRDefault="00CD4F68" w:rsidP="00987279">
      <w:pPr>
        <w:spacing w:line="240" w:lineRule="auto"/>
        <w:rPr>
          <w:b/>
          <w:szCs w:val="21"/>
          <w:lang w:val="en-US"/>
        </w:rPr>
      </w:pPr>
      <w:r>
        <w:rPr>
          <w:b/>
          <w:szCs w:val="21"/>
          <w:lang w:val="en-US"/>
        </w:rPr>
        <w:t>EEA</w:t>
      </w:r>
      <w:r w:rsidR="00F464B3">
        <w:rPr>
          <w:b/>
          <w:szCs w:val="21"/>
          <w:lang w:val="en-US"/>
        </w:rPr>
        <w:t xml:space="preserve"> </w:t>
      </w:r>
      <w:r w:rsidR="006F13CA" w:rsidRPr="006F13CA">
        <w:rPr>
          <w:b/>
          <w:szCs w:val="21"/>
          <w:lang w:val="en-US"/>
        </w:rPr>
        <w:t>indicator Hazardous substances in marine organisms</w:t>
      </w:r>
    </w:p>
    <w:p w:rsidR="0021520E" w:rsidRPr="0021520E" w:rsidRDefault="006E6FCC" w:rsidP="0021520E">
      <w:pPr>
        <w:spacing w:line="240" w:lineRule="auto"/>
        <w:rPr>
          <w:szCs w:val="21"/>
          <w:lang w:val="en-US"/>
        </w:rPr>
      </w:pPr>
      <w:r>
        <w:rPr>
          <w:szCs w:val="21"/>
          <w:lang w:val="en-US"/>
        </w:rPr>
        <w:t>The EEA indicator Hazardous substances in marine organisms (MAR 001)</w:t>
      </w:r>
      <w:r w:rsidRPr="006E6FCC">
        <w:rPr>
          <w:szCs w:val="21"/>
          <w:lang w:val="en-US"/>
        </w:rPr>
        <w:t xml:space="preserve"> describes the levels and trends in European seas of </w:t>
      </w:r>
      <w:r>
        <w:rPr>
          <w:szCs w:val="21"/>
          <w:lang w:val="en-US"/>
        </w:rPr>
        <w:t xml:space="preserve">hazardous substances </w:t>
      </w:r>
      <w:r w:rsidRPr="006E6FCC">
        <w:rPr>
          <w:szCs w:val="21"/>
          <w:lang w:val="en-US"/>
        </w:rPr>
        <w:t>concentrations in marine biota, based on the individual assessment of monitoring data for the following substances:</w:t>
      </w:r>
      <w:r>
        <w:rPr>
          <w:szCs w:val="21"/>
          <w:lang w:val="en-US"/>
        </w:rPr>
        <w:t xml:space="preserve"> </w:t>
      </w:r>
      <w:r w:rsidRPr="001131C0">
        <w:rPr>
          <w:szCs w:val="21"/>
          <w:lang w:val="en-US"/>
        </w:rPr>
        <w:t>Cadmium, Lead, Mercury, DDE, p,p', Gamma-HCH (Lindane), Hexachlorobenzene (HCB), PCB101 (2,2',4,5,5'-pentachlorobiphenyl), PCB118, PCB138 (2,2',3,4,4',5'-hexachlorobiphenyl), PCB153 (2,2',4,4',5,5'-hexachlorobiphenyl), PCB180 (2,2',3,4,4',5,5'-heptachlorobiphenyl), PCB28 (2,4,4'-trichlorobiphenyl), PCB52 (2,2',5,5'-tetrachlorobiphenyl)</w:t>
      </w:r>
      <w:r w:rsidR="0021520E">
        <w:rPr>
          <w:szCs w:val="21"/>
          <w:lang w:val="en-US"/>
        </w:rPr>
        <w:t xml:space="preserve">. </w:t>
      </w:r>
      <w:r w:rsidR="0021520E" w:rsidRPr="0021520E">
        <w:rPr>
          <w:szCs w:val="21"/>
          <w:lang w:val="en-US"/>
        </w:rPr>
        <w:t>The indicator is based on data for substances measured in Atlantic herring (</w:t>
      </w:r>
      <w:r w:rsidR="0021520E" w:rsidRPr="006F13CA">
        <w:rPr>
          <w:i/>
          <w:szCs w:val="21"/>
          <w:lang w:val="en-US"/>
        </w:rPr>
        <w:t>Clupea harengus</w:t>
      </w:r>
      <w:r w:rsidR="0021520E" w:rsidRPr="0021520E">
        <w:rPr>
          <w:szCs w:val="21"/>
          <w:lang w:val="en-US"/>
        </w:rPr>
        <w:t>)</w:t>
      </w:r>
    </w:p>
    <w:p w:rsidR="0021520E" w:rsidRPr="0021520E" w:rsidRDefault="0021520E" w:rsidP="0021520E">
      <w:pPr>
        <w:spacing w:line="240" w:lineRule="auto"/>
        <w:rPr>
          <w:szCs w:val="21"/>
          <w:lang w:val="en-US"/>
        </w:rPr>
      </w:pPr>
      <w:r>
        <w:rPr>
          <w:szCs w:val="21"/>
          <w:lang w:val="en-US"/>
        </w:rPr>
        <w:t xml:space="preserve">in the </w:t>
      </w:r>
      <w:r w:rsidRPr="0021520E">
        <w:rPr>
          <w:szCs w:val="21"/>
          <w:lang w:val="en-US"/>
        </w:rPr>
        <w:t>Baltic Sea</w:t>
      </w:r>
      <w:r>
        <w:rPr>
          <w:szCs w:val="21"/>
          <w:lang w:val="en-US"/>
        </w:rPr>
        <w:t xml:space="preserve">, </w:t>
      </w:r>
      <w:r w:rsidRPr="0021520E">
        <w:rPr>
          <w:szCs w:val="21"/>
          <w:lang w:val="en-US"/>
        </w:rPr>
        <w:t>blue mussel (</w:t>
      </w:r>
      <w:r w:rsidRPr="006F13CA">
        <w:rPr>
          <w:i/>
          <w:szCs w:val="21"/>
          <w:lang w:val="en-US"/>
        </w:rPr>
        <w:t>Mytilus edulis</w:t>
      </w:r>
      <w:r>
        <w:rPr>
          <w:szCs w:val="21"/>
          <w:lang w:val="en-US"/>
        </w:rPr>
        <w:t>), Atlantic cod (</w:t>
      </w:r>
      <w:r w:rsidRPr="006F13CA">
        <w:rPr>
          <w:i/>
          <w:szCs w:val="21"/>
          <w:lang w:val="en-US"/>
        </w:rPr>
        <w:t>Gadus morhua</w:t>
      </w:r>
      <w:r>
        <w:rPr>
          <w:szCs w:val="21"/>
          <w:lang w:val="en-US"/>
        </w:rPr>
        <w:t xml:space="preserve">) and </w:t>
      </w:r>
      <w:r w:rsidRPr="0021520E">
        <w:rPr>
          <w:szCs w:val="21"/>
          <w:lang w:val="en-US"/>
        </w:rPr>
        <w:t>flounder (</w:t>
      </w:r>
      <w:r w:rsidRPr="006F13CA">
        <w:rPr>
          <w:i/>
          <w:szCs w:val="21"/>
          <w:lang w:val="en-US"/>
        </w:rPr>
        <w:t>Platichtys flesus</w:t>
      </w:r>
      <w:r w:rsidRPr="0021520E">
        <w:rPr>
          <w:szCs w:val="21"/>
          <w:lang w:val="en-US"/>
        </w:rPr>
        <w:t>)</w:t>
      </w:r>
      <w:r>
        <w:rPr>
          <w:szCs w:val="21"/>
          <w:lang w:val="en-US"/>
        </w:rPr>
        <w:t xml:space="preserve"> in the  </w:t>
      </w:r>
      <w:r w:rsidRPr="0021520E">
        <w:rPr>
          <w:szCs w:val="21"/>
          <w:lang w:val="en-US"/>
        </w:rPr>
        <w:t>North-east Atlantic Ocean</w:t>
      </w:r>
      <w:r>
        <w:rPr>
          <w:szCs w:val="21"/>
          <w:lang w:val="en-US"/>
        </w:rPr>
        <w:t>,  the</w:t>
      </w:r>
      <w:r w:rsidRPr="0021520E">
        <w:rPr>
          <w:szCs w:val="21"/>
          <w:lang w:val="en-US"/>
        </w:rPr>
        <w:t xml:space="preserve"> Mediterranean mussel (</w:t>
      </w:r>
      <w:r w:rsidRPr="006F13CA">
        <w:rPr>
          <w:i/>
          <w:szCs w:val="21"/>
          <w:lang w:val="en-US"/>
        </w:rPr>
        <w:t>Mytilus galloprovinicialis</w:t>
      </w:r>
      <w:r w:rsidRPr="0021520E">
        <w:rPr>
          <w:szCs w:val="21"/>
          <w:lang w:val="en-US"/>
        </w:rPr>
        <w:t>)</w:t>
      </w:r>
      <w:r>
        <w:rPr>
          <w:szCs w:val="21"/>
          <w:lang w:val="en-US"/>
        </w:rPr>
        <w:t xml:space="preserve"> in the</w:t>
      </w:r>
      <w:r w:rsidRPr="0021520E">
        <w:rPr>
          <w:szCs w:val="21"/>
          <w:lang w:val="en-US"/>
        </w:rPr>
        <w:t xml:space="preserve"> Mediterranean Sea </w:t>
      </w:r>
      <w:r>
        <w:rPr>
          <w:szCs w:val="21"/>
          <w:lang w:val="en-US"/>
        </w:rPr>
        <w:t>and the Black Sea.</w:t>
      </w:r>
    </w:p>
    <w:p w:rsidR="00CF776E" w:rsidRDefault="0021520E" w:rsidP="0021520E">
      <w:pPr>
        <w:spacing w:line="240" w:lineRule="auto"/>
        <w:rPr>
          <w:szCs w:val="21"/>
          <w:lang w:val="en-US"/>
        </w:rPr>
      </w:pPr>
      <w:r w:rsidRPr="0021520E">
        <w:rPr>
          <w:szCs w:val="21"/>
          <w:lang w:val="en-US"/>
        </w:rPr>
        <w:lastRenderedPageBreak/>
        <w:t>The data used in this indicator is part of the WISE - State of the Environment (SoE) data, available in Waterbase - TCM (Transitional, Coastal and Marine) waters</w:t>
      </w:r>
      <w:r>
        <w:rPr>
          <w:szCs w:val="21"/>
          <w:lang w:val="en-US"/>
        </w:rPr>
        <w:t xml:space="preserve">. </w:t>
      </w:r>
      <w:r w:rsidRPr="0021520E">
        <w:rPr>
          <w:szCs w:val="21"/>
          <w:lang w:val="en-US"/>
        </w:rPr>
        <w:t>There is generally good data coverage for concentrations in the north-east Atlantic, except for Portugal, and in the Baltic</w:t>
      </w:r>
      <w:r w:rsidR="00CC56DA">
        <w:rPr>
          <w:szCs w:val="21"/>
          <w:lang w:val="en-US"/>
        </w:rPr>
        <w:t xml:space="preserve"> Sea.T</w:t>
      </w:r>
      <w:r w:rsidRPr="0021520E">
        <w:rPr>
          <w:szCs w:val="21"/>
          <w:lang w:val="en-US"/>
        </w:rPr>
        <w:t>he Mediterranean Sea was only represented by data</w:t>
      </w:r>
      <w:r w:rsidR="00CC56DA">
        <w:rPr>
          <w:szCs w:val="21"/>
          <w:lang w:val="en-US"/>
        </w:rPr>
        <w:t xml:space="preserve"> from Croatia, France and Italy and f</w:t>
      </w:r>
      <w:r w:rsidRPr="0021520E">
        <w:rPr>
          <w:szCs w:val="21"/>
          <w:lang w:val="en-US"/>
        </w:rPr>
        <w:t>or the Black Sea, the only available data were Romanian mussel data</w:t>
      </w:r>
      <w:r>
        <w:rPr>
          <w:szCs w:val="21"/>
          <w:lang w:val="en-US"/>
        </w:rPr>
        <w:t xml:space="preserve">. </w:t>
      </w:r>
    </w:p>
    <w:p w:rsidR="0021520E" w:rsidRPr="0021520E" w:rsidRDefault="00CF776E" w:rsidP="0021520E">
      <w:pPr>
        <w:spacing w:line="240" w:lineRule="auto"/>
        <w:rPr>
          <w:szCs w:val="21"/>
          <w:lang w:val="en-US"/>
        </w:rPr>
      </w:pPr>
      <w:r>
        <w:rPr>
          <w:szCs w:val="21"/>
          <w:lang w:val="en-US"/>
        </w:rPr>
        <w:t xml:space="preserve">Details on methodologies for calculation of this indicator can be found at </w:t>
      </w:r>
      <w:r w:rsidRPr="00CF776E">
        <w:rPr>
          <w:szCs w:val="21"/>
          <w:lang w:val="en-US"/>
        </w:rPr>
        <w:t>http://www.eea.europa.eu/data-and-maps/indicators/hazardous-substances-in-marine-organisms/hazardous-substances-in-marine-organisms-3</w:t>
      </w:r>
    </w:p>
    <w:p w:rsidR="0026180A" w:rsidRPr="00FC64E6" w:rsidRDefault="0026180A" w:rsidP="00290633">
      <w:pPr>
        <w:pStyle w:val="Heading2"/>
        <w:rPr>
          <w:lang w:val="en-US"/>
        </w:rPr>
      </w:pPr>
      <w:r w:rsidRPr="00FC64E6">
        <w:rPr>
          <w:lang w:val="en-US"/>
        </w:rPr>
        <w:t>RSCs data streams analysis for identifying hazardous substances indicators</w:t>
      </w:r>
    </w:p>
    <w:p w:rsidR="00FC64E6" w:rsidRDefault="00FC64E6" w:rsidP="00987279">
      <w:pPr>
        <w:spacing w:line="240" w:lineRule="auto"/>
        <w:rPr>
          <w:szCs w:val="21"/>
          <w:lang w:val="en-US"/>
        </w:rPr>
      </w:pPr>
    </w:p>
    <w:p w:rsidR="0026180A" w:rsidRPr="00F2534A" w:rsidRDefault="0026180A" w:rsidP="00987279">
      <w:pPr>
        <w:spacing w:line="240" w:lineRule="auto"/>
        <w:rPr>
          <w:szCs w:val="21"/>
          <w:lang w:val="en-US"/>
        </w:rPr>
      </w:pPr>
      <w:r w:rsidRPr="00F2534A">
        <w:rPr>
          <w:szCs w:val="21"/>
          <w:lang w:val="en-US"/>
        </w:rPr>
        <w:t>ICES is the responsible data centre for the marine environmental monitoring data of HELCOM and OSPAR. Contracting Parties are obliged to report CEMP and COMBINE monitoring data to ICES on an annual basis by 15 September every year using the agreed reporting formats. The submission is done by email. Data are organized in relational data base and the metadata are ISO19115 compliant. Both data and their metadata are available on-line through Web Services. HELCOM pollution load compilation database is hosted and maintained by HELCOM data consultant SYKE with direct email submissions on riverborne, coastal and point source loads by 1th of November every year and more detailed reporting including sources on land approximately every sixth year. MORS Radionuclide discharge database (Including discharges of Cesium-137) from nuclear installations is hosted by Finnish radiation safety authority STUK and MORS environmental database containing information on radionuclide concentrations in water and biota by HELCOM secretariat. Radionuclide data is reported by email once a year by 1</w:t>
      </w:r>
      <w:r w:rsidRPr="00F2534A">
        <w:rPr>
          <w:szCs w:val="21"/>
          <w:vertAlign w:val="superscript"/>
          <w:lang w:val="en-US"/>
        </w:rPr>
        <w:t>st</w:t>
      </w:r>
      <w:r w:rsidRPr="00F2534A">
        <w:rPr>
          <w:szCs w:val="21"/>
          <w:lang w:val="en-US"/>
        </w:rPr>
        <w:t xml:space="preserve">of September. </w:t>
      </w:r>
    </w:p>
    <w:p w:rsidR="00943AF1" w:rsidRDefault="00943AF1" w:rsidP="00987279">
      <w:pPr>
        <w:spacing w:line="240" w:lineRule="auto"/>
        <w:rPr>
          <w:szCs w:val="21"/>
          <w:lang w:val="en-US"/>
        </w:rPr>
      </w:pPr>
    </w:p>
    <w:p w:rsidR="00943AF1" w:rsidRDefault="00943AF1" w:rsidP="00987279">
      <w:pPr>
        <w:spacing w:line="240" w:lineRule="auto"/>
        <w:rPr>
          <w:szCs w:val="21"/>
          <w:lang w:val="en-US"/>
        </w:rPr>
      </w:pPr>
      <w:r>
        <w:rPr>
          <w:szCs w:val="21"/>
          <w:lang w:val="en-US"/>
        </w:rPr>
        <w:t>HELCOM</w:t>
      </w:r>
    </w:p>
    <w:p w:rsidR="0026180A" w:rsidRPr="00F2534A" w:rsidRDefault="0026180A" w:rsidP="00987279">
      <w:pPr>
        <w:spacing w:line="240" w:lineRule="auto"/>
        <w:rPr>
          <w:szCs w:val="21"/>
          <w:lang w:val="en-US"/>
        </w:rPr>
      </w:pPr>
      <w:r w:rsidRPr="00F2534A">
        <w:rPr>
          <w:szCs w:val="21"/>
          <w:lang w:val="en-US"/>
        </w:rPr>
        <w:t>Information on the parameters on hazardous substances that the HELCOM data streams include can be found below:</w:t>
      </w:r>
    </w:p>
    <w:p w:rsidR="0026180A" w:rsidRPr="00F2534A" w:rsidRDefault="0026180A" w:rsidP="00987279">
      <w:pPr>
        <w:pStyle w:val="ListParagraph"/>
        <w:numPr>
          <w:ilvl w:val="0"/>
          <w:numId w:val="33"/>
        </w:numPr>
        <w:spacing w:line="240" w:lineRule="auto"/>
        <w:rPr>
          <w:szCs w:val="21"/>
          <w:lang w:val="en-US"/>
        </w:rPr>
      </w:pPr>
      <w:r w:rsidRPr="00F2534A">
        <w:rPr>
          <w:szCs w:val="21"/>
          <w:lang w:val="en-US"/>
        </w:rPr>
        <w:t>HELCOM COMBINE database holding data on hazardous substances in sediment, seawater and biota</w:t>
      </w:r>
    </w:p>
    <w:p w:rsidR="0026180A" w:rsidRPr="00F2534A" w:rsidRDefault="0026180A" w:rsidP="00987279">
      <w:pPr>
        <w:pStyle w:val="ListParagraph"/>
        <w:numPr>
          <w:ilvl w:val="0"/>
          <w:numId w:val="33"/>
        </w:numPr>
        <w:spacing w:line="240" w:lineRule="auto"/>
        <w:rPr>
          <w:szCs w:val="21"/>
          <w:lang w:val="en-US"/>
        </w:rPr>
      </w:pPr>
      <w:r w:rsidRPr="00F2534A">
        <w:rPr>
          <w:szCs w:val="21"/>
          <w:lang w:val="en-US"/>
        </w:rPr>
        <w:t>HELCOM Pollution Load Compilation 5.5 (PLC 5.5) dataset containing all waterborne nutrient and hazardous substances loads gathered by HELCOM contracting parties within pollution load monitoring</w:t>
      </w:r>
      <w:r w:rsidRPr="00F2534A">
        <w:rPr>
          <w:szCs w:val="21"/>
          <w:vertAlign w:val="superscript"/>
          <w:lang w:val="en-US"/>
        </w:rPr>
        <w:t>1</w:t>
      </w:r>
    </w:p>
    <w:p w:rsidR="0026180A" w:rsidRPr="00F2534A" w:rsidRDefault="0026180A" w:rsidP="00987279">
      <w:pPr>
        <w:pStyle w:val="ListParagraph"/>
        <w:numPr>
          <w:ilvl w:val="0"/>
          <w:numId w:val="33"/>
        </w:numPr>
        <w:spacing w:line="240" w:lineRule="auto"/>
        <w:rPr>
          <w:szCs w:val="21"/>
          <w:lang w:val="en-US"/>
        </w:rPr>
      </w:pPr>
      <w:r w:rsidRPr="00F2534A">
        <w:rPr>
          <w:szCs w:val="21"/>
          <w:lang w:val="en-US"/>
        </w:rPr>
        <w:t>HELCOM Pollution Load Compilation 6 (PLC 6) ongoing comprehensive assessment of water- and airborne inputs and their sources to the Baltic Sea during the period 1994-2014 with more detailed assessment for 2014</w:t>
      </w:r>
      <w:r w:rsidRPr="00F2534A">
        <w:rPr>
          <w:szCs w:val="21"/>
          <w:vertAlign w:val="superscript"/>
          <w:lang w:val="en-US"/>
        </w:rPr>
        <w:t>1</w:t>
      </w:r>
    </w:p>
    <w:p w:rsidR="0026180A" w:rsidRPr="00F2534A" w:rsidRDefault="0026180A" w:rsidP="00987279">
      <w:pPr>
        <w:pStyle w:val="ListParagraph"/>
        <w:numPr>
          <w:ilvl w:val="0"/>
          <w:numId w:val="33"/>
        </w:numPr>
        <w:spacing w:line="240" w:lineRule="auto"/>
        <w:rPr>
          <w:szCs w:val="21"/>
          <w:lang w:val="en-US"/>
        </w:rPr>
      </w:pPr>
      <w:r w:rsidRPr="00F2534A">
        <w:rPr>
          <w:szCs w:val="21"/>
          <w:lang w:val="en-US"/>
        </w:rPr>
        <w:t>HELCOM Monitoring of Radioactive Substances Expert Group (HELCOM MORS EG) reporting to HELCOM MORS environmental database that holds data on radioactive substance concentrations in Baltic Sea seawater, sediment and biota</w:t>
      </w:r>
      <w:r w:rsidRPr="00F2534A">
        <w:rPr>
          <w:szCs w:val="21"/>
          <w:vertAlign w:val="superscript"/>
          <w:lang w:val="en-US"/>
        </w:rPr>
        <w:t>2</w:t>
      </w:r>
    </w:p>
    <w:p w:rsidR="0026180A" w:rsidRPr="00F2534A" w:rsidRDefault="0026180A" w:rsidP="00987279">
      <w:pPr>
        <w:pStyle w:val="ListParagraph"/>
        <w:numPr>
          <w:ilvl w:val="0"/>
          <w:numId w:val="33"/>
        </w:numPr>
        <w:spacing w:line="240" w:lineRule="auto"/>
        <w:rPr>
          <w:szCs w:val="21"/>
          <w:lang w:val="en-US"/>
        </w:rPr>
      </w:pPr>
      <w:r w:rsidRPr="00F2534A">
        <w:rPr>
          <w:szCs w:val="21"/>
          <w:lang w:val="en-US"/>
        </w:rPr>
        <w:t>HELCOM Monitoring of Radioactive Substances Expert Group (HELCOM MORS EG) reporting to HELCOM MORS discharge database</w:t>
      </w:r>
      <w:r w:rsidRPr="00F2534A">
        <w:rPr>
          <w:szCs w:val="21"/>
          <w:vertAlign w:val="superscript"/>
          <w:lang w:val="en-US"/>
        </w:rPr>
        <w:t>3</w:t>
      </w:r>
      <w:r w:rsidRPr="00F2534A">
        <w:rPr>
          <w:szCs w:val="21"/>
          <w:lang w:val="en-US"/>
        </w:rPr>
        <w:t>that holds data on discharges of radionuclides to the Baltic Sea</w:t>
      </w:r>
      <w:r w:rsidRPr="00F2534A">
        <w:rPr>
          <w:szCs w:val="21"/>
          <w:vertAlign w:val="superscript"/>
          <w:lang w:val="en-US"/>
        </w:rPr>
        <w:t>3</w:t>
      </w:r>
    </w:p>
    <w:p w:rsidR="0026180A" w:rsidRPr="00F2534A" w:rsidRDefault="0026180A" w:rsidP="00987279">
      <w:pPr>
        <w:spacing w:line="240" w:lineRule="auto"/>
        <w:rPr>
          <w:szCs w:val="21"/>
          <w:lang w:val="en-US"/>
        </w:rPr>
      </w:pPr>
      <w:r w:rsidRPr="00F2534A">
        <w:rPr>
          <w:szCs w:val="21"/>
          <w:vertAlign w:val="superscript"/>
          <w:lang w:val="en-US"/>
        </w:rPr>
        <w:t>1</w:t>
      </w:r>
      <w:r w:rsidRPr="00F2534A">
        <w:rPr>
          <w:szCs w:val="21"/>
          <w:lang w:val="en-US"/>
        </w:rPr>
        <w:t xml:space="preserve">CP submissions to HELCOM data consultant (SYKE) by </w:t>
      </w:r>
      <w:r w:rsidR="00580600" w:rsidRPr="00F2534A">
        <w:rPr>
          <w:szCs w:val="21"/>
          <w:lang w:val="en-US"/>
        </w:rPr>
        <w:t>email. Currently</w:t>
      </w:r>
      <w:r w:rsidRPr="00F2534A">
        <w:rPr>
          <w:szCs w:val="21"/>
          <w:lang w:val="en-US"/>
        </w:rPr>
        <w:t xml:space="preserve"> there is no online access point. Need for developing SQL database and interface to modernize reporting, QA and maximize the use of and access to data. The development work is underway in HELCOM PLUS project.</w:t>
      </w:r>
    </w:p>
    <w:p w:rsidR="0026180A" w:rsidRPr="00F2534A" w:rsidRDefault="0026180A" w:rsidP="00987279">
      <w:pPr>
        <w:spacing w:line="240" w:lineRule="auto"/>
        <w:rPr>
          <w:szCs w:val="21"/>
          <w:lang w:val="en-US"/>
        </w:rPr>
      </w:pPr>
      <w:r w:rsidRPr="00F2534A">
        <w:rPr>
          <w:szCs w:val="21"/>
          <w:vertAlign w:val="superscript"/>
          <w:lang w:val="en-US"/>
        </w:rPr>
        <w:t xml:space="preserve">2 </w:t>
      </w:r>
      <w:r w:rsidRPr="00F2534A">
        <w:rPr>
          <w:szCs w:val="21"/>
          <w:lang w:val="en-US"/>
        </w:rPr>
        <w:t>CP submission to HELCOM secretariat</w:t>
      </w:r>
    </w:p>
    <w:p w:rsidR="0026180A" w:rsidRPr="00F2534A" w:rsidRDefault="0026180A" w:rsidP="00987279">
      <w:pPr>
        <w:spacing w:line="240" w:lineRule="auto"/>
        <w:rPr>
          <w:szCs w:val="21"/>
          <w:lang w:val="en-US"/>
        </w:rPr>
      </w:pPr>
      <w:r w:rsidRPr="00F2534A">
        <w:rPr>
          <w:szCs w:val="21"/>
          <w:vertAlign w:val="superscript"/>
          <w:lang w:val="en-US"/>
        </w:rPr>
        <w:t>3</w:t>
      </w:r>
      <w:r w:rsidRPr="00F2534A">
        <w:rPr>
          <w:szCs w:val="21"/>
          <w:lang w:val="en-US"/>
        </w:rPr>
        <w:t>CP submission to HELCOM data consultant (STUK, Finnish Radiation and Nuclear Safety Authority)</w:t>
      </w:r>
    </w:p>
    <w:p w:rsidR="0026180A" w:rsidRDefault="0026180A" w:rsidP="00987279">
      <w:pPr>
        <w:spacing w:line="240" w:lineRule="auto"/>
        <w:rPr>
          <w:szCs w:val="21"/>
          <w:lang w:val="en-US"/>
        </w:rPr>
      </w:pPr>
    </w:p>
    <w:p w:rsidR="0089205E" w:rsidRDefault="0089205E" w:rsidP="00987279">
      <w:pPr>
        <w:spacing w:line="240" w:lineRule="auto"/>
        <w:rPr>
          <w:szCs w:val="21"/>
          <w:lang w:val="en-US"/>
        </w:rPr>
      </w:pPr>
    </w:p>
    <w:p w:rsidR="0089205E" w:rsidRPr="00F2534A" w:rsidRDefault="0089205E" w:rsidP="00987279">
      <w:pPr>
        <w:spacing w:line="240" w:lineRule="auto"/>
        <w:rPr>
          <w:szCs w:val="21"/>
          <w:lang w:val="en-US"/>
        </w:rPr>
      </w:pPr>
    </w:p>
    <w:p w:rsidR="00943AF1" w:rsidRDefault="00943AF1" w:rsidP="00987279">
      <w:pPr>
        <w:spacing w:line="240" w:lineRule="auto"/>
        <w:rPr>
          <w:szCs w:val="21"/>
          <w:lang w:val="en-US"/>
        </w:rPr>
      </w:pPr>
      <w:r>
        <w:rPr>
          <w:szCs w:val="21"/>
          <w:lang w:val="en-US"/>
        </w:rPr>
        <w:lastRenderedPageBreak/>
        <w:t>OSPAR</w:t>
      </w:r>
    </w:p>
    <w:p w:rsidR="0026180A" w:rsidRPr="00F2534A" w:rsidRDefault="0026180A" w:rsidP="00987279">
      <w:pPr>
        <w:spacing w:line="240" w:lineRule="auto"/>
        <w:rPr>
          <w:szCs w:val="21"/>
          <w:lang w:val="en-US"/>
        </w:rPr>
      </w:pPr>
      <w:r w:rsidRPr="00F2534A">
        <w:rPr>
          <w:szCs w:val="21"/>
          <w:lang w:val="en-US"/>
        </w:rPr>
        <w:t>Information on the parameters on hazardous substances that the OSPAR data streams include can be found below:</w:t>
      </w:r>
    </w:p>
    <w:p w:rsidR="0026180A" w:rsidRPr="00F2534A" w:rsidRDefault="0026180A" w:rsidP="00987279">
      <w:pPr>
        <w:pStyle w:val="ListParagraph"/>
        <w:numPr>
          <w:ilvl w:val="0"/>
          <w:numId w:val="31"/>
        </w:numPr>
        <w:spacing w:line="240" w:lineRule="auto"/>
        <w:rPr>
          <w:szCs w:val="21"/>
          <w:lang w:val="en-US"/>
        </w:rPr>
      </w:pPr>
      <w:r w:rsidRPr="00F2534A">
        <w:rPr>
          <w:szCs w:val="21"/>
          <w:lang w:val="en-US"/>
        </w:rPr>
        <w:t>“Comprehensive Atmospheric Monitoring Programme (</w:t>
      </w:r>
      <w:r w:rsidR="004B48B8">
        <w:rPr>
          <w:szCs w:val="21"/>
          <w:lang w:val="en-US"/>
        </w:rPr>
        <w:t xml:space="preserve">CAMP)” includes data and model </w:t>
      </w:r>
      <w:r w:rsidRPr="00F2534A">
        <w:rPr>
          <w:szCs w:val="21"/>
          <w:lang w:val="en-US"/>
        </w:rPr>
        <w:t xml:space="preserve">results on wet and dry deposition of hazardous substances. </w:t>
      </w:r>
    </w:p>
    <w:p w:rsidR="0026180A" w:rsidRPr="00F2534A" w:rsidRDefault="0026180A" w:rsidP="00987279">
      <w:pPr>
        <w:pStyle w:val="ListParagraph"/>
        <w:numPr>
          <w:ilvl w:val="0"/>
          <w:numId w:val="31"/>
        </w:numPr>
        <w:spacing w:line="240" w:lineRule="auto"/>
        <w:rPr>
          <w:szCs w:val="21"/>
          <w:lang w:val="en-US"/>
        </w:rPr>
      </w:pPr>
      <w:r w:rsidRPr="00F2534A">
        <w:rPr>
          <w:szCs w:val="21"/>
          <w:lang w:val="en-US"/>
        </w:rPr>
        <w:t xml:space="preserve">“Comprehensive Study of Riverine Inputs and direct Discharges (RID)” includes data compilations of yearly loads of hazardous substances (Cd, Hg, Cu, Pb, Zn, g-HCH, PCBs) based on measurements (large rivers) and estimateds (smaller tributaries). </w:t>
      </w:r>
    </w:p>
    <w:p w:rsidR="0026180A" w:rsidRDefault="0026180A" w:rsidP="00987279">
      <w:pPr>
        <w:pStyle w:val="ListParagraph"/>
        <w:numPr>
          <w:ilvl w:val="0"/>
          <w:numId w:val="31"/>
        </w:numPr>
        <w:spacing w:line="240" w:lineRule="auto"/>
        <w:rPr>
          <w:szCs w:val="21"/>
          <w:lang w:val="en-US"/>
        </w:rPr>
      </w:pPr>
      <w:r w:rsidRPr="00F2534A">
        <w:rPr>
          <w:szCs w:val="21"/>
          <w:lang w:val="en-US"/>
        </w:rPr>
        <w:t xml:space="preserve"> “Comprehensive Environmental Monitoring Programme (CEMP)” contains data on Metals and metalloids, Organobromines, Chlorobiphenyls, Organochlorines (general), Dichloro-diphenyl-trichloroethane (DDTs), Cyclodienes, Dioxins, Hexachlorocyclohexanes, Organic esters, Organofluorines, Pesticides (general), Major organic constituents, Organo-metallic compounds, Polycyclic aromatic hydrocarbons (PAHs). </w:t>
      </w:r>
    </w:p>
    <w:p w:rsidR="0026180A" w:rsidRDefault="0026180A" w:rsidP="00987279">
      <w:pPr>
        <w:pStyle w:val="ListParagraph"/>
        <w:spacing w:line="240" w:lineRule="auto"/>
        <w:rPr>
          <w:szCs w:val="21"/>
          <w:lang w:val="en-US"/>
        </w:rPr>
      </w:pPr>
    </w:p>
    <w:p w:rsidR="006F13CA" w:rsidRPr="00F2534A" w:rsidRDefault="006F13CA" w:rsidP="00987279">
      <w:pPr>
        <w:pStyle w:val="ListParagraph"/>
        <w:spacing w:line="240" w:lineRule="auto"/>
        <w:rPr>
          <w:szCs w:val="21"/>
          <w:lang w:val="en-US"/>
        </w:rPr>
      </w:pPr>
    </w:p>
    <w:p w:rsidR="00943AF1" w:rsidRDefault="00943AF1" w:rsidP="00987279">
      <w:pPr>
        <w:spacing w:line="240" w:lineRule="auto"/>
        <w:rPr>
          <w:szCs w:val="21"/>
          <w:lang w:val="en-US"/>
        </w:rPr>
      </w:pPr>
      <w:r>
        <w:rPr>
          <w:szCs w:val="21"/>
          <w:lang w:val="en-US"/>
        </w:rPr>
        <w:t>UNEP/MAP</w:t>
      </w:r>
    </w:p>
    <w:p w:rsidR="0026180A" w:rsidRPr="00F2534A" w:rsidRDefault="0026180A" w:rsidP="00987279">
      <w:pPr>
        <w:spacing w:line="240" w:lineRule="auto"/>
        <w:rPr>
          <w:szCs w:val="21"/>
          <w:lang w:val="en-US"/>
        </w:rPr>
      </w:pPr>
      <w:r w:rsidRPr="00F2534A">
        <w:rPr>
          <w:szCs w:val="21"/>
          <w:lang w:val="en-US"/>
        </w:rPr>
        <w:t xml:space="preserve">MED POL monitoring data reported by the Contracting Parties to UNEP/MAP-Barcelona Convention are held in the MED POL database (http://195.97.36.231/medpol/). The data are </w:t>
      </w:r>
      <w:r w:rsidR="00580600" w:rsidRPr="00F2534A">
        <w:rPr>
          <w:szCs w:val="21"/>
          <w:lang w:val="en-US"/>
        </w:rPr>
        <w:t>reported by</w:t>
      </w:r>
      <w:r w:rsidRPr="00F2534A">
        <w:rPr>
          <w:szCs w:val="21"/>
          <w:lang w:val="en-US"/>
        </w:rPr>
        <w:t xml:space="preserve"> the end of the year by email. However not all contracting parties report data on a regular basis and there are gaps both in terms of temporal and spatial coverage. The data are held in excel format. Metadata are standardized using internal conventions and rules. The MED POL Info System is a networked information system intended to provide the Contracting Parties and MED POL Unit with the tools to manage, share, preserve and analyse MED POL data to MED POL users. The Info System is not yet operational but it will soon be available.</w:t>
      </w:r>
    </w:p>
    <w:p w:rsidR="0026180A" w:rsidRPr="00F2534A" w:rsidRDefault="0026180A" w:rsidP="00987279">
      <w:pPr>
        <w:spacing w:line="240" w:lineRule="auto"/>
        <w:rPr>
          <w:szCs w:val="21"/>
          <w:lang w:val="en-US"/>
        </w:rPr>
      </w:pPr>
      <w:r w:rsidRPr="00F2534A">
        <w:rPr>
          <w:szCs w:val="21"/>
          <w:lang w:val="en-US"/>
        </w:rPr>
        <w:t>Information on the parameters that the UNEP/MAP data streams include can be found below:</w:t>
      </w:r>
    </w:p>
    <w:p w:rsidR="0026180A" w:rsidRPr="00F2534A" w:rsidRDefault="0026180A" w:rsidP="00987279">
      <w:pPr>
        <w:spacing w:line="240" w:lineRule="auto"/>
        <w:rPr>
          <w:color w:val="000000"/>
          <w:szCs w:val="21"/>
          <w:lang w:val="en-US" w:eastAsia="el-GR"/>
        </w:rPr>
      </w:pPr>
    </w:p>
    <w:p w:rsidR="0026180A" w:rsidRPr="00F2534A" w:rsidRDefault="0026180A" w:rsidP="00987279">
      <w:pPr>
        <w:pStyle w:val="ListParagraph"/>
        <w:numPr>
          <w:ilvl w:val="0"/>
          <w:numId w:val="29"/>
        </w:numPr>
        <w:spacing w:line="240" w:lineRule="auto"/>
        <w:ind w:left="714" w:hanging="357"/>
        <w:rPr>
          <w:color w:val="000000"/>
          <w:szCs w:val="21"/>
          <w:lang w:val="en-US" w:eastAsia="el-GR"/>
        </w:rPr>
      </w:pPr>
      <w:r w:rsidRPr="00F2534A">
        <w:rPr>
          <w:color w:val="000000"/>
          <w:szCs w:val="21"/>
          <w:lang w:val="en-US" w:eastAsia="el-GR"/>
        </w:rPr>
        <w:t>MED POL data base holding data on contaminants in sediments (Total mercury, total cadmium (mandatory), chromium, copper, lead, zinc, halogenated hydrocarbons, PAHs) Contaminants in biota (Total mercury, total cadmium (mandatory), halogenated hydrocarbons, PAHs, arsenic, chromium, copper, lead, zinc,) and biological effects (micronuclei frequency, DNA damage, EROD activity, lysosomal membrane stability and metallothionein content).</w:t>
      </w:r>
    </w:p>
    <w:p w:rsidR="0026180A" w:rsidRPr="00F2534A" w:rsidRDefault="0026180A" w:rsidP="00987279">
      <w:pPr>
        <w:pStyle w:val="ListParagraph"/>
        <w:numPr>
          <w:ilvl w:val="0"/>
          <w:numId w:val="29"/>
        </w:numPr>
        <w:spacing w:line="240" w:lineRule="auto"/>
        <w:ind w:left="714" w:hanging="357"/>
        <w:rPr>
          <w:color w:val="000000"/>
          <w:szCs w:val="21"/>
          <w:lang w:val="en-US" w:eastAsia="el-GR"/>
        </w:rPr>
      </w:pPr>
      <w:r w:rsidRPr="00F2534A">
        <w:rPr>
          <w:color w:val="000000"/>
          <w:szCs w:val="21"/>
          <w:lang w:val="en-US" w:eastAsia="el-GR"/>
        </w:rPr>
        <w:t>Land-based pollution sources database holding national data on pollutants industrial and municipal discharges</w:t>
      </w:r>
    </w:p>
    <w:p w:rsidR="0026180A" w:rsidRPr="00F2534A" w:rsidRDefault="0026180A" w:rsidP="00987279">
      <w:pPr>
        <w:pStyle w:val="ListParagraph"/>
        <w:numPr>
          <w:ilvl w:val="0"/>
          <w:numId w:val="29"/>
        </w:numPr>
        <w:spacing w:line="240" w:lineRule="auto"/>
        <w:ind w:left="714" w:hanging="357"/>
        <w:rPr>
          <w:color w:val="000000"/>
          <w:szCs w:val="21"/>
          <w:lang w:val="en-US" w:eastAsia="el-GR"/>
        </w:rPr>
      </w:pPr>
      <w:r w:rsidRPr="00F2534A">
        <w:rPr>
          <w:color w:val="000000"/>
          <w:szCs w:val="21"/>
          <w:lang w:val="en-US" w:eastAsia="el-GR"/>
        </w:rPr>
        <w:t>Regional Marine Pollution Emergency Response Centre (REMPEC )database on alerts and accidents in the Mediterranean Sea holding data on oil-related accidents reported since 1977 and  other hazardous and noxious substances (HNS) related accidents reported since 1988.</w:t>
      </w:r>
    </w:p>
    <w:p w:rsidR="006F13CA" w:rsidRDefault="006F13CA" w:rsidP="00943AF1">
      <w:pPr>
        <w:spacing w:line="240" w:lineRule="auto"/>
        <w:rPr>
          <w:color w:val="000000"/>
          <w:szCs w:val="21"/>
          <w:lang w:val="en-US" w:eastAsia="el-GR"/>
        </w:rPr>
      </w:pPr>
    </w:p>
    <w:p w:rsidR="0026180A" w:rsidRPr="00943AF1" w:rsidRDefault="00943AF1" w:rsidP="00943AF1">
      <w:pPr>
        <w:spacing w:line="240" w:lineRule="auto"/>
        <w:rPr>
          <w:color w:val="000000"/>
          <w:szCs w:val="21"/>
          <w:lang w:val="en-US" w:eastAsia="el-GR"/>
        </w:rPr>
      </w:pPr>
      <w:r w:rsidRPr="00943AF1">
        <w:rPr>
          <w:color w:val="000000"/>
          <w:szCs w:val="21"/>
          <w:lang w:val="en-US" w:eastAsia="el-GR"/>
        </w:rPr>
        <w:t>BSC</w:t>
      </w:r>
    </w:p>
    <w:p w:rsidR="0026180A" w:rsidRPr="00F2534A" w:rsidRDefault="0026180A" w:rsidP="00987279">
      <w:pPr>
        <w:pStyle w:val="ListParagraph"/>
        <w:spacing w:line="240" w:lineRule="auto"/>
        <w:ind w:left="0"/>
        <w:rPr>
          <w:rFonts w:eastAsia="Calibri"/>
          <w:szCs w:val="21"/>
          <w:lang w:val="en-US"/>
        </w:rPr>
      </w:pPr>
      <w:r w:rsidRPr="00F2534A">
        <w:rPr>
          <w:rFonts w:eastAsia="Calibri"/>
          <w:szCs w:val="21"/>
          <w:lang w:val="en-US"/>
        </w:rPr>
        <w:t>T</w:t>
      </w:r>
      <w:r w:rsidRPr="00F2534A">
        <w:rPr>
          <w:rFonts w:eastAsia="Calibri"/>
          <w:szCs w:val="21"/>
        </w:rPr>
        <w:t>he Black Sea Integrated Monitoring and Assessment Programme (BSIMAP) provides common data/information reporting formats and the contracting parties have the obligation to report to the BSC on an annual basis using these agreed formats.</w:t>
      </w:r>
      <w:r w:rsidRPr="00F2534A">
        <w:rPr>
          <w:szCs w:val="21"/>
          <w:lang w:val="en-US"/>
        </w:rPr>
        <w:t xml:space="preserve">  Data are annually collected, though with a different frequency per year.</w:t>
      </w:r>
    </w:p>
    <w:p w:rsidR="0026180A" w:rsidRPr="00F2534A" w:rsidRDefault="0026180A" w:rsidP="00987279">
      <w:pPr>
        <w:pStyle w:val="ListParagraph"/>
        <w:spacing w:line="240" w:lineRule="auto"/>
        <w:ind w:left="0"/>
        <w:rPr>
          <w:szCs w:val="21"/>
          <w:lang w:val="en-US"/>
        </w:rPr>
      </w:pPr>
      <w:r w:rsidRPr="00F2534A">
        <w:rPr>
          <w:rFonts w:eastAsia="Calibri"/>
          <w:szCs w:val="21"/>
          <w:lang w:val="en-US"/>
        </w:rPr>
        <w:t xml:space="preserve">The BSC </w:t>
      </w:r>
      <w:r w:rsidRPr="00F2534A">
        <w:rPr>
          <w:szCs w:val="21"/>
          <w:lang w:val="en-US"/>
        </w:rPr>
        <w:t xml:space="preserve">Regional Database on Pollution is a component of the Black Sea Information System (BSIS) held by the Regional Activity Center for Pollution Monitoring and Assessment (RAC PMA). </w:t>
      </w:r>
      <w:r w:rsidRPr="00F2534A">
        <w:rPr>
          <w:szCs w:val="21"/>
        </w:rPr>
        <w:t xml:space="preserve">The Black Sea Regional Database </w:t>
      </w:r>
      <w:r w:rsidRPr="00F2534A">
        <w:rPr>
          <w:szCs w:val="21"/>
          <w:lang w:val="en-US"/>
        </w:rPr>
        <w:t xml:space="preserve">on Pollution </w:t>
      </w:r>
      <w:r w:rsidRPr="00F2534A">
        <w:rPr>
          <w:szCs w:val="21"/>
        </w:rPr>
        <w:t>is available through the web site:</w:t>
      </w:r>
      <w:hyperlink r:id="rId49" w:history="1">
        <w:r w:rsidRPr="00F2534A">
          <w:rPr>
            <w:rStyle w:val="Hyperlink"/>
            <w:szCs w:val="21"/>
          </w:rPr>
          <w:t>http://rdbp.sea.gov.ua</w:t>
        </w:r>
      </w:hyperlink>
      <w:r w:rsidRPr="00F2534A">
        <w:rPr>
          <w:szCs w:val="21"/>
        </w:rPr>
        <w:t xml:space="preserve">.  Passwd is required for external users to access it. The database is built using a RDBMS system. Metadata descriptions and their standards follow the SeaDataNet approach. Detailed description of the BSC database can be found  rdbp.sea.gov.ua/docs/FINAL_REPORT_RDB.doc in the report “The development of a new </w:t>
      </w:r>
      <w:r w:rsidRPr="00F2534A">
        <w:rPr>
          <w:szCs w:val="21"/>
        </w:rPr>
        <w:lastRenderedPageBreak/>
        <w:t>version of the “Regional Data base on Pollution” of BSIS” prepared by the RAC PMA under the BSC-Baltic2Black Service contract (rdbp.sea.gov.ua/docs/FINAL_REPORT_RDB.doc).</w:t>
      </w:r>
      <w:r w:rsidRPr="00F2534A">
        <w:rPr>
          <w:szCs w:val="21"/>
          <w:highlight w:val="yellow"/>
          <w:lang w:val="en-US"/>
        </w:rPr>
        <w:t xml:space="preserve"> </w:t>
      </w:r>
    </w:p>
    <w:p w:rsidR="0026180A" w:rsidRPr="00F2534A" w:rsidRDefault="0026180A" w:rsidP="00987279">
      <w:pPr>
        <w:spacing w:line="240" w:lineRule="auto"/>
        <w:rPr>
          <w:szCs w:val="21"/>
          <w:lang w:val="en-US"/>
        </w:rPr>
      </w:pPr>
    </w:p>
    <w:p w:rsidR="0026180A" w:rsidRPr="00F2534A" w:rsidRDefault="0026180A" w:rsidP="00987279">
      <w:pPr>
        <w:spacing w:line="240" w:lineRule="auto"/>
        <w:rPr>
          <w:szCs w:val="21"/>
          <w:lang w:val="en-US"/>
        </w:rPr>
      </w:pPr>
      <w:r w:rsidRPr="00F2534A">
        <w:rPr>
          <w:szCs w:val="21"/>
          <w:lang w:val="en-US"/>
        </w:rPr>
        <w:t>Information on the parameters that the BSC data streams include can be found below:</w:t>
      </w:r>
    </w:p>
    <w:p w:rsidR="0026180A" w:rsidRPr="006666A7" w:rsidRDefault="0026180A" w:rsidP="006666A7">
      <w:pPr>
        <w:pStyle w:val="ListParagraph"/>
        <w:numPr>
          <w:ilvl w:val="0"/>
          <w:numId w:val="35"/>
        </w:numPr>
        <w:spacing w:line="240" w:lineRule="auto"/>
        <w:rPr>
          <w:szCs w:val="21"/>
          <w:lang w:val="en-US"/>
        </w:rPr>
      </w:pPr>
      <w:r w:rsidRPr="006666A7">
        <w:rPr>
          <w:szCs w:val="21"/>
          <w:lang w:val="en-US"/>
        </w:rPr>
        <w:t>Regional Data base on Pollution holding data on contaminants in water (PAHs, PCBs, pesticides, petroleum hydrocarbons, trace (heavy) metals, bacteria, phenols, detergents, radionuclides), sediment (PAHs, PCBs, pesticides, petroleum hydrocarbons, radionuclides, trace (heavy) metals, phenols)and biota (PAHs, pesticides, trace (heavy) metals). Data reported to BSC by the Advisory Group on Pollution Monitoring and Assessment (AG PMA)</w:t>
      </w:r>
    </w:p>
    <w:p w:rsidR="0026180A" w:rsidRPr="006666A7" w:rsidRDefault="0026180A" w:rsidP="006666A7">
      <w:pPr>
        <w:pStyle w:val="ListParagraph"/>
        <w:numPr>
          <w:ilvl w:val="0"/>
          <w:numId w:val="35"/>
        </w:numPr>
        <w:spacing w:line="240" w:lineRule="auto"/>
        <w:rPr>
          <w:szCs w:val="21"/>
          <w:lang w:val="en-US"/>
        </w:rPr>
      </w:pPr>
      <w:r w:rsidRPr="006666A7">
        <w:rPr>
          <w:szCs w:val="21"/>
          <w:lang w:val="en-US"/>
        </w:rPr>
        <w:t xml:space="preserve">Data on pressures from Hot Spots (rivers, municipal and industrial sources) </w:t>
      </w:r>
      <w:bookmarkStart w:id="60" w:name="OLE_LINK9"/>
      <w:r w:rsidRPr="006666A7">
        <w:rPr>
          <w:szCs w:val="21"/>
          <w:lang w:val="en-US"/>
        </w:rPr>
        <w:t xml:space="preserve">reported to the BSC by the Advisory Group on Control of Pollution from Land Based Sources (AG LBS). </w:t>
      </w:r>
      <w:bookmarkEnd w:id="60"/>
      <w:r w:rsidRPr="006666A7">
        <w:rPr>
          <w:szCs w:val="21"/>
          <w:lang w:val="en-US"/>
        </w:rPr>
        <w:t>The data are stored in the BSC information system as excel files and are not accessible online.</w:t>
      </w:r>
    </w:p>
    <w:p w:rsidR="0026180A" w:rsidRDefault="0026180A" w:rsidP="006666A7">
      <w:pPr>
        <w:pStyle w:val="ListParagraph"/>
        <w:numPr>
          <w:ilvl w:val="0"/>
          <w:numId w:val="35"/>
        </w:numPr>
        <w:spacing w:line="240" w:lineRule="auto"/>
        <w:rPr>
          <w:szCs w:val="21"/>
          <w:lang w:val="en-US"/>
        </w:rPr>
      </w:pPr>
      <w:r w:rsidRPr="006666A7">
        <w:rPr>
          <w:szCs w:val="21"/>
          <w:lang w:val="en-US"/>
        </w:rPr>
        <w:t>Data on number of ships calling at ports, accidental oil spills from shipping and illegal discharges as number and imposed fines reported to the BSC by the Advisory Group on Environmental Safety Aspects of Shipping (AG ESAS). The data are stored in the BSC information system as excel files and are not accessible online.</w:t>
      </w:r>
    </w:p>
    <w:p w:rsidR="00863CA7" w:rsidRDefault="00863CA7" w:rsidP="00987279">
      <w:pPr>
        <w:pStyle w:val="ListParagraph"/>
        <w:spacing w:line="240" w:lineRule="auto"/>
        <w:ind w:left="0"/>
        <w:rPr>
          <w:szCs w:val="21"/>
          <w:lang w:val="en-US"/>
        </w:rPr>
      </w:pPr>
    </w:p>
    <w:p w:rsidR="006F13CA" w:rsidRDefault="006F13CA" w:rsidP="006F13CA">
      <w:pPr>
        <w:pStyle w:val="ListParagraph"/>
        <w:spacing w:line="240" w:lineRule="auto"/>
        <w:ind w:left="0"/>
        <w:rPr>
          <w:szCs w:val="21"/>
          <w:lang w:val="en-US"/>
        </w:rPr>
      </w:pPr>
      <w:r>
        <w:rPr>
          <w:szCs w:val="21"/>
          <w:lang w:val="en-US"/>
        </w:rPr>
        <w:t>EEA</w:t>
      </w:r>
    </w:p>
    <w:p w:rsidR="006F13CA" w:rsidRDefault="006F13CA" w:rsidP="00FE3564">
      <w:pPr>
        <w:pStyle w:val="ListParagraph"/>
        <w:spacing w:line="240" w:lineRule="auto"/>
        <w:ind w:left="0"/>
        <w:rPr>
          <w:szCs w:val="21"/>
          <w:lang w:val="en-US"/>
        </w:rPr>
      </w:pPr>
      <w:r w:rsidRPr="003E50CA">
        <w:rPr>
          <w:szCs w:val="21"/>
          <w:lang w:val="en-US"/>
        </w:rPr>
        <w:t xml:space="preserve">EEA </w:t>
      </w:r>
      <w:r>
        <w:rPr>
          <w:szCs w:val="21"/>
          <w:lang w:val="en-US"/>
        </w:rPr>
        <w:t xml:space="preserve">data flows are described in section 2.3. </w:t>
      </w:r>
    </w:p>
    <w:p w:rsidR="00E62F84" w:rsidRDefault="006F13CA" w:rsidP="006F13CA">
      <w:pPr>
        <w:pStyle w:val="ListParagraph"/>
        <w:spacing w:line="240" w:lineRule="auto"/>
        <w:ind w:left="0"/>
        <w:rPr>
          <w:szCs w:val="21"/>
          <w:lang w:val="en-US"/>
        </w:rPr>
      </w:pPr>
      <w:r w:rsidRPr="003E50CA">
        <w:rPr>
          <w:szCs w:val="21"/>
          <w:lang w:val="en-US"/>
        </w:rPr>
        <w:t xml:space="preserve">The WISE SoE TCM dataset contains </w:t>
      </w:r>
      <w:r w:rsidR="00FE3564">
        <w:rPr>
          <w:szCs w:val="21"/>
          <w:lang w:val="en-US"/>
        </w:rPr>
        <w:t xml:space="preserve">among other </w:t>
      </w:r>
      <w:r w:rsidRPr="003E50CA">
        <w:rPr>
          <w:szCs w:val="21"/>
          <w:lang w:val="en-US"/>
        </w:rPr>
        <w:t>data, chemical quality data on hazardous substances in biota, sediment and seawater, as well as data on direct discharges and riverine input loads</w:t>
      </w:r>
      <w:r w:rsidR="00FE3564">
        <w:rPr>
          <w:szCs w:val="21"/>
          <w:lang w:val="en-US"/>
        </w:rPr>
        <w:t>.</w:t>
      </w:r>
    </w:p>
    <w:p w:rsidR="006F13CA" w:rsidRDefault="006F13CA" w:rsidP="006F13CA">
      <w:pPr>
        <w:pStyle w:val="ListParagraph"/>
        <w:spacing w:line="240" w:lineRule="auto"/>
        <w:ind w:left="0"/>
        <w:rPr>
          <w:szCs w:val="21"/>
          <w:lang w:val="en-US"/>
        </w:rPr>
      </w:pPr>
    </w:p>
    <w:p w:rsidR="00AD6D29" w:rsidRDefault="006F13CA" w:rsidP="00987279">
      <w:pPr>
        <w:pStyle w:val="ListParagraph"/>
        <w:spacing w:line="240" w:lineRule="auto"/>
        <w:ind w:left="0"/>
        <w:rPr>
          <w:szCs w:val="21"/>
          <w:lang w:val="en-US"/>
        </w:rPr>
      </w:pPr>
      <w:r>
        <w:rPr>
          <w:szCs w:val="21"/>
          <w:lang w:val="en-US"/>
        </w:rPr>
        <w:t xml:space="preserve">ANALYSIS </w:t>
      </w:r>
    </w:p>
    <w:p w:rsidR="00863CA7" w:rsidRDefault="00863CA7" w:rsidP="00863CA7">
      <w:pPr>
        <w:pStyle w:val="ListParagraph"/>
        <w:spacing w:line="240" w:lineRule="auto"/>
        <w:ind w:left="0"/>
        <w:rPr>
          <w:szCs w:val="21"/>
          <w:lang w:val="en-US"/>
        </w:rPr>
      </w:pPr>
      <w:r w:rsidRPr="00D40B9B">
        <w:rPr>
          <w:szCs w:val="21"/>
          <w:lang w:val="en-US"/>
        </w:rPr>
        <w:t>It must be noted that data are not regularly reported to the RSCs for all parameters and by all contracting parties and for some parameters monitoring is currently developing</w:t>
      </w:r>
      <w:r>
        <w:rPr>
          <w:szCs w:val="21"/>
          <w:lang w:val="en-US"/>
        </w:rPr>
        <w:t>.</w:t>
      </w:r>
      <w:r w:rsidRPr="00D40B9B">
        <w:rPr>
          <w:szCs w:val="21"/>
          <w:lang w:val="en-US"/>
        </w:rPr>
        <w:t xml:space="preserve"> </w:t>
      </w:r>
      <w:r>
        <w:rPr>
          <w:szCs w:val="21"/>
          <w:lang w:val="en-US"/>
        </w:rPr>
        <w:t xml:space="preserve">Thus an analysis was performed on </w:t>
      </w:r>
      <w:r w:rsidRPr="00D40B9B">
        <w:rPr>
          <w:szCs w:val="21"/>
          <w:lang w:val="en-US"/>
        </w:rPr>
        <w:t>hazardous substances data relevant to MSFD indicators that are actually reported to the RSCs by the contracting parties</w:t>
      </w:r>
      <w:r>
        <w:rPr>
          <w:szCs w:val="21"/>
          <w:lang w:val="en-US"/>
        </w:rPr>
        <w:t>.</w:t>
      </w:r>
      <w:r w:rsidRPr="00D40B9B">
        <w:rPr>
          <w:szCs w:val="21"/>
          <w:lang w:val="en-US"/>
        </w:rPr>
        <w:t xml:space="preserve"> The priority substances covered by the WFD directive (2008/105/EC, 2013/39/EC) were the parameters considered for the analysis of data flows on hazardous substances concentrations. Data reported to the RSCs in 2012 by the contracting parties that are EU MS was used in this analysis. </w:t>
      </w:r>
      <w:r w:rsidRPr="00863CA7">
        <w:rPr>
          <w:szCs w:val="21"/>
          <w:lang w:val="en-US"/>
        </w:rPr>
        <w:t xml:space="preserve"> </w:t>
      </w:r>
      <w:r>
        <w:rPr>
          <w:szCs w:val="21"/>
          <w:lang w:val="en-US"/>
        </w:rPr>
        <w:t>Data reported to HELCOM and OSPAR was obtained from ICES, UNEP/MAP data was obtained from the MED POL data base and BSC data was provided by the IRIS SES project</w:t>
      </w:r>
      <w:r w:rsidR="00E15E42">
        <w:rPr>
          <w:rStyle w:val="FootnoteReference"/>
          <w:szCs w:val="21"/>
          <w:lang w:val="en-US"/>
        </w:rPr>
        <w:footnoteReference w:customMarkFollows="1" w:id="8"/>
        <w:t>1</w:t>
      </w:r>
      <w:r>
        <w:rPr>
          <w:szCs w:val="21"/>
          <w:lang w:val="en-US"/>
        </w:rPr>
        <w:t xml:space="preserve">. </w:t>
      </w:r>
      <w:r w:rsidRPr="00D40B9B">
        <w:rPr>
          <w:szCs w:val="21"/>
          <w:lang w:val="en-US"/>
        </w:rPr>
        <w:t>Details on data management aspects such as stewardship, quality control, updates of the data sets, sampling frequenc</w:t>
      </w:r>
      <w:r>
        <w:rPr>
          <w:szCs w:val="21"/>
          <w:lang w:val="en-US"/>
        </w:rPr>
        <w:t>ies etc. can be found in Annex 2</w:t>
      </w:r>
      <w:r w:rsidRPr="00D40B9B">
        <w:rPr>
          <w:szCs w:val="21"/>
          <w:lang w:val="en-US"/>
        </w:rPr>
        <w:t>.</w:t>
      </w:r>
      <w:r w:rsidRPr="00D861A8">
        <w:rPr>
          <w:szCs w:val="21"/>
          <w:lang w:val="en-US"/>
        </w:rPr>
        <w:t xml:space="preserve"> </w:t>
      </w:r>
      <w:r>
        <w:rPr>
          <w:szCs w:val="21"/>
          <w:lang w:val="en-US"/>
        </w:rPr>
        <w:t>Data reported through Eionet within 2008-2012 was provided by ICES.</w:t>
      </w:r>
    </w:p>
    <w:p w:rsidR="00FE3564" w:rsidRDefault="00FE3564" w:rsidP="00863CA7">
      <w:pPr>
        <w:pStyle w:val="ListParagraph"/>
        <w:spacing w:line="240" w:lineRule="auto"/>
        <w:ind w:left="0"/>
        <w:rPr>
          <w:szCs w:val="21"/>
          <w:lang w:val="en-US"/>
        </w:rPr>
      </w:pPr>
    </w:p>
    <w:p w:rsidR="00FE3564" w:rsidRDefault="00FE3564" w:rsidP="00FE3564">
      <w:pPr>
        <w:pStyle w:val="ListParagraph"/>
        <w:spacing w:line="240" w:lineRule="auto"/>
        <w:ind w:left="0"/>
        <w:rPr>
          <w:szCs w:val="21"/>
          <w:lang w:val="en-US"/>
        </w:rPr>
      </w:pPr>
      <w:r>
        <w:rPr>
          <w:szCs w:val="21"/>
          <w:lang w:val="en-US"/>
        </w:rPr>
        <w:t>SUMMARY</w:t>
      </w:r>
    </w:p>
    <w:p w:rsidR="00863CA7" w:rsidRDefault="00863CA7" w:rsidP="00863CA7">
      <w:pPr>
        <w:pStyle w:val="ListParagraph"/>
        <w:spacing w:line="240" w:lineRule="auto"/>
        <w:ind w:left="0"/>
        <w:rPr>
          <w:szCs w:val="21"/>
          <w:lang w:val="en-US"/>
        </w:rPr>
      </w:pPr>
      <w:r w:rsidRPr="001B6DB4">
        <w:rPr>
          <w:szCs w:val="21"/>
          <w:lang w:val="en-US"/>
        </w:rPr>
        <w:t>An overview</w:t>
      </w:r>
      <w:r w:rsidRPr="00D40B9B">
        <w:rPr>
          <w:szCs w:val="21"/>
          <w:lang w:val="en-US"/>
        </w:rPr>
        <w:t xml:space="preserve"> of data on hazardous substances relevant to MSFD indicators that are actually reported to the RSCs by the contracting parties and at what frequencies across RSCs, is shown in </w:t>
      </w:r>
      <w:r w:rsidR="00290633">
        <w:rPr>
          <w:szCs w:val="21"/>
          <w:lang w:val="en-US"/>
        </w:rPr>
        <w:t>the following tables (Tables 3.6-3.8</w:t>
      </w:r>
      <w:r w:rsidRPr="00D40B9B">
        <w:rPr>
          <w:szCs w:val="21"/>
          <w:lang w:val="en-US"/>
        </w:rPr>
        <w:t>).</w:t>
      </w:r>
      <w:r w:rsidRPr="00863CA7">
        <w:rPr>
          <w:szCs w:val="21"/>
          <w:lang w:val="en-US"/>
        </w:rPr>
        <w:t xml:space="preserve"> </w:t>
      </w:r>
      <w:r w:rsidRPr="00D40B9B">
        <w:rPr>
          <w:szCs w:val="21"/>
          <w:lang w:val="en-US"/>
        </w:rPr>
        <w:t xml:space="preserve">The frequency of reporting </w:t>
      </w:r>
      <w:r>
        <w:rPr>
          <w:szCs w:val="21"/>
          <w:lang w:val="en-US"/>
        </w:rPr>
        <w:t xml:space="preserve">for each RSC </w:t>
      </w:r>
      <w:r w:rsidRPr="00D40B9B">
        <w:rPr>
          <w:szCs w:val="21"/>
          <w:lang w:val="en-US"/>
        </w:rPr>
        <w:t xml:space="preserve">(% of </w:t>
      </w:r>
      <w:r w:rsidR="00FE3564">
        <w:rPr>
          <w:szCs w:val="21"/>
          <w:lang w:val="en-US"/>
        </w:rPr>
        <w:t xml:space="preserve">CPs that are </w:t>
      </w:r>
      <w:r>
        <w:rPr>
          <w:szCs w:val="21"/>
          <w:lang w:val="en-US"/>
        </w:rPr>
        <w:t>EU MS</w:t>
      </w:r>
      <w:r w:rsidRPr="00D40B9B">
        <w:rPr>
          <w:szCs w:val="21"/>
          <w:lang w:val="en-US"/>
        </w:rPr>
        <w:t xml:space="preserve"> reporting to each RSC) for each parameter is categorized in classes represented by different colors. The chemical contaminants used by the MS for reporting under articles 8, 9 and 10 of the MSFD, summarized and evaluated by JRC (named as in the MS reports) (Palialexis et al. 2014)</w:t>
      </w:r>
      <w:r w:rsidRPr="00D40B9B">
        <w:t xml:space="preserve"> </w:t>
      </w:r>
      <w:r w:rsidRPr="00D40B9B">
        <w:rPr>
          <w:szCs w:val="21"/>
          <w:lang w:val="en-US"/>
        </w:rPr>
        <w:t>are also shown.</w:t>
      </w:r>
    </w:p>
    <w:p w:rsidR="00FE3564" w:rsidRDefault="00FE3564" w:rsidP="00E1693A">
      <w:pPr>
        <w:pStyle w:val="ListParagraph"/>
        <w:spacing w:line="240" w:lineRule="auto"/>
        <w:ind w:left="0"/>
        <w:rPr>
          <w:szCs w:val="21"/>
          <w:lang w:val="en-US"/>
        </w:rPr>
      </w:pPr>
    </w:p>
    <w:p w:rsidR="00E1693A" w:rsidRPr="00D40B9B" w:rsidRDefault="00290633" w:rsidP="00E1693A">
      <w:pPr>
        <w:pStyle w:val="ListParagraph"/>
        <w:spacing w:line="240" w:lineRule="auto"/>
        <w:ind w:left="0"/>
        <w:rPr>
          <w:szCs w:val="21"/>
          <w:lang w:val="en-US"/>
        </w:rPr>
      </w:pPr>
      <w:r>
        <w:rPr>
          <w:szCs w:val="21"/>
          <w:lang w:val="en-US"/>
        </w:rPr>
        <w:lastRenderedPageBreak/>
        <w:t>Tables 3.9-3.11</w:t>
      </w:r>
      <w:r w:rsidR="00E1693A">
        <w:rPr>
          <w:szCs w:val="21"/>
          <w:lang w:val="en-US"/>
        </w:rPr>
        <w:t xml:space="preserve"> presents the data on hazardous substances reported by the RSCs grouped in chemical categories used by the ICES. The percentage of counties reporting to each RSC is also shown. </w:t>
      </w:r>
    </w:p>
    <w:p w:rsidR="00FE3564" w:rsidRDefault="00FE3564">
      <w:pPr>
        <w:pStyle w:val="Caption"/>
        <w:ind w:left="0" w:firstLine="0"/>
        <w:jc w:val="both"/>
        <w:rPr>
          <w:bCs w:val="0"/>
          <w:i w:val="0"/>
          <w:sz w:val="21"/>
          <w:szCs w:val="24"/>
          <w:lang w:val="en-US"/>
        </w:rPr>
      </w:pPr>
    </w:p>
    <w:p w:rsidR="00A60C9C" w:rsidRDefault="00E1693A">
      <w:pPr>
        <w:pStyle w:val="Caption"/>
        <w:ind w:left="0" w:firstLine="0"/>
        <w:jc w:val="both"/>
        <w:rPr>
          <w:bCs w:val="0"/>
          <w:i w:val="0"/>
          <w:sz w:val="21"/>
          <w:szCs w:val="24"/>
          <w:lang w:val="en-US"/>
        </w:rPr>
      </w:pPr>
      <w:r w:rsidRPr="002D0105">
        <w:rPr>
          <w:bCs w:val="0"/>
          <w:i w:val="0"/>
          <w:sz w:val="21"/>
          <w:szCs w:val="24"/>
          <w:lang w:val="en-US"/>
        </w:rPr>
        <w:t xml:space="preserve">The WFD sets out a list of priority substances that do not exactly much the priority substances of the RSCs and in some cases the grouping of substances. Furthermore the CPs in each RSC show inconsistency in the substances they cover. </w:t>
      </w:r>
      <w:r>
        <w:rPr>
          <w:bCs w:val="0"/>
          <w:i w:val="0"/>
          <w:sz w:val="21"/>
          <w:szCs w:val="24"/>
          <w:lang w:val="en-US"/>
        </w:rPr>
        <w:t>Although t</w:t>
      </w:r>
      <w:r w:rsidRPr="002D0105">
        <w:rPr>
          <w:bCs w:val="0"/>
          <w:i w:val="0"/>
          <w:sz w:val="21"/>
          <w:szCs w:val="24"/>
          <w:lang w:val="en-US"/>
        </w:rPr>
        <w:t>he data reported to OSPAR and HELCOM overall cover a good number of the WFD priority substances</w:t>
      </w:r>
      <w:r>
        <w:rPr>
          <w:bCs w:val="0"/>
          <w:i w:val="0"/>
          <w:sz w:val="21"/>
          <w:szCs w:val="24"/>
          <w:lang w:val="en-US"/>
        </w:rPr>
        <w:t>,</w:t>
      </w:r>
      <w:r w:rsidRPr="002D0105">
        <w:rPr>
          <w:bCs w:val="0"/>
          <w:i w:val="0"/>
          <w:sz w:val="21"/>
          <w:szCs w:val="24"/>
          <w:lang w:val="en-US"/>
        </w:rPr>
        <w:t xml:space="preserve"> the percentage of countries reporting </w:t>
      </w:r>
      <w:r>
        <w:rPr>
          <w:bCs w:val="0"/>
          <w:i w:val="0"/>
          <w:sz w:val="21"/>
          <w:szCs w:val="24"/>
          <w:lang w:val="en-US"/>
        </w:rPr>
        <w:t xml:space="preserve">for each substance </w:t>
      </w:r>
      <w:r w:rsidRPr="002D0105">
        <w:rPr>
          <w:bCs w:val="0"/>
          <w:i w:val="0"/>
          <w:sz w:val="21"/>
          <w:szCs w:val="24"/>
          <w:lang w:val="en-US"/>
        </w:rPr>
        <w:t xml:space="preserve">is low particularly </w:t>
      </w:r>
      <w:r>
        <w:rPr>
          <w:bCs w:val="0"/>
          <w:i w:val="0"/>
          <w:sz w:val="21"/>
          <w:szCs w:val="24"/>
          <w:lang w:val="en-US"/>
        </w:rPr>
        <w:t>for</w:t>
      </w:r>
      <w:r w:rsidRPr="002D0105">
        <w:rPr>
          <w:bCs w:val="0"/>
          <w:i w:val="0"/>
          <w:sz w:val="21"/>
          <w:szCs w:val="24"/>
          <w:lang w:val="en-US"/>
        </w:rPr>
        <w:t xml:space="preserve"> water and sediment data (less than 40%) and only for </w:t>
      </w:r>
      <w:r>
        <w:rPr>
          <w:bCs w:val="0"/>
          <w:i w:val="0"/>
          <w:sz w:val="21"/>
          <w:szCs w:val="24"/>
          <w:lang w:val="en-US"/>
        </w:rPr>
        <w:t>11</w:t>
      </w:r>
      <w:r w:rsidRPr="002D0105">
        <w:rPr>
          <w:bCs w:val="0"/>
          <w:i w:val="0"/>
          <w:sz w:val="21"/>
          <w:szCs w:val="24"/>
          <w:lang w:val="en-US"/>
        </w:rPr>
        <w:t xml:space="preserve"> substances in biota ranges between 40 and 80%. As regards UNEP/MAP and BSC, the reported data cover few of the WFD priority substances. The percentage of countries reporting to UNEP/MAP is low, in most cases lower than 20%, whereas percentage of counties reporting to BSC is 50% </w:t>
      </w:r>
      <w:r>
        <w:rPr>
          <w:bCs w:val="0"/>
          <w:i w:val="0"/>
          <w:sz w:val="21"/>
          <w:szCs w:val="24"/>
          <w:lang w:val="en-US"/>
        </w:rPr>
        <w:t>since</w:t>
      </w:r>
      <w:r w:rsidRPr="002D0105">
        <w:rPr>
          <w:bCs w:val="0"/>
          <w:i w:val="0"/>
          <w:sz w:val="21"/>
          <w:szCs w:val="24"/>
          <w:lang w:val="en-US"/>
        </w:rPr>
        <w:t xml:space="preserve"> one of the two countries included in the analysis is reporting data on hazardous substances. All the hazardous substances reported to the RSCs were used by MS in reporting for the implementation of Art 8, 9 and 10 of the MSFD.</w:t>
      </w:r>
      <w:r w:rsidR="00DA13B3">
        <w:rPr>
          <w:bCs w:val="0"/>
          <w:i w:val="0"/>
          <w:sz w:val="21"/>
          <w:szCs w:val="24"/>
          <w:lang w:val="en-US"/>
        </w:rPr>
        <w:t xml:space="preserve"> </w:t>
      </w:r>
      <w:r w:rsidRPr="002D0105">
        <w:rPr>
          <w:bCs w:val="0"/>
          <w:i w:val="0"/>
          <w:sz w:val="21"/>
          <w:szCs w:val="24"/>
          <w:lang w:val="en-US"/>
        </w:rPr>
        <w:t xml:space="preserve">When considering chemical </w:t>
      </w:r>
      <w:r>
        <w:rPr>
          <w:bCs w:val="0"/>
          <w:i w:val="0"/>
          <w:sz w:val="21"/>
          <w:szCs w:val="24"/>
          <w:lang w:val="en-US"/>
        </w:rPr>
        <w:t>groups</w:t>
      </w:r>
      <w:r w:rsidRPr="002D0105">
        <w:rPr>
          <w:bCs w:val="0"/>
          <w:i w:val="0"/>
          <w:sz w:val="21"/>
          <w:szCs w:val="24"/>
          <w:lang w:val="en-US"/>
        </w:rPr>
        <w:t xml:space="preserve"> used by the ICES, a high consistency of reporting between OSPAR and HELCOM is shown. </w:t>
      </w:r>
    </w:p>
    <w:p w:rsidR="004B0852" w:rsidRDefault="004B0852" w:rsidP="004B0852">
      <w:pPr>
        <w:pStyle w:val="ListParagraph"/>
        <w:spacing w:line="240" w:lineRule="auto"/>
        <w:ind w:left="0"/>
        <w:rPr>
          <w:szCs w:val="21"/>
          <w:lang w:val="en-US"/>
        </w:rPr>
      </w:pPr>
    </w:p>
    <w:p w:rsidR="004B0852" w:rsidRDefault="00E52236" w:rsidP="004B0852">
      <w:pPr>
        <w:pStyle w:val="ListParagraph"/>
        <w:spacing w:line="240" w:lineRule="auto"/>
        <w:ind w:left="0"/>
        <w:rPr>
          <w:szCs w:val="21"/>
          <w:lang w:val="en-US"/>
        </w:rPr>
      </w:pPr>
      <w:r>
        <w:rPr>
          <w:szCs w:val="21"/>
          <w:lang w:val="en-US"/>
        </w:rPr>
        <w:t xml:space="preserve">Hazardous substances </w:t>
      </w:r>
      <w:r w:rsidR="004B0852">
        <w:rPr>
          <w:szCs w:val="21"/>
          <w:lang w:val="en-US"/>
        </w:rPr>
        <w:t xml:space="preserve">are reported though Eionet although reporting is </w:t>
      </w:r>
      <w:r>
        <w:rPr>
          <w:szCs w:val="21"/>
          <w:lang w:val="en-US"/>
        </w:rPr>
        <w:t>different than</w:t>
      </w:r>
      <w:r w:rsidR="004B0852" w:rsidRPr="00EF1EB4">
        <w:rPr>
          <w:szCs w:val="21"/>
          <w:lang w:val="en-US"/>
        </w:rPr>
        <w:t xml:space="preserve"> RSC reporting (</w:t>
      </w:r>
      <w:r w:rsidR="004B0852">
        <w:rPr>
          <w:szCs w:val="21"/>
          <w:lang w:val="en-US"/>
        </w:rPr>
        <w:t xml:space="preserve">i.e. </w:t>
      </w:r>
      <w:r>
        <w:rPr>
          <w:szCs w:val="21"/>
          <w:lang w:val="en-US"/>
        </w:rPr>
        <w:t>individual substances reported and number of stations are different</w:t>
      </w:r>
      <w:r w:rsidR="004B0852" w:rsidRPr="00EF1EB4">
        <w:rPr>
          <w:szCs w:val="21"/>
          <w:lang w:val="en-US"/>
        </w:rPr>
        <w:t xml:space="preserve">). </w:t>
      </w:r>
      <w:r w:rsidR="00A96F2D">
        <w:rPr>
          <w:szCs w:val="21"/>
          <w:lang w:val="en-US"/>
        </w:rPr>
        <w:t>Overall</w:t>
      </w:r>
      <w:r w:rsidR="004B0852" w:rsidRPr="00EF1EB4">
        <w:rPr>
          <w:szCs w:val="21"/>
          <w:lang w:val="en-US"/>
        </w:rPr>
        <w:t xml:space="preserve"> more data </w:t>
      </w:r>
      <w:r w:rsidR="004B0852">
        <w:rPr>
          <w:szCs w:val="21"/>
          <w:lang w:val="en-US"/>
        </w:rPr>
        <w:t>is reported through</w:t>
      </w:r>
      <w:r w:rsidR="004B0852" w:rsidRPr="00EF1EB4">
        <w:rPr>
          <w:szCs w:val="21"/>
          <w:lang w:val="en-US"/>
        </w:rPr>
        <w:t xml:space="preserve"> ICES.</w:t>
      </w:r>
      <w:r w:rsidR="004B0852">
        <w:rPr>
          <w:szCs w:val="21"/>
          <w:lang w:val="en-US"/>
        </w:rPr>
        <w:t xml:space="preserve"> </w:t>
      </w:r>
      <w:r w:rsidR="004B0852" w:rsidRPr="001A173D">
        <w:rPr>
          <w:szCs w:val="21"/>
          <w:lang w:val="en-US"/>
        </w:rPr>
        <w:t>It must be noted that data flows through ICES in fact refers to RSC data flows that are recycled as Eionet data flows, so although agreements are made with RSC or the Eionet, it is in fact possible to use the same data flow for multiple purposes.</w:t>
      </w:r>
      <w:r w:rsidR="004B0852">
        <w:rPr>
          <w:szCs w:val="21"/>
          <w:lang w:val="en-US"/>
        </w:rPr>
        <w:t xml:space="preserve"> </w:t>
      </w:r>
    </w:p>
    <w:p w:rsidR="004B0852" w:rsidRPr="004B0852" w:rsidRDefault="004B0852" w:rsidP="004B0852">
      <w:pPr>
        <w:rPr>
          <w:lang w:val="en-US"/>
        </w:rPr>
      </w:pPr>
    </w:p>
    <w:p w:rsidR="00A60C9C" w:rsidRDefault="00E1693A">
      <w:pPr>
        <w:pStyle w:val="ListParagraph"/>
        <w:spacing w:line="240" w:lineRule="auto"/>
        <w:ind w:left="0"/>
        <w:rPr>
          <w:szCs w:val="21"/>
          <w:lang w:val="en-US"/>
        </w:rPr>
      </w:pPr>
      <w:r>
        <w:rPr>
          <w:szCs w:val="21"/>
          <w:lang w:val="en-US"/>
        </w:rPr>
        <w:t xml:space="preserve">Information on data reporting relevant to MSFD descriptor 8.2.1 on pollution effects in 2012 can be found in Annex 2. Three of the OSPAR CPs and two of the HELCOM CPs reported biological effects parameters </w:t>
      </w:r>
      <w:r w:rsidRPr="001B6DB4">
        <w:t>used</w:t>
      </w:r>
      <w:r w:rsidRPr="001B6DB4">
        <w:rPr>
          <w:szCs w:val="21"/>
          <w:lang w:val="en-US"/>
        </w:rPr>
        <w:t xml:space="preserve"> by the MS for reporting under articles 8, 9 and 10 of the MSFD, summarized and evaluated by JRC</w:t>
      </w:r>
      <w:r>
        <w:rPr>
          <w:szCs w:val="21"/>
          <w:lang w:val="en-US"/>
        </w:rPr>
        <w:t xml:space="preserve"> (Palialexis et al. 2014). These included </w:t>
      </w:r>
      <w:r w:rsidRPr="001B6DB4">
        <w:rPr>
          <w:szCs w:val="21"/>
          <w:lang w:val="en-US"/>
        </w:rPr>
        <w:t>imposex in gastropods</w:t>
      </w:r>
      <w:r>
        <w:rPr>
          <w:szCs w:val="21"/>
          <w:lang w:val="en-US"/>
        </w:rPr>
        <w:t xml:space="preserve">, fish liver pathologies, </w:t>
      </w:r>
      <w:r w:rsidRPr="00311581">
        <w:rPr>
          <w:szCs w:val="21"/>
          <w:lang w:val="en-US"/>
        </w:rPr>
        <w:t xml:space="preserve">EROD and levels of bile metabolite in fish. Additional biological effect parameters </w:t>
      </w:r>
      <w:r>
        <w:rPr>
          <w:szCs w:val="21"/>
          <w:lang w:val="en-US"/>
        </w:rPr>
        <w:t xml:space="preserve">used in MSFD reporting </w:t>
      </w:r>
      <w:r w:rsidRPr="00311581">
        <w:rPr>
          <w:szCs w:val="21"/>
          <w:lang w:val="en-US"/>
        </w:rPr>
        <w:t xml:space="preserve">were reported </w:t>
      </w:r>
      <w:r>
        <w:rPr>
          <w:szCs w:val="21"/>
          <w:lang w:val="en-US"/>
        </w:rPr>
        <w:t>to</w:t>
      </w:r>
      <w:r w:rsidRPr="00311581">
        <w:rPr>
          <w:szCs w:val="21"/>
          <w:lang w:val="en-US"/>
        </w:rPr>
        <w:t xml:space="preserve"> OSPAR and HELCOM in previous years (see Annex </w:t>
      </w:r>
      <w:r>
        <w:rPr>
          <w:szCs w:val="21"/>
          <w:lang w:val="en-US"/>
        </w:rPr>
        <w:t>2</w:t>
      </w:r>
      <w:r w:rsidRPr="00311581">
        <w:rPr>
          <w:szCs w:val="21"/>
          <w:lang w:val="en-US"/>
        </w:rPr>
        <w:t xml:space="preserve">). </w:t>
      </w:r>
      <w:r>
        <w:rPr>
          <w:szCs w:val="21"/>
          <w:lang w:val="en-US"/>
        </w:rPr>
        <w:t>R</w:t>
      </w:r>
      <w:r w:rsidRPr="001B6DB4">
        <w:rPr>
          <w:szCs w:val="21"/>
          <w:lang w:val="en-US"/>
        </w:rPr>
        <w:t>elevant parameters</w:t>
      </w:r>
      <w:r w:rsidRPr="00311581">
        <w:rPr>
          <w:szCs w:val="21"/>
          <w:lang w:val="en-US"/>
        </w:rPr>
        <w:t xml:space="preserve"> </w:t>
      </w:r>
      <w:r>
        <w:rPr>
          <w:szCs w:val="21"/>
          <w:lang w:val="en-US"/>
        </w:rPr>
        <w:t>were not reported by the</w:t>
      </w:r>
      <w:r w:rsidRPr="00311581">
        <w:rPr>
          <w:szCs w:val="21"/>
          <w:lang w:val="en-US"/>
        </w:rPr>
        <w:t xml:space="preserve"> UNEP/MAP and</w:t>
      </w:r>
      <w:r w:rsidRPr="001B6DB4">
        <w:rPr>
          <w:szCs w:val="21"/>
          <w:lang w:val="en-US"/>
        </w:rPr>
        <w:t xml:space="preserve"> BSC CPs</w:t>
      </w:r>
      <w:r>
        <w:rPr>
          <w:szCs w:val="21"/>
          <w:lang w:val="en-US"/>
        </w:rPr>
        <w:t>.</w:t>
      </w:r>
    </w:p>
    <w:p w:rsidR="00A60C9C" w:rsidRDefault="00A60C9C">
      <w:pPr>
        <w:pStyle w:val="ListParagraph"/>
        <w:spacing w:line="240" w:lineRule="auto"/>
        <w:ind w:left="0"/>
        <w:rPr>
          <w:szCs w:val="21"/>
          <w:lang w:val="en-US"/>
        </w:rPr>
      </w:pPr>
    </w:p>
    <w:p w:rsidR="00A60C9C" w:rsidRDefault="00E1693A">
      <w:pPr>
        <w:pStyle w:val="ListParagraph"/>
        <w:spacing w:line="240" w:lineRule="auto"/>
        <w:ind w:left="0"/>
        <w:rPr>
          <w:szCs w:val="21"/>
          <w:lang w:val="en-US"/>
        </w:rPr>
      </w:pPr>
      <w:r w:rsidRPr="00F56122">
        <w:rPr>
          <w:szCs w:val="21"/>
          <w:lang w:val="en-US"/>
        </w:rPr>
        <w:t>Over 50% of the OSPAR and 70% of the HELCOM contracting parties reported on riverine inputs and direct inputs (point sources) of contaminants. The reported parameters included direct inputs and riverine inputs of Cd, Hg, Cu, Pb, Zn, g-HCH, and PCBs. Details on parameters reported by each country can be found in Annex 2.</w:t>
      </w:r>
      <w:r>
        <w:rPr>
          <w:szCs w:val="21"/>
          <w:lang w:val="en-US"/>
        </w:rPr>
        <w:t xml:space="preserve"> The </w:t>
      </w:r>
      <w:r w:rsidRPr="00F56122">
        <w:rPr>
          <w:szCs w:val="21"/>
          <w:lang w:val="en-US"/>
        </w:rPr>
        <w:t xml:space="preserve">BSC data </w:t>
      </w:r>
      <w:r>
        <w:rPr>
          <w:szCs w:val="21"/>
          <w:lang w:val="en-US"/>
        </w:rPr>
        <w:t>used in the analysis were</w:t>
      </w:r>
      <w:r w:rsidRPr="00F56122">
        <w:rPr>
          <w:szCs w:val="21"/>
          <w:lang w:val="en-US"/>
        </w:rPr>
        <w:t xml:space="preserve"> reported in the period 2001-2008</w:t>
      </w:r>
      <w:r>
        <w:rPr>
          <w:szCs w:val="21"/>
          <w:lang w:val="en-US"/>
        </w:rPr>
        <w:t xml:space="preserve"> (BSC, </w:t>
      </w:r>
      <w:r w:rsidRPr="00F56122">
        <w:rPr>
          <w:szCs w:val="21"/>
          <w:lang w:val="en-US"/>
        </w:rPr>
        <w:t xml:space="preserve">2010). The two CPs reported metal and TP inputs from municipal, industrial and riverine sources during that period. </w:t>
      </w:r>
      <w:r>
        <w:rPr>
          <w:szCs w:val="21"/>
          <w:lang w:val="en-US"/>
        </w:rPr>
        <w:t>Pollutant</w:t>
      </w:r>
      <w:r w:rsidRPr="00F56122">
        <w:rPr>
          <w:szCs w:val="21"/>
          <w:lang w:val="en-US"/>
        </w:rPr>
        <w:t xml:space="preserve"> inputs in the UNEP/MAP region are reported in the National Budget (NBB) assessing the current trends of the pollutants emissions and releases (2003-2008) including data from all CPs apart from two (UNEP/MAP, 2012c).</w:t>
      </w:r>
      <w:r w:rsidRPr="00F56122">
        <w:t xml:space="preserve"> </w:t>
      </w:r>
      <w:r>
        <w:t xml:space="preserve">The parameters most reported were  </w:t>
      </w:r>
      <w:r w:rsidRPr="00F56122">
        <w:rPr>
          <w:szCs w:val="21"/>
          <w:lang w:val="en-US"/>
        </w:rPr>
        <w:t>Chromium (liq) , Arsenic (gas), Chromium (g), Lead (gas), Mercur</w:t>
      </w:r>
      <w:r>
        <w:rPr>
          <w:szCs w:val="21"/>
          <w:lang w:val="en-US"/>
        </w:rPr>
        <w:t xml:space="preserve">y (gas), PAH (gas) and Copper (gas). </w:t>
      </w:r>
    </w:p>
    <w:p w:rsidR="00B732AC" w:rsidRPr="006B0FAE" w:rsidRDefault="00B732AC" w:rsidP="00A4416E">
      <w:pPr>
        <w:pStyle w:val="ListParagraph"/>
        <w:spacing w:line="240" w:lineRule="auto"/>
        <w:ind w:left="0"/>
        <w:rPr>
          <w:szCs w:val="21"/>
          <w:lang w:val="en-US"/>
        </w:rPr>
      </w:pPr>
    </w:p>
    <w:p w:rsidR="00E1693A" w:rsidRPr="006B0FAE" w:rsidRDefault="00E1693A" w:rsidP="00A4416E">
      <w:pPr>
        <w:pStyle w:val="ListParagraph"/>
        <w:spacing w:line="240" w:lineRule="auto"/>
        <w:ind w:left="0"/>
        <w:rPr>
          <w:szCs w:val="21"/>
          <w:lang w:val="en-US"/>
        </w:rPr>
      </w:pPr>
    </w:p>
    <w:p w:rsidR="00E1693A" w:rsidRPr="006B0FAE" w:rsidRDefault="00E1693A" w:rsidP="00E1693A">
      <w:pPr>
        <w:pStyle w:val="ListParagraph"/>
        <w:spacing w:line="240" w:lineRule="auto"/>
        <w:ind w:left="0"/>
        <w:rPr>
          <w:szCs w:val="21"/>
          <w:lang w:val="en-US"/>
        </w:rPr>
      </w:pPr>
    </w:p>
    <w:p w:rsidR="0089205E" w:rsidRPr="006B0FAE" w:rsidRDefault="0089205E" w:rsidP="00E1693A">
      <w:pPr>
        <w:pStyle w:val="ListParagraph"/>
        <w:spacing w:line="240" w:lineRule="auto"/>
        <w:ind w:left="0"/>
        <w:rPr>
          <w:szCs w:val="21"/>
          <w:lang w:val="en-US"/>
        </w:rPr>
      </w:pPr>
    </w:p>
    <w:p w:rsidR="0089205E" w:rsidRPr="006B0FAE" w:rsidRDefault="0089205E" w:rsidP="00E1693A">
      <w:pPr>
        <w:pStyle w:val="ListParagraph"/>
        <w:spacing w:line="240" w:lineRule="auto"/>
        <w:ind w:left="0"/>
        <w:rPr>
          <w:szCs w:val="21"/>
          <w:lang w:val="en-US"/>
        </w:rPr>
      </w:pPr>
    </w:p>
    <w:p w:rsidR="00E1693A" w:rsidRPr="006B0FAE" w:rsidRDefault="00E1693A" w:rsidP="00E1693A">
      <w:pPr>
        <w:pStyle w:val="ListParagraph"/>
        <w:spacing w:line="240" w:lineRule="auto"/>
        <w:ind w:left="0"/>
        <w:rPr>
          <w:szCs w:val="21"/>
          <w:lang w:val="en-US"/>
        </w:rPr>
      </w:pPr>
    </w:p>
    <w:p w:rsidR="0026180A" w:rsidRDefault="004B48B8" w:rsidP="004B48B8">
      <w:pPr>
        <w:pStyle w:val="Caption"/>
        <w:rPr>
          <w:lang w:val="en-US"/>
        </w:rPr>
      </w:pPr>
      <w:r>
        <w:t xml:space="preserve">Table </w:t>
      </w:r>
      <w:r w:rsidR="008135ED">
        <w:fldChar w:fldCharType="begin"/>
      </w:r>
      <w:r>
        <w:instrText xml:space="preserve"> STYLEREF 1 \s </w:instrText>
      </w:r>
      <w:r w:rsidR="008135ED">
        <w:fldChar w:fldCharType="separate"/>
      </w:r>
      <w:r w:rsidR="003461A2">
        <w:rPr>
          <w:noProof/>
        </w:rPr>
        <w:t>3</w:t>
      </w:r>
      <w:r w:rsidR="008135ED">
        <w:fldChar w:fldCharType="end"/>
      </w:r>
      <w:r>
        <w:t>.</w:t>
      </w:r>
      <w:r w:rsidR="00290633">
        <w:t>6</w:t>
      </w:r>
      <w:r>
        <w:tab/>
      </w:r>
      <w:r w:rsidR="00462796">
        <w:t>P</w:t>
      </w:r>
      <w:r w:rsidR="00462796">
        <w:rPr>
          <w:lang w:val="en-US"/>
        </w:rPr>
        <w:t>arameters relevant to MSFD indicator 5.1.1</w:t>
      </w:r>
      <w:r w:rsidR="00994211">
        <w:rPr>
          <w:lang w:val="en-US"/>
        </w:rPr>
        <w:t>-Contaminants in water</w:t>
      </w:r>
      <w:r w:rsidR="00462796">
        <w:rPr>
          <w:lang w:val="en-US"/>
        </w:rPr>
        <w:t xml:space="preserve">: Frequency of reporting to the RSCs by </w:t>
      </w:r>
      <w:r w:rsidR="00BD2B24">
        <w:rPr>
          <w:lang w:val="en-US"/>
        </w:rPr>
        <w:t xml:space="preserve">the </w:t>
      </w:r>
      <w:r w:rsidR="00462796">
        <w:rPr>
          <w:lang w:val="en-US"/>
        </w:rPr>
        <w:t>CP</w:t>
      </w:r>
      <w:r w:rsidR="00BD2B24">
        <w:rPr>
          <w:lang w:val="en-US"/>
        </w:rPr>
        <w:t>s</w:t>
      </w:r>
      <w:r w:rsidR="00994211">
        <w:rPr>
          <w:lang w:val="en-US"/>
        </w:rPr>
        <w:t>. Chemical contaminants used for MSFD reporting by MS are also shown.</w:t>
      </w:r>
      <w:r w:rsidR="00462796">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2695"/>
        <w:gridCol w:w="976"/>
        <w:gridCol w:w="987"/>
        <w:gridCol w:w="767"/>
        <w:gridCol w:w="587"/>
      </w:tblGrid>
      <w:tr w:rsidR="00994211" w:rsidRPr="00D9342E" w:rsidTr="00994211">
        <w:trPr>
          <w:trHeight w:val="990"/>
          <w:jc w:val="center"/>
        </w:trPr>
        <w:tc>
          <w:tcPr>
            <w:tcW w:w="2516" w:type="dxa"/>
            <w:shd w:val="clear" w:color="auto" w:fill="D9D9D9" w:themeFill="background1" w:themeFillShade="D9"/>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lastRenderedPageBreak/>
              <w:t>MSFD reporting*</w:t>
            </w:r>
          </w:p>
        </w:tc>
        <w:tc>
          <w:tcPr>
            <w:tcW w:w="2695" w:type="dxa"/>
            <w:shd w:val="clear" w:color="auto" w:fill="D9D9D9" w:themeFill="background1" w:themeFillShade="D9"/>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xml:space="preserve">WFD Priority Substances and certain other pollutants (2008/105/EC), </w:t>
            </w:r>
            <w:r w:rsidRPr="00D9342E">
              <w:rPr>
                <w:color w:val="000000"/>
                <w:sz w:val="18"/>
                <w:szCs w:val="18"/>
                <w:lang w:val="en-US" w:eastAsia="el-GR"/>
              </w:rPr>
              <w:br/>
              <w:t xml:space="preserve"> WFD Priority Substances Amendment (2013/39/EC)</w:t>
            </w:r>
          </w:p>
        </w:tc>
        <w:tc>
          <w:tcPr>
            <w:tcW w:w="976" w:type="dxa"/>
            <w:shd w:val="clear" w:color="auto" w:fill="D9D9D9" w:themeFill="background1" w:themeFillShade="D9"/>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OSPAR</w:t>
            </w:r>
          </w:p>
        </w:tc>
        <w:tc>
          <w:tcPr>
            <w:tcW w:w="987" w:type="dxa"/>
            <w:shd w:val="clear" w:color="auto" w:fill="D9D9D9" w:themeFill="background1" w:themeFillShade="D9"/>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HELCOM</w:t>
            </w:r>
          </w:p>
        </w:tc>
        <w:tc>
          <w:tcPr>
            <w:tcW w:w="767" w:type="dxa"/>
            <w:shd w:val="clear" w:color="auto" w:fill="D9D9D9" w:themeFill="background1" w:themeFillShade="D9"/>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eastAsia="el-GR"/>
              </w:rPr>
              <w:t>UNEP/</w:t>
            </w:r>
          </w:p>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MAP</w:t>
            </w:r>
          </w:p>
        </w:tc>
        <w:tc>
          <w:tcPr>
            <w:tcW w:w="587" w:type="dxa"/>
            <w:shd w:val="clear" w:color="auto" w:fill="D9D9D9" w:themeFill="background1" w:themeFillShade="D9"/>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BSC</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Alachlor</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Alachlor</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Anthracene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Anthracene</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Atrazine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Atrazine</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Benzene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Benzene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864AB0">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Brominated diphenylethers (BDE)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Brominated diphenylethers</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Cd</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Cadmium and its compounds</w:t>
            </w:r>
          </w:p>
        </w:tc>
        <w:tc>
          <w:tcPr>
            <w:tcW w:w="976"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Chloroalkanes C10-13</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Chloroalkanes, C 10-13</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Chlorfenvinphos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Chlorfenvinphos</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Chlorpyrifos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Chlorpyrifos (Chlorpyrifos-ethyl)</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1,2-dichloroethane (DCE)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1,2-dichloroethane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Dichloromethane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Dichloromethane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Di(2-ethylhexyl)phthalate (DEHP)</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Di(2-ethylhexyl)phthalate (DEHP)</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Diuron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Diuron</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Endosulfan</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Endosulfan</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Fluoranthene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Fluoranthene</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Hexachlorobenzene (HCB)</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Hexachlorobenzene</w:t>
            </w:r>
          </w:p>
        </w:tc>
        <w:tc>
          <w:tcPr>
            <w:tcW w:w="976"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Hexachlorobutadiene (HCBD)</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Hexachlorobutadiene</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jc w:val="left"/>
              <w:rPr>
                <w:color w:val="000000"/>
                <w:sz w:val="18"/>
                <w:szCs w:val="18"/>
                <w:lang w:val="en-US" w:eastAsia="el-GR"/>
              </w:rPr>
            </w:pPr>
            <w:r w:rsidRPr="00D9342E">
              <w:rPr>
                <w:color w:val="000000"/>
                <w:sz w:val="18"/>
                <w:szCs w:val="18"/>
                <w:lang w:eastAsia="el-GR"/>
              </w:rPr>
              <w:t>Χ</w:t>
            </w:r>
            <w:r w:rsidRPr="00D9342E">
              <w:rPr>
                <w:color w:val="000000"/>
                <w:sz w:val="18"/>
                <w:szCs w:val="18"/>
                <w:lang w:val="en-US" w:eastAsia="el-GR"/>
              </w:rPr>
              <w:t>-Hexachlorocyclohexane (lindane), a-Hexachlorocyclohexane</w:t>
            </w:r>
          </w:p>
        </w:tc>
        <w:tc>
          <w:tcPr>
            <w:tcW w:w="2695" w:type="dxa"/>
            <w:shd w:val="clear" w:color="auto" w:fill="auto"/>
            <w:noWrap/>
            <w:vAlign w:val="center"/>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Hexachlorocyclohexane</w:t>
            </w:r>
          </w:p>
        </w:tc>
        <w:tc>
          <w:tcPr>
            <w:tcW w:w="976"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Isoproturon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Isoproturon</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Pb</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Lead and its compounds</w:t>
            </w:r>
          </w:p>
        </w:tc>
        <w:tc>
          <w:tcPr>
            <w:tcW w:w="976" w:type="dxa"/>
            <w:shd w:val="clear" w:color="auto" w:fill="FFFF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Hg</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Mercury and its compounds</w:t>
            </w:r>
          </w:p>
        </w:tc>
        <w:tc>
          <w:tcPr>
            <w:tcW w:w="976" w:type="dxa"/>
            <w:shd w:val="clear" w:color="auto" w:fill="FFFF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Naphthalene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Naphthalene</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Ni</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Nickel and its compounds</w:t>
            </w:r>
          </w:p>
        </w:tc>
        <w:tc>
          <w:tcPr>
            <w:tcW w:w="976" w:type="dxa"/>
            <w:shd w:val="clear" w:color="auto" w:fill="FFFF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Nonylphenols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Nonylphenols</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Octylphenols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Octylphenols ( 6 )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864AB0">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Pentachlorobenzene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Pentachlorobenzene</w:t>
            </w:r>
          </w:p>
        </w:tc>
        <w:tc>
          <w:tcPr>
            <w:tcW w:w="976"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Pentachlorophenol</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Pentachlorophenol</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val="en-US" w:eastAsia="el-GR"/>
              </w:rPr>
            </w:pPr>
            <w:r w:rsidRPr="00D9342E">
              <w:rPr>
                <w:color w:val="000000"/>
                <w:sz w:val="18"/>
                <w:szCs w:val="18"/>
                <w:lang w:val="en-US" w:eastAsia="el-GR"/>
              </w:rPr>
              <w:t>Polycyclic Aromatic Hydrocarbons (PAH), Benzo(a)pyrene,</w:t>
            </w:r>
          </w:p>
          <w:p w:rsidR="00994211" w:rsidRPr="00F15E0D" w:rsidRDefault="00994211" w:rsidP="00994211">
            <w:pPr>
              <w:tabs>
                <w:tab w:val="left" w:pos="3537"/>
              </w:tabs>
              <w:spacing w:line="240" w:lineRule="auto"/>
              <w:ind w:left="-49"/>
              <w:rPr>
                <w:color w:val="000000"/>
                <w:sz w:val="18"/>
                <w:szCs w:val="18"/>
                <w:lang w:val="da-DK" w:eastAsia="el-GR"/>
              </w:rPr>
            </w:pPr>
            <w:r w:rsidRPr="00F15E0D">
              <w:rPr>
                <w:color w:val="000000"/>
                <w:sz w:val="18"/>
                <w:szCs w:val="18"/>
                <w:lang w:val="da-DK" w:eastAsia="el-GR"/>
              </w:rPr>
              <w:t>Indeno[1,2,3-cd]pyrene,  Benzo[b]fluoranthen,</w:t>
            </w:r>
          </w:p>
          <w:p w:rsidR="00994211" w:rsidRPr="00F15E0D" w:rsidRDefault="00994211" w:rsidP="00994211">
            <w:pPr>
              <w:tabs>
                <w:tab w:val="left" w:pos="3537"/>
              </w:tabs>
              <w:spacing w:line="240" w:lineRule="auto"/>
              <w:ind w:left="-49"/>
              <w:rPr>
                <w:color w:val="000000"/>
                <w:sz w:val="18"/>
                <w:szCs w:val="18"/>
                <w:lang w:val="da-DK" w:eastAsia="el-GR"/>
              </w:rPr>
            </w:pPr>
            <w:r w:rsidRPr="00F15E0D">
              <w:rPr>
                <w:color w:val="000000"/>
                <w:sz w:val="18"/>
                <w:szCs w:val="18"/>
                <w:lang w:val="da-DK" w:eastAsia="el-GR"/>
              </w:rPr>
              <w:t xml:space="preserve"> Benzo[g,h,i]perylene, </w:t>
            </w:r>
          </w:p>
          <w:p w:rsidR="00994211" w:rsidRPr="00D9342E" w:rsidRDefault="00994211" w:rsidP="00994211">
            <w:pPr>
              <w:tabs>
                <w:tab w:val="left" w:pos="3537"/>
              </w:tabs>
              <w:spacing w:line="240" w:lineRule="auto"/>
              <w:ind w:left="-49"/>
              <w:jc w:val="left"/>
              <w:rPr>
                <w:color w:val="000000"/>
                <w:sz w:val="18"/>
                <w:szCs w:val="18"/>
                <w:lang w:val="en-US" w:eastAsia="el-GR"/>
              </w:rPr>
            </w:pPr>
            <w:r w:rsidRPr="00D9342E">
              <w:rPr>
                <w:color w:val="000000"/>
                <w:sz w:val="18"/>
                <w:szCs w:val="18"/>
                <w:lang w:val="en-US" w:eastAsia="el-GR"/>
              </w:rPr>
              <w:t>Benzo[k]fluoranthene</w:t>
            </w:r>
          </w:p>
        </w:tc>
        <w:tc>
          <w:tcPr>
            <w:tcW w:w="2695" w:type="dxa"/>
            <w:shd w:val="clear" w:color="auto" w:fill="auto"/>
            <w:noWrap/>
            <w:vAlign w:val="center"/>
            <w:hideMark/>
          </w:tcPr>
          <w:p w:rsidR="00994211" w:rsidRPr="00D9342E" w:rsidRDefault="00994211" w:rsidP="00994211">
            <w:pPr>
              <w:spacing w:line="240" w:lineRule="auto"/>
              <w:jc w:val="center"/>
              <w:rPr>
                <w:color w:val="000000"/>
                <w:sz w:val="18"/>
                <w:szCs w:val="18"/>
                <w:lang w:eastAsia="el-GR"/>
              </w:rPr>
            </w:pPr>
            <w:r w:rsidRPr="00D9342E">
              <w:rPr>
                <w:color w:val="000000"/>
                <w:sz w:val="18"/>
                <w:szCs w:val="18"/>
                <w:lang w:eastAsia="el-GR"/>
              </w:rPr>
              <w:t>Polyaromatic hydrocarbons (PAH) ( 7 )</w:t>
            </w:r>
          </w:p>
        </w:tc>
        <w:tc>
          <w:tcPr>
            <w:tcW w:w="976"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Simazine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Simazine</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Tributylin compounds (TBT)</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Tributyltin compounds</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Trichlorobenzenes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Trichlorobenzenes</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lastRenderedPageBreak/>
              <w:t>Trichloromethane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Trichloromethane (chloroform)</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864AB0">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Trifluralin</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Carbon-tetrachloride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Carbon-tetrachloride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DDT</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DDT total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pp'-DDT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para-para-DDT </w:t>
            </w:r>
          </w:p>
        </w:tc>
        <w:tc>
          <w:tcPr>
            <w:tcW w:w="976"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92D05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Aldrin</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Aldrin </w:t>
            </w:r>
          </w:p>
        </w:tc>
        <w:tc>
          <w:tcPr>
            <w:tcW w:w="976"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Dieldrin</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Dieldrin</w:t>
            </w:r>
          </w:p>
        </w:tc>
        <w:tc>
          <w:tcPr>
            <w:tcW w:w="976"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Endrin</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Endrin </w:t>
            </w:r>
          </w:p>
        </w:tc>
        <w:tc>
          <w:tcPr>
            <w:tcW w:w="976"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Isodrin </w:t>
            </w:r>
          </w:p>
        </w:tc>
        <w:tc>
          <w:tcPr>
            <w:tcW w:w="976"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Tetrachloroethylene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Tetrachloro-ethylene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BE09E8">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Trichloroethylene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xml:space="preserve"> Trichloro-ethylene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00B0F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Dicofol**</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val="en-US" w:eastAsia="el-GR"/>
              </w:rPr>
            </w:pPr>
            <w:r w:rsidRPr="00D9342E">
              <w:rPr>
                <w:color w:val="000000"/>
                <w:sz w:val="18"/>
                <w:szCs w:val="18"/>
                <w:lang w:eastAsia="el-GR"/>
              </w:rPr>
              <w:t xml:space="preserve">Perfluorooctane sulfonic </w:t>
            </w:r>
          </w:p>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acid (PFO)</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Perfluorooctane sulfonic acid and its derivatives (PFOS)</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val="en-US" w:eastAsia="el-GR"/>
              </w:rPr>
            </w:pPr>
            <w:r w:rsidRPr="00D9342E">
              <w:rPr>
                <w:color w:val="000000"/>
                <w:sz w:val="18"/>
                <w:szCs w:val="18"/>
                <w:lang w:val="en-US"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Quinoxyfen</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0F7DC4">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val="en-US" w:eastAsia="el-GR"/>
              </w:rPr>
            </w:pPr>
            <w:r w:rsidRPr="00D9342E">
              <w:rPr>
                <w:color w:val="000000"/>
                <w:sz w:val="18"/>
                <w:szCs w:val="18"/>
                <w:lang w:eastAsia="el-GR"/>
              </w:rPr>
              <w:t xml:space="preserve">PCB156,  PCB105, </w:t>
            </w:r>
          </w:p>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PCB118</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Dioxins and dioxin-like compounds</w:t>
            </w:r>
          </w:p>
        </w:tc>
        <w:tc>
          <w:tcPr>
            <w:tcW w:w="976" w:type="dxa"/>
            <w:shd w:val="clear" w:color="000000" w:fill="00B0F0"/>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c>
          <w:tcPr>
            <w:tcW w:w="987" w:type="dxa"/>
            <w:shd w:val="clear" w:color="000000" w:fill="00B0F0"/>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val="en-US" w:eastAsia="el-GR"/>
              </w:rPr>
            </w:pPr>
            <w:r w:rsidRPr="00D9342E">
              <w:rPr>
                <w:color w:val="000000"/>
                <w:sz w:val="18"/>
                <w:szCs w:val="18"/>
                <w:lang w:val="en-US"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val="en-US" w:eastAsia="el-GR"/>
              </w:rPr>
            </w:pPr>
            <w:r w:rsidRPr="00D9342E">
              <w:rPr>
                <w:color w:val="000000"/>
                <w:sz w:val="18"/>
                <w:szCs w:val="18"/>
                <w:lang w:val="en-US"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Aclonifen</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Bifenox</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Cybutryne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Cypermethrin ( 10 )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Dichlorvos</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Hexabromocyclododecanes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Hexabromocyclododecanes (HBCDD)</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0F7DC4">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Heptachlor epoxide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Heptachlor and heptachlor epoxide</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FFC000"/>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Terbutryn</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Terbutryn</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Polychlorinated biphenyl (PCB)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Cu</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pp'-DDE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Zn</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pp'-DDD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Cr</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PCB52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PCB138</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PCB153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PCB101</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Benzo[a]anthracene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PCB28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PCB180</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Chrysene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β-Hexachlorocyclohexane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As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lastRenderedPageBreak/>
              <w:t xml:space="preserve"> Heavy metals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Fluorene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Drins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Petroleum hydrocarbons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PCB31</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Chlordane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Fe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Li</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Organochlorine compounds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 Organochlorine pesticides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Paraffins</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Co</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00"/>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 xml:space="preserve">Ethylbenzene </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r w:rsidR="00994211" w:rsidRPr="00D9342E" w:rsidTr="00994211">
        <w:trPr>
          <w:trHeight w:val="315"/>
          <w:jc w:val="center"/>
        </w:trPr>
        <w:tc>
          <w:tcPr>
            <w:tcW w:w="2516" w:type="dxa"/>
            <w:shd w:val="clear" w:color="auto" w:fill="auto"/>
            <w:noWrap/>
            <w:vAlign w:val="bottom"/>
            <w:hideMark/>
          </w:tcPr>
          <w:p w:rsidR="00994211" w:rsidRPr="00D9342E" w:rsidRDefault="00994211" w:rsidP="00994211">
            <w:pPr>
              <w:tabs>
                <w:tab w:val="left" w:pos="3537"/>
              </w:tabs>
              <w:spacing w:line="240" w:lineRule="auto"/>
              <w:ind w:left="-49"/>
              <w:rPr>
                <w:color w:val="000000"/>
                <w:sz w:val="18"/>
                <w:szCs w:val="18"/>
                <w:lang w:eastAsia="el-GR"/>
              </w:rPr>
            </w:pPr>
            <w:r w:rsidRPr="00D9342E">
              <w:rPr>
                <w:color w:val="000000"/>
                <w:sz w:val="18"/>
                <w:szCs w:val="18"/>
                <w:lang w:eastAsia="el-GR"/>
              </w:rPr>
              <w:t>Xylene</w:t>
            </w:r>
          </w:p>
        </w:tc>
        <w:tc>
          <w:tcPr>
            <w:tcW w:w="2695"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76"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9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76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c>
          <w:tcPr>
            <w:tcW w:w="587" w:type="dxa"/>
            <w:shd w:val="clear" w:color="auto" w:fill="auto"/>
            <w:noWrap/>
            <w:vAlign w:val="bottom"/>
            <w:hideMark/>
          </w:tcPr>
          <w:p w:rsidR="00994211" w:rsidRPr="00D9342E" w:rsidRDefault="00994211" w:rsidP="00994211">
            <w:pPr>
              <w:spacing w:line="240" w:lineRule="auto"/>
              <w:rPr>
                <w:color w:val="000000"/>
                <w:sz w:val="18"/>
                <w:szCs w:val="18"/>
                <w:lang w:eastAsia="el-GR"/>
              </w:rPr>
            </w:pPr>
            <w:r w:rsidRPr="00D9342E">
              <w:rPr>
                <w:color w:val="000000"/>
                <w:sz w:val="18"/>
                <w:szCs w:val="18"/>
                <w:lang w:eastAsia="el-GR"/>
              </w:rPr>
              <w:t> </w:t>
            </w:r>
          </w:p>
        </w:tc>
      </w:tr>
    </w:tbl>
    <w:p w:rsidR="005F3838" w:rsidRDefault="00781A2C" w:rsidP="005F3838">
      <w:pPr>
        <w:rPr>
          <w:lang w:val="en-US"/>
        </w:rPr>
      </w:pPr>
      <w:r>
        <w:rPr>
          <w:lang w:val="en-US"/>
        </w:rPr>
        <w:t>*Palialexis et al. 2014</w:t>
      </w:r>
    </w:p>
    <w:p w:rsidR="005F3838" w:rsidRDefault="005F3838" w:rsidP="005F3838">
      <w:pPr>
        <w:rPr>
          <w:lang w:val="en-US"/>
        </w:rPr>
      </w:pPr>
    </w:p>
    <w:tbl>
      <w:tblPr>
        <w:tblStyle w:val="TableGrid"/>
        <w:tblW w:w="0" w:type="auto"/>
        <w:tblLook w:val="04A0"/>
      </w:tblPr>
      <w:tblGrid>
        <w:gridCol w:w="1300"/>
        <w:gridCol w:w="1196"/>
        <w:gridCol w:w="1068"/>
        <w:gridCol w:w="1068"/>
        <w:gridCol w:w="1068"/>
        <w:gridCol w:w="941"/>
      </w:tblGrid>
      <w:tr w:rsidR="00994211" w:rsidRPr="00994211" w:rsidTr="00994211">
        <w:tc>
          <w:tcPr>
            <w:tcW w:w="0" w:type="auto"/>
            <w:vAlign w:val="bottom"/>
          </w:tcPr>
          <w:p w:rsidR="00994211" w:rsidRPr="00994211" w:rsidRDefault="00994211" w:rsidP="00994211">
            <w:pPr>
              <w:tabs>
                <w:tab w:val="left" w:pos="3537"/>
              </w:tabs>
              <w:ind w:left="-49"/>
              <w:rPr>
                <w:rFonts w:cs="Times New Roman"/>
                <w:color w:val="000000"/>
                <w:sz w:val="18"/>
                <w:szCs w:val="18"/>
                <w:lang w:eastAsia="el-GR"/>
              </w:rPr>
            </w:pPr>
            <w:r w:rsidRPr="00994211">
              <w:rPr>
                <w:rFonts w:cs="Times New Roman"/>
                <w:color w:val="000000"/>
                <w:sz w:val="18"/>
                <w:szCs w:val="18"/>
                <w:lang w:eastAsia="el-GR"/>
              </w:rPr>
              <w:t>Frequency</w:t>
            </w:r>
          </w:p>
        </w:tc>
        <w:tc>
          <w:tcPr>
            <w:tcW w:w="0" w:type="auto"/>
            <w:shd w:val="clear" w:color="auto" w:fill="FF0000"/>
            <w:vAlign w:val="bottom"/>
          </w:tcPr>
          <w:p w:rsidR="00994211" w:rsidRPr="00994211" w:rsidRDefault="00994211" w:rsidP="00994211">
            <w:pPr>
              <w:jc w:val="center"/>
              <w:rPr>
                <w:rFonts w:cs="Times New Roman"/>
                <w:color w:val="FF0000"/>
                <w:sz w:val="18"/>
                <w:szCs w:val="18"/>
                <w:lang w:eastAsia="el-GR"/>
              </w:rPr>
            </w:pPr>
            <w:r w:rsidRPr="00994211">
              <w:rPr>
                <w:rFonts w:cs="Times New Roman"/>
                <w:color w:val="000000"/>
                <w:sz w:val="18"/>
                <w:szCs w:val="18"/>
                <w:lang w:eastAsia="el-GR"/>
              </w:rPr>
              <w:t>100-81%</w:t>
            </w:r>
          </w:p>
        </w:tc>
        <w:tc>
          <w:tcPr>
            <w:tcW w:w="0" w:type="auto"/>
            <w:shd w:val="clear" w:color="auto" w:fill="FFC000"/>
            <w:vAlign w:val="bottom"/>
          </w:tcPr>
          <w:p w:rsidR="00994211" w:rsidRPr="00994211" w:rsidRDefault="00994211" w:rsidP="00994211">
            <w:pPr>
              <w:jc w:val="center"/>
              <w:rPr>
                <w:rFonts w:cs="Times New Roman"/>
                <w:color w:val="000000"/>
                <w:sz w:val="18"/>
                <w:szCs w:val="18"/>
                <w:lang w:eastAsia="el-GR"/>
              </w:rPr>
            </w:pPr>
            <w:r w:rsidRPr="00994211">
              <w:rPr>
                <w:rFonts w:cs="Times New Roman"/>
                <w:color w:val="000000"/>
                <w:sz w:val="18"/>
                <w:szCs w:val="18"/>
                <w:lang w:eastAsia="el-GR"/>
              </w:rPr>
              <w:t>80-61%</w:t>
            </w:r>
          </w:p>
        </w:tc>
        <w:tc>
          <w:tcPr>
            <w:tcW w:w="0" w:type="auto"/>
            <w:shd w:val="clear" w:color="auto" w:fill="FFFF00"/>
            <w:vAlign w:val="bottom"/>
          </w:tcPr>
          <w:p w:rsidR="00994211" w:rsidRPr="00994211" w:rsidRDefault="00994211" w:rsidP="00994211">
            <w:pPr>
              <w:jc w:val="center"/>
              <w:rPr>
                <w:rFonts w:cs="Times New Roman"/>
                <w:color w:val="000000"/>
                <w:sz w:val="18"/>
                <w:szCs w:val="18"/>
                <w:lang w:eastAsia="el-GR"/>
              </w:rPr>
            </w:pPr>
            <w:r w:rsidRPr="00994211">
              <w:rPr>
                <w:rFonts w:cs="Times New Roman"/>
                <w:color w:val="000000"/>
                <w:sz w:val="18"/>
                <w:szCs w:val="18"/>
                <w:lang w:eastAsia="el-GR"/>
              </w:rPr>
              <w:t>60-41%</w:t>
            </w:r>
          </w:p>
        </w:tc>
        <w:tc>
          <w:tcPr>
            <w:tcW w:w="0" w:type="auto"/>
            <w:shd w:val="clear" w:color="auto" w:fill="92D050"/>
            <w:vAlign w:val="bottom"/>
          </w:tcPr>
          <w:p w:rsidR="00994211" w:rsidRPr="00994211" w:rsidRDefault="00994211" w:rsidP="00994211">
            <w:pPr>
              <w:jc w:val="center"/>
              <w:rPr>
                <w:rFonts w:cs="Times New Roman"/>
                <w:color w:val="000000"/>
                <w:sz w:val="18"/>
                <w:szCs w:val="18"/>
                <w:lang w:eastAsia="el-GR"/>
              </w:rPr>
            </w:pPr>
            <w:r w:rsidRPr="00994211">
              <w:rPr>
                <w:rFonts w:cs="Times New Roman"/>
                <w:color w:val="000000"/>
                <w:sz w:val="18"/>
                <w:szCs w:val="18"/>
                <w:lang w:eastAsia="el-GR"/>
              </w:rPr>
              <w:t>40-21%</w:t>
            </w:r>
          </w:p>
        </w:tc>
        <w:tc>
          <w:tcPr>
            <w:tcW w:w="0" w:type="auto"/>
            <w:shd w:val="clear" w:color="auto" w:fill="00B0F0"/>
            <w:vAlign w:val="bottom"/>
          </w:tcPr>
          <w:p w:rsidR="00994211" w:rsidRPr="00994211" w:rsidRDefault="00994211" w:rsidP="00994211">
            <w:pPr>
              <w:jc w:val="center"/>
              <w:rPr>
                <w:rFonts w:cs="Times New Roman"/>
                <w:color w:val="000000"/>
                <w:sz w:val="18"/>
                <w:szCs w:val="18"/>
                <w:lang w:eastAsia="el-GR"/>
              </w:rPr>
            </w:pPr>
            <w:r w:rsidRPr="00994211">
              <w:rPr>
                <w:rFonts w:cs="Times New Roman"/>
                <w:color w:val="000000"/>
                <w:sz w:val="18"/>
                <w:szCs w:val="18"/>
                <w:lang w:eastAsia="el-GR"/>
              </w:rPr>
              <w:t>20-0%</w:t>
            </w:r>
          </w:p>
        </w:tc>
      </w:tr>
      <w:tr w:rsidR="00994211" w:rsidRPr="00994211" w:rsidTr="00994211">
        <w:trPr>
          <w:trHeight w:val="290"/>
        </w:trPr>
        <w:tc>
          <w:tcPr>
            <w:tcW w:w="0" w:type="auto"/>
            <w:gridSpan w:val="6"/>
            <w:vAlign w:val="bottom"/>
          </w:tcPr>
          <w:p w:rsidR="00994211" w:rsidRPr="00994211" w:rsidRDefault="00994211" w:rsidP="00994211">
            <w:pPr>
              <w:tabs>
                <w:tab w:val="left" w:pos="3537"/>
              </w:tabs>
              <w:ind w:left="-49"/>
              <w:rPr>
                <w:rFonts w:cs="Times New Roman"/>
                <w:color w:val="000000"/>
                <w:sz w:val="18"/>
                <w:szCs w:val="18"/>
                <w:lang w:val="en-US" w:eastAsia="el-GR"/>
              </w:rPr>
            </w:pPr>
            <w:r w:rsidRPr="00994211">
              <w:rPr>
                <w:rFonts w:cs="Times New Roman"/>
                <w:color w:val="000000"/>
                <w:sz w:val="18"/>
                <w:szCs w:val="18"/>
                <w:lang w:val="en-US" w:eastAsia="el-GR"/>
              </w:rPr>
              <w:t>For groups of substances, the highest frequency of individual substance is shown</w:t>
            </w:r>
          </w:p>
        </w:tc>
      </w:tr>
    </w:tbl>
    <w:p w:rsidR="005F3838" w:rsidRDefault="005F3838" w:rsidP="005F3838">
      <w:pPr>
        <w:rPr>
          <w:lang w:val="en-US"/>
        </w:rPr>
      </w:pPr>
    </w:p>
    <w:p w:rsidR="00781A2C" w:rsidRDefault="00781A2C">
      <w:pPr>
        <w:spacing w:line="240" w:lineRule="auto"/>
        <w:jc w:val="left"/>
        <w:rPr>
          <w:lang w:val="en-US"/>
        </w:rPr>
      </w:pPr>
      <w:r>
        <w:rPr>
          <w:lang w:val="en-US"/>
        </w:rPr>
        <w:br w:type="page"/>
      </w:r>
    </w:p>
    <w:p w:rsidR="00781A2C" w:rsidRDefault="00781A2C" w:rsidP="00781A2C">
      <w:pPr>
        <w:pStyle w:val="Caption"/>
        <w:ind w:left="0" w:firstLine="0"/>
        <w:rPr>
          <w:lang w:val="en-US"/>
        </w:rPr>
      </w:pPr>
      <w:r>
        <w:lastRenderedPageBreak/>
        <w:t xml:space="preserve">Table </w:t>
      </w:r>
      <w:r w:rsidR="008135ED">
        <w:fldChar w:fldCharType="begin"/>
      </w:r>
      <w:r w:rsidR="00F15E0D">
        <w:instrText xml:space="preserve"> STYLEREF 1 \s </w:instrText>
      </w:r>
      <w:r w:rsidR="008135ED">
        <w:fldChar w:fldCharType="separate"/>
      </w:r>
      <w:r>
        <w:rPr>
          <w:noProof/>
        </w:rPr>
        <w:t>3</w:t>
      </w:r>
      <w:r w:rsidR="008135ED">
        <w:rPr>
          <w:noProof/>
        </w:rPr>
        <w:fldChar w:fldCharType="end"/>
      </w:r>
      <w:r>
        <w:t>.</w:t>
      </w:r>
      <w:r w:rsidR="00290633">
        <w:t>7</w:t>
      </w:r>
      <w:r>
        <w:tab/>
        <w:t>P</w:t>
      </w:r>
      <w:r>
        <w:rPr>
          <w:lang w:val="en-US"/>
        </w:rPr>
        <w:t xml:space="preserve">arameters relevant to MSFD indicator 5.1.1-Contaminants in sediment: Frequency of reporting to the RSCs by </w:t>
      </w:r>
      <w:r w:rsidR="00BD2B24">
        <w:rPr>
          <w:lang w:val="en-US"/>
        </w:rPr>
        <w:t xml:space="preserve">the </w:t>
      </w:r>
      <w:r>
        <w:rPr>
          <w:lang w:val="en-US"/>
        </w:rPr>
        <w:t>CP</w:t>
      </w:r>
      <w:r w:rsidR="00BD2B24">
        <w:rPr>
          <w:lang w:val="en-US"/>
        </w:rPr>
        <w:t>s</w:t>
      </w:r>
      <w:r>
        <w:rPr>
          <w:lang w:val="en-US"/>
        </w:rPr>
        <w:t xml:space="preserve">. Chemical contaminants used for MSFD reporting by MS are also shown.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119"/>
        <w:gridCol w:w="992"/>
        <w:gridCol w:w="992"/>
        <w:gridCol w:w="851"/>
        <w:gridCol w:w="709"/>
      </w:tblGrid>
      <w:tr w:rsidR="00781A2C" w:rsidRPr="00EF05C1" w:rsidTr="00781A2C">
        <w:trPr>
          <w:trHeight w:val="1164"/>
        </w:trPr>
        <w:tc>
          <w:tcPr>
            <w:tcW w:w="2943" w:type="dxa"/>
            <w:shd w:val="clear" w:color="auto" w:fill="D9D9D9" w:themeFill="background1" w:themeFillShade="D9"/>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MSFD reporting*</w:t>
            </w:r>
          </w:p>
        </w:tc>
        <w:tc>
          <w:tcPr>
            <w:tcW w:w="3119" w:type="dxa"/>
            <w:shd w:val="clear" w:color="auto" w:fill="D9D9D9" w:themeFill="background1" w:themeFillShade="D9"/>
            <w:hideMark/>
          </w:tcPr>
          <w:p w:rsidR="00781A2C" w:rsidRPr="00EF05C1" w:rsidRDefault="00781A2C" w:rsidP="00781A2C">
            <w:pPr>
              <w:spacing w:line="240" w:lineRule="auto"/>
              <w:jc w:val="left"/>
              <w:rPr>
                <w:sz w:val="18"/>
                <w:szCs w:val="18"/>
                <w:lang w:val="en-US" w:eastAsia="el-GR"/>
              </w:rPr>
            </w:pPr>
            <w:r w:rsidRPr="00EF05C1">
              <w:rPr>
                <w:sz w:val="18"/>
                <w:szCs w:val="18"/>
                <w:lang w:val="en-US" w:eastAsia="el-GR"/>
              </w:rPr>
              <w:t>WFD Priority Substances and certain other pollutants (2008/105/EC)</w:t>
            </w:r>
            <w:r w:rsidRPr="00EF05C1">
              <w:rPr>
                <w:sz w:val="18"/>
                <w:szCs w:val="18"/>
                <w:lang w:val="en-US" w:eastAsia="el-GR"/>
              </w:rPr>
              <w:br/>
              <w:t xml:space="preserve"> WFD Priority Substances Amendment (2013/39/EC)</w:t>
            </w:r>
          </w:p>
        </w:tc>
        <w:tc>
          <w:tcPr>
            <w:tcW w:w="992" w:type="dxa"/>
            <w:shd w:val="clear" w:color="auto" w:fill="D9D9D9" w:themeFill="background1" w:themeFillShade="D9"/>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OSPAR</w:t>
            </w:r>
          </w:p>
        </w:tc>
        <w:tc>
          <w:tcPr>
            <w:tcW w:w="992" w:type="dxa"/>
            <w:shd w:val="clear" w:color="auto" w:fill="D9D9D9" w:themeFill="background1" w:themeFillShade="D9"/>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HELCOM</w:t>
            </w:r>
          </w:p>
        </w:tc>
        <w:tc>
          <w:tcPr>
            <w:tcW w:w="851" w:type="dxa"/>
            <w:shd w:val="clear" w:color="auto" w:fill="D9D9D9" w:themeFill="background1" w:themeFillShade="D9"/>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UNEP/MAP</w:t>
            </w:r>
          </w:p>
        </w:tc>
        <w:tc>
          <w:tcPr>
            <w:tcW w:w="709" w:type="dxa"/>
            <w:shd w:val="clear" w:color="auto" w:fill="D9D9D9" w:themeFill="background1" w:themeFillShade="D9"/>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BSC</w:t>
            </w: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Alachlor</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Alachlor</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Anthracene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Anthracene</w:t>
            </w: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Atrazine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Atrazine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Benzene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Benzene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D9342E">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Brominated diphenylethers (BDE)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Brominated diphenylethers</w:t>
            </w: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Cd</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Cadmium and its compounds</w:t>
            </w: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Chloroalkanes, C 10-13</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Chlorfenvinphos</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Chlorfenvinphos</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Chlorpyrifos</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Chlorpyrifos (Chlorpyrifos-ethyl)</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1,2-dichloroethane (DCE)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1,2-dichloroethane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Dichloromethane*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Dichloromethane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Di(2-ethylhexyl)phthalate (DEHP)</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Diuron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Diuron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Endosulfan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Endosulfan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Fluoranthene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Fluoranthene</w:t>
            </w: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000000" w:fill="00B0F0"/>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Hexachlorobenzene (HCB)</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Hexachlorobenzene</w:t>
            </w: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000000" w:fill="00B0F0"/>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Hexachlorobutadiene</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val="en-US" w:eastAsia="el-GR"/>
              </w:rPr>
            </w:pPr>
            <w:r w:rsidRPr="00EF05C1">
              <w:rPr>
                <w:sz w:val="18"/>
                <w:szCs w:val="18"/>
                <w:lang w:eastAsia="el-GR"/>
              </w:rPr>
              <w:t>Χ</w:t>
            </w:r>
            <w:r w:rsidRPr="00EF05C1">
              <w:rPr>
                <w:sz w:val="18"/>
                <w:szCs w:val="18"/>
                <w:lang w:val="en-US" w:eastAsia="el-GR"/>
              </w:rPr>
              <w:t>-Hexachlorocyclohexane (lindane)</w:t>
            </w:r>
          </w:p>
          <w:p w:rsidR="00781A2C" w:rsidRPr="00EF05C1" w:rsidRDefault="00781A2C" w:rsidP="00781A2C">
            <w:pPr>
              <w:spacing w:line="240" w:lineRule="auto"/>
              <w:jc w:val="left"/>
              <w:rPr>
                <w:sz w:val="18"/>
                <w:szCs w:val="18"/>
                <w:lang w:val="en-US" w:eastAsia="el-GR"/>
              </w:rPr>
            </w:pPr>
            <w:r w:rsidRPr="00EF05C1">
              <w:rPr>
                <w:sz w:val="18"/>
                <w:szCs w:val="18"/>
                <w:lang w:val="en-US" w:eastAsia="el-GR"/>
              </w:rPr>
              <w:t>a-Hexachlorocyclohexane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Hexachlorocyclohexane</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000000" w:fill="00B0F0"/>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Isoproturon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Isoproturon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Pb</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Lead and its compounds</w:t>
            </w: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Hg</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Mercury and its compounds</w:t>
            </w: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Naphthalene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Naphthalene</w:t>
            </w: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Ni</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Nickel and its compounds</w:t>
            </w: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Nonylphenols</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Nonylphenols</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Octylphenols</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Octylphenols ( 6 )</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Pentachlorobenzene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Pentachlorobenzene</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Pentachlorophenol</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val="en-US" w:eastAsia="el-GR"/>
              </w:rPr>
            </w:pPr>
            <w:r w:rsidRPr="00EF05C1">
              <w:rPr>
                <w:sz w:val="18"/>
                <w:szCs w:val="18"/>
                <w:lang w:val="en-US" w:eastAsia="el-GR"/>
              </w:rPr>
              <w:t>Polycyclic Aromatic Hydrocarbons (PAH), Benzo(a)pyrene, Indeno[1,2,3-cd]pyrene, Benzo[b]fluoranthene</w:t>
            </w:r>
          </w:p>
          <w:p w:rsidR="00781A2C" w:rsidRPr="00EF05C1" w:rsidRDefault="00781A2C" w:rsidP="00781A2C">
            <w:pPr>
              <w:spacing w:line="240" w:lineRule="auto"/>
              <w:jc w:val="left"/>
              <w:rPr>
                <w:sz w:val="18"/>
                <w:szCs w:val="18"/>
                <w:lang w:val="en-US" w:eastAsia="el-GR"/>
              </w:rPr>
            </w:pPr>
            <w:r w:rsidRPr="00EF05C1">
              <w:rPr>
                <w:sz w:val="18"/>
                <w:szCs w:val="18"/>
                <w:lang w:val="en-US" w:eastAsia="el-GR"/>
              </w:rPr>
              <w:t>Benzo[g,h,i]perylene</w:t>
            </w:r>
          </w:p>
          <w:p w:rsidR="00781A2C" w:rsidRPr="00EF05C1" w:rsidRDefault="00781A2C" w:rsidP="00781A2C">
            <w:pPr>
              <w:spacing w:line="240" w:lineRule="auto"/>
              <w:jc w:val="left"/>
              <w:rPr>
                <w:sz w:val="18"/>
                <w:szCs w:val="18"/>
                <w:lang w:val="en-US" w:eastAsia="el-GR"/>
              </w:rPr>
            </w:pPr>
            <w:r w:rsidRPr="00EF05C1">
              <w:rPr>
                <w:sz w:val="18"/>
                <w:szCs w:val="18"/>
                <w:lang w:val="en-US" w:eastAsia="el-GR"/>
              </w:rPr>
              <w:t>Benzo[k]fluoranthene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Polyaromatic hydrocarbons (PAH) ( 7 )</w:t>
            </w: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000000" w:fill="00B0F0"/>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Simazine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Simazine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Tributylin compounds (TBT)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Tributyltin compounds</w:t>
            </w: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Trichlorobenzenes</w:t>
            </w: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992" w:type="dxa"/>
            <w:shd w:val="clear" w:color="000000"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Trichloromethane (chloroform)</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lastRenderedPageBreak/>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Trifluralin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000000" w:fill="FFFF0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Dicofol**</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Perfluorooctane sulfonic acid (PFO)</w:t>
            </w:r>
          </w:p>
        </w:tc>
        <w:tc>
          <w:tcPr>
            <w:tcW w:w="3119" w:type="dxa"/>
            <w:shd w:val="clear" w:color="auto" w:fill="auto"/>
            <w:noWrap/>
            <w:hideMark/>
          </w:tcPr>
          <w:p w:rsidR="00781A2C" w:rsidRPr="00EF05C1" w:rsidRDefault="00781A2C" w:rsidP="00781A2C">
            <w:pPr>
              <w:spacing w:line="240" w:lineRule="auto"/>
              <w:jc w:val="left"/>
              <w:rPr>
                <w:sz w:val="18"/>
                <w:szCs w:val="18"/>
                <w:lang w:val="en-US" w:eastAsia="el-GR"/>
              </w:rPr>
            </w:pPr>
            <w:r w:rsidRPr="00EF05C1">
              <w:rPr>
                <w:sz w:val="18"/>
                <w:szCs w:val="18"/>
                <w:lang w:val="en-US" w:eastAsia="el-GR"/>
              </w:rPr>
              <w:t>Perfluorooctane sulfonic acid and its derivatives (PFOS)</w:t>
            </w:r>
          </w:p>
        </w:tc>
        <w:tc>
          <w:tcPr>
            <w:tcW w:w="992" w:type="dxa"/>
            <w:shd w:val="clear" w:color="auto" w:fill="auto"/>
            <w:noWrap/>
            <w:hideMark/>
          </w:tcPr>
          <w:p w:rsidR="00781A2C" w:rsidRPr="00EF05C1" w:rsidRDefault="00781A2C" w:rsidP="00781A2C">
            <w:pPr>
              <w:spacing w:line="240" w:lineRule="auto"/>
              <w:jc w:val="left"/>
              <w:rPr>
                <w:sz w:val="18"/>
                <w:szCs w:val="18"/>
                <w:lang w:val="en-US"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val="en-US"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val="en-US"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val="en-US"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val="en-US" w:eastAsia="el-GR"/>
              </w:rPr>
            </w:pPr>
            <w:r w:rsidRPr="00EF05C1">
              <w:rPr>
                <w:sz w:val="18"/>
                <w:szCs w:val="18"/>
                <w:lang w:val="en-US"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Quinoxyfen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val="en-US" w:eastAsia="el-GR"/>
              </w:rPr>
            </w:pPr>
            <w:r w:rsidRPr="00EF05C1">
              <w:rPr>
                <w:sz w:val="18"/>
                <w:szCs w:val="18"/>
                <w:lang w:val="en-US" w:eastAsia="el-GR"/>
              </w:rPr>
              <w:t>Dioxins and dioxin-like PCBs,</w:t>
            </w:r>
          </w:p>
          <w:p w:rsidR="00781A2C" w:rsidRPr="00EF05C1" w:rsidRDefault="00781A2C" w:rsidP="00781A2C">
            <w:pPr>
              <w:spacing w:line="240" w:lineRule="auto"/>
              <w:jc w:val="left"/>
              <w:rPr>
                <w:sz w:val="18"/>
                <w:szCs w:val="18"/>
                <w:lang w:val="en-US" w:eastAsia="el-GR"/>
              </w:rPr>
            </w:pPr>
            <w:r w:rsidRPr="00EF05C1">
              <w:rPr>
                <w:sz w:val="18"/>
                <w:szCs w:val="18"/>
                <w:lang w:val="en-US" w:eastAsia="el-GR"/>
              </w:rPr>
              <w:t xml:space="preserve">  </w:t>
            </w:r>
            <w:r w:rsidRPr="00EF05C1">
              <w:rPr>
                <w:sz w:val="18"/>
                <w:szCs w:val="18"/>
                <w:lang w:eastAsia="el-GR"/>
              </w:rPr>
              <w:t>PCB156,  PCB105, PCB118,  Furans</w:t>
            </w:r>
          </w:p>
        </w:tc>
        <w:tc>
          <w:tcPr>
            <w:tcW w:w="3119" w:type="dxa"/>
            <w:shd w:val="clear" w:color="auto" w:fill="auto"/>
            <w:noWrap/>
            <w:hideMark/>
          </w:tcPr>
          <w:p w:rsidR="00781A2C" w:rsidRPr="00EF05C1" w:rsidRDefault="00781A2C" w:rsidP="00781A2C">
            <w:pPr>
              <w:spacing w:line="240" w:lineRule="auto"/>
              <w:jc w:val="left"/>
              <w:rPr>
                <w:sz w:val="18"/>
                <w:szCs w:val="18"/>
                <w:lang w:val="en-US" w:eastAsia="el-GR"/>
              </w:rPr>
            </w:pPr>
            <w:r w:rsidRPr="00EF05C1">
              <w:rPr>
                <w:sz w:val="18"/>
                <w:szCs w:val="18"/>
                <w:lang w:val="en-US" w:eastAsia="el-GR"/>
              </w:rPr>
              <w:t>Dioxins and dioxin-like compounds</w:t>
            </w:r>
          </w:p>
        </w:tc>
        <w:tc>
          <w:tcPr>
            <w:tcW w:w="992" w:type="dxa"/>
            <w:shd w:val="clear" w:color="auto" w:fill="FFFF00"/>
            <w:noWrap/>
            <w:hideMark/>
          </w:tcPr>
          <w:p w:rsidR="00781A2C" w:rsidRPr="00EF05C1" w:rsidRDefault="00781A2C" w:rsidP="00781A2C">
            <w:pPr>
              <w:spacing w:line="240" w:lineRule="auto"/>
              <w:jc w:val="left"/>
              <w:rPr>
                <w:sz w:val="18"/>
                <w:szCs w:val="18"/>
                <w:lang w:val="en-US" w:eastAsia="el-GR"/>
              </w:rPr>
            </w:pPr>
          </w:p>
        </w:tc>
        <w:tc>
          <w:tcPr>
            <w:tcW w:w="992" w:type="dxa"/>
            <w:shd w:val="clear" w:color="000000" w:fill="92D050"/>
            <w:noWrap/>
            <w:hideMark/>
          </w:tcPr>
          <w:p w:rsidR="00781A2C" w:rsidRPr="00EF05C1" w:rsidRDefault="00781A2C" w:rsidP="00781A2C">
            <w:pPr>
              <w:spacing w:line="240" w:lineRule="auto"/>
              <w:jc w:val="left"/>
              <w:rPr>
                <w:sz w:val="18"/>
                <w:szCs w:val="18"/>
                <w:lang w:val="en-US"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val="en-US"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val="en-US"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Aclonifen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Bifenox</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Cybutryne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Cypermethrin ( 10 )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Dichlorvos</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Hexabromocyclododecanes</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Hexabromocyclododecanes (HBCDD)</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Heptachlor epoxide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Heptachlor and heptachlor epoxide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Terbutryn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Terbutryn</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Carbon-tetrachloride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DDT</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DDT total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pp'-DDT</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para-para-DDT </w:t>
            </w: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992" w:type="dxa"/>
            <w:shd w:val="clear" w:color="auto" w:fill="92D05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Aldrin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Aldrin </w:t>
            </w: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Dieldrin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Dieldrin</w:t>
            </w: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Endrin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Endrin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FFC000"/>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Isodrin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Tetrachloro-ethylene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0F7DC4">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Trichloro-ethylene</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00B0F0"/>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Polychlorinated biphenyl (PCB)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Cu</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pp'-DDE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Zn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pp'-DDD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Cr</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PCB52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PCB138</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PCB153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PCB101</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Benzo[a]anthracene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PCB28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PCB180</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Chrysene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β-Hexachlorocyclohexane 3 2 3</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As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Phenanthrene - 4 2</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Pyrene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Fluorene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lastRenderedPageBreak/>
              <w:t>Drins</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Petroleum hydrocarbons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PCB31</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Chlordane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Fe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Li</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Nonachlor</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Al</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Mn</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Acenaphthylene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Dibezo(a,h)anthracene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Benzo[e]perylene </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Bisphenol A</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r>
      <w:tr w:rsidR="00781A2C" w:rsidRPr="00EF05C1" w:rsidTr="00781A2C">
        <w:trPr>
          <w:trHeight w:val="288"/>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xml:space="preserve"> Naphthalene/Pyrene</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r>
      <w:tr w:rsidR="00781A2C" w:rsidRPr="00EF05C1" w:rsidTr="00781A2C">
        <w:trPr>
          <w:trHeight w:val="300"/>
        </w:trPr>
        <w:tc>
          <w:tcPr>
            <w:tcW w:w="2943"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PCB128</w:t>
            </w:r>
          </w:p>
        </w:tc>
        <w:tc>
          <w:tcPr>
            <w:tcW w:w="311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992"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851"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c>
          <w:tcPr>
            <w:tcW w:w="709" w:type="dxa"/>
            <w:shd w:val="clear" w:color="auto" w:fill="auto"/>
            <w:noWrap/>
            <w:hideMark/>
          </w:tcPr>
          <w:p w:rsidR="00781A2C" w:rsidRPr="00EF05C1" w:rsidRDefault="00781A2C" w:rsidP="00781A2C">
            <w:pPr>
              <w:spacing w:line="240" w:lineRule="auto"/>
              <w:jc w:val="left"/>
              <w:rPr>
                <w:sz w:val="18"/>
                <w:szCs w:val="18"/>
                <w:lang w:eastAsia="el-GR"/>
              </w:rPr>
            </w:pPr>
            <w:r w:rsidRPr="00EF05C1">
              <w:rPr>
                <w:sz w:val="18"/>
                <w:szCs w:val="18"/>
                <w:lang w:eastAsia="el-GR"/>
              </w:rPr>
              <w:t> </w:t>
            </w:r>
          </w:p>
        </w:tc>
      </w:tr>
    </w:tbl>
    <w:p w:rsidR="00781A2C" w:rsidRPr="00781A2C" w:rsidRDefault="00781A2C" w:rsidP="00781A2C">
      <w:pPr>
        <w:rPr>
          <w:sz w:val="18"/>
          <w:szCs w:val="18"/>
          <w:lang w:val="en-US"/>
        </w:rPr>
      </w:pPr>
      <w:r w:rsidRPr="00781A2C">
        <w:rPr>
          <w:sz w:val="18"/>
          <w:szCs w:val="18"/>
          <w:lang w:val="en-US"/>
        </w:rPr>
        <w:t>*Palialexis et al. 2014</w:t>
      </w:r>
    </w:p>
    <w:p w:rsidR="00781A2C" w:rsidRDefault="00781A2C" w:rsidP="00781A2C">
      <w:pPr>
        <w:rPr>
          <w:lang w:val="en-US"/>
        </w:rPr>
      </w:pPr>
    </w:p>
    <w:tbl>
      <w:tblPr>
        <w:tblStyle w:val="TableGrid"/>
        <w:tblW w:w="0" w:type="auto"/>
        <w:tblLook w:val="04A0"/>
      </w:tblPr>
      <w:tblGrid>
        <w:gridCol w:w="1300"/>
        <w:gridCol w:w="1196"/>
        <w:gridCol w:w="1068"/>
        <w:gridCol w:w="1068"/>
        <w:gridCol w:w="1068"/>
        <w:gridCol w:w="941"/>
      </w:tblGrid>
      <w:tr w:rsidR="00781A2C" w:rsidRPr="00994211" w:rsidTr="00EF05C1">
        <w:tc>
          <w:tcPr>
            <w:tcW w:w="0" w:type="auto"/>
            <w:vAlign w:val="bottom"/>
          </w:tcPr>
          <w:p w:rsidR="00781A2C" w:rsidRPr="00994211" w:rsidRDefault="00781A2C" w:rsidP="00EF05C1">
            <w:pPr>
              <w:tabs>
                <w:tab w:val="left" w:pos="3537"/>
              </w:tabs>
              <w:ind w:left="-49"/>
              <w:rPr>
                <w:rFonts w:cs="Times New Roman"/>
                <w:color w:val="000000"/>
                <w:sz w:val="18"/>
                <w:szCs w:val="18"/>
                <w:lang w:eastAsia="el-GR"/>
              </w:rPr>
            </w:pPr>
            <w:r w:rsidRPr="00994211">
              <w:rPr>
                <w:rFonts w:cs="Times New Roman"/>
                <w:color w:val="000000"/>
                <w:sz w:val="18"/>
                <w:szCs w:val="18"/>
                <w:lang w:eastAsia="el-GR"/>
              </w:rPr>
              <w:t>Frequency</w:t>
            </w:r>
          </w:p>
        </w:tc>
        <w:tc>
          <w:tcPr>
            <w:tcW w:w="0" w:type="auto"/>
            <w:shd w:val="clear" w:color="auto" w:fill="FF0000"/>
            <w:vAlign w:val="bottom"/>
          </w:tcPr>
          <w:p w:rsidR="00781A2C" w:rsidRPr="00994211" w:rsidRDefault="00781A2C" w:rsidP="00EF05C1">
            <w:pPr>
              <w:jc w:val="center"/>
              <w:rPr>
                <w:rFonts w:cs="Times New Roman"/>
                <w:color w:val="FF0000"/>
                <w:sz w:val="18"/>
                <w:szCs w:val="18"/>
                <w:lang w:eastAsia="el-GR"/>
              </w:rPr>
            </w:pPr>
            <w:r w:rsidRPr="00994211">
              <w:rPr>
                <w:rFonts w:cs="Times New Roman"/>
                <w:color w:val="000000"/>
                <w:sz w:val="18"/>
                <w:szCs w:val="18"/>
                <w:lang w:eastAsia="el-GR"/>
              </w:rPr>
              <w:t>100-81%</w:t>
            </w:r>
          </w:p>
        </w:tc>
        <w:tc>
          <w:tcPr>
            <w:tcW w:w="0" w:type="auto"/>
            <w:shd w:val="clear" w:color="auto" w:fill="FFC000"/>
            <w:vAlign w:val="bottom"/>
          </w:tcPr>
          <w:p w:rsidR="00781A2C" w:rsidRPr="00994211" w:rsidRDefault="00781A2C" w:rsidP="00EF05C1">
            <w:pPr>
              <w:jc w:val="center"/>
              <w:rPr>
                <w:rFonts w:cs="Times New Roman"/>
                <w:color w:val="000000"/>
                <w:sz w:val="18"/>
                <w:szCs w:val="18"/>
                <w:lang w:eastAsia="el-GR"/>
              </w:rPr>
            </w:pPr>
            <w:r w:rsidRPr="00994211">
              <w:rPr>
                <w:rFonts w:cs="Times New Roman"/>
                <w:color w:val="000000"/>
                <w:sz w:val="18"/>
                <w:szCs w:val="18"/>
                <w:lang w:eastAsia="el-GR"/>
              </w:rPr>
              <w:t>80-61%</w:t>
            </w:r>
          </w:p>
        </w:tc>
        <w:tc>
          <w:tcPr>
            <w:tcW w:w="0" w:type="auto"/>
            <w:shd w:val="clear" w:color="auto" w:fill="FFFF00"/>
            <w:vAlign w:val="bottom"/>
          </w:tcPr>
          <w:p w:rsidR="00781A2C" w:rsidRPr="00994211" w:rsidRDefault="00781A2C" w:rsidP="00EF05C1">
            <w:pPr>
              <w:jc w:val="center"/>
              <w:rPr>
                <w:rFonts w:cs="Times New Roman"/>
                <w:color w:val="000000"/>
                <w:sz w:val="18"/>
                <w:szCs w:val="18"/>
                <w:lang w:eastAsia="el-GR"/>
              </w:rPr>
            </w:pPr>
            <w:r w:rsidRPr="00994211">
              <w:rPr>
                <w:rFonts w:cs="Times New Roman"/>
                <w:color w:val="000000"/>
                <w:sz w:val="18"/>
                <w:szCs w:val="18"/>
                <w:lang w:eastAsia="el-GR"/>
              </w:rPr>
              <w:t>60-41%</w:t>
            </w:r>
          </w:p>
        </w:tc>
        <w:tc>
          <w:tcPr>
            <w:tcW w:w="0" w:type="auto"/>
            <w:shd w:val="clear" w:color="auto" w:fill="92D050"/>
            <w:vAlign w:val="bottom"/>
          </w:tcPr>
          <w:p w:rsidR="00781A2C" w:rsidRPr="00994211" w:rsidRDefault="00781A2C" w:rsidP="00EF05C1">
            <w:pPr>
              <w:jc w:val="center"/>
              <w:rPr>
                <w:rFonts w:cs="Times New Roman"/>
                <w:color w:val="000000"/>
                <w:sz w:val="18"/>
                <w:szCs w:val="18"/>
                <w:lang w:eastAsia="el-GR"/>
              </w:rPr>
            </w:pPr>
            <w:r w:rsidRPr="00994211">
              <w:rPr>
                <w:rFonts w:cs="Times New Roman"/>
                <w:color w:val="000000"/>
                <w:sz w:val="18"/>
                <w:szCs w:val="18"/>
                <w:lang w:eastAsia="el-GR"/>
              </w:rPr>
              <w:t>40-21%</w:t>
            </w:r>
          </w:p>
        </w:tc>
        <w:tc>
          <w:tcPr>
            <w:tcW w:w="0" w:type="auto"/>
            <w:shd w:val="clear" w:color="auto" w:fill="00B0F0"/>
            <w:vAlign w:val="bottom"/>
          </w:tcPr>
          <w:p w:rsidR="00781A2C" w:rsidRPr="00994211" w:rsidRDefault="00781A2C" w:rsidP="00EF05C1">
            <w:pPr>
              <w:jc w:val="center"/>
              <w:rPr>
                <w:rFonts w:cs="Times New Roman"/>
                <w:color w:val="000000"/>
                <w:sz w:val="18"/>
                <w:szCs w:val="18"/>
                <w:lang w:eastAsia="el-GR"/>
              </w:rPr>
            </w:pPr>
            <w:r w:rsidRPr="00994211">
              <w:rPr>
                <w:rFonts w:cs="Times New Roman"/>
                <w:color w:val="000000"/>
                <w:sz w:val="18"/>
                <w:szCs w:val="18"/>
                <w:lang w:eastAsia="el-GR"/>
              </w:rPr>
              <w:t>20-0%</w:t>
            </w:r>
          </w:p>
        </w:tc>
      </w:tr>
      <w:tr w:rsidR="00781A2C" w:rsidRPr="00994211" w:rsidTr="00EF05C1">
        <w:trPr>
          <w:trHeight w:val="290"/>
        </w:trPr>
        <w:tc>
          <w:tcPr>
            <w:tcW w:w="0" w:type="auto"/>
            <w:gridSpan w:val="6"/>
            <w:vAlign w:val="bottom"/>
          </w:tcPr>
          <w:p w:rsidR="00781A2C" w:rsidRPr="00994211" w:rsidRDefault="00781A2C" w:rsidP="00EF05C1">
            <w:pPr>
              <w:tabs>
                <w:tab w:val="left" w:pos="3537"/>
              </w:tabs>
              <w:ind w:left="-49"/>
              <w:rPr>
                <w:rFonts w:cs="Times New Roman"/>
                <w:color w:val="000000"/>
                <w:sz w:val="18"/>
                <w:szCs w:val="18"/>
                <w:lang w:val="en-US" w:eastAsia="el-GR"/>
              </w:rPr>
            </w:pPr>
            <w:r w:rsidRPr="00994211">
              <w:rPr>
                <w:rFonts w:cs="Times New Roman"/>
                <w:color w:val="000000"/>
                <w:sz w:val="18"/>
                <w:szCs w:val="18"/>
                <w:lang w:val="en-US" w:eastAsia="el-GR"/>
              </w:rPr>
              <w:t>For groups of substances, the highest frequency of individual substance is shown</w:t>
            </w:r>
          </w:p>
        </w:tc>
      </w:tr>
    </w:tbl>
    <w:p w:rsidR="005F3838" w:rsidRDefault="005F3838" w:rsidP="005F3838">
      <w:pPr>
        <w:rPr>
          <w:lang w:val="en-US"/>
        </w:rPr>
      </w:pPr>
    </w:p>
    <w:p w:rsidR="005F3838" w:rsidRPr="005F3838" w:rsidRDefault="005F3838" w:rsidP="005F3838">
      <w:pPr>
        <w:rPr>
          <w:lang w:val="en-US"/>
        </w:rPr>
      </w:pPr>
    </w:p>
    <w:p w:rsidR="00D12E8B" w:rsidRDefault="00D12E8B" w:rsidP="00D12E8B">
      <w:pPr>
        <w:pStyle w:val="Caption"/>
        <w:ind w:left="0" w:firstLine="0"/>
        <w:rPr>
          <w:lang w:val="en-US"/>
        </w:rPr>
      </w:pPr>
      <w:r>
        <w:t xml:space="preserve">Table </w:t>
      </w:r>
      <w:r w:rsidR="008135ED">
        <w:fldChar w:fldCharType="begin"/>
      </w:r>
      <w:r w:rsidR="00F15E0D">
        <w:instrText xml:space="preserve"> STYLEREF 1 \s </w:instrText>
      </w:r>
      <w:r w:rsidR="008135ED">
        <w:fldChar w:fldCharType="separate"/>
      </w:r>
      <w:r>
        <w:rPr>
          <w:noProof/>
        </w:rPr>
        <w:t>3</w:t>
      </w:r>
      <w:r w:rsidR="008135ED">
        <w:rPr>
          <w:noProof/>
        </w:rPr>
        <w:fldChar w:fldCharType="end"/>
      </w:r>
      <w:r w:rsidR="00290633">
        <w:t>.8</w:t>
      </w:r>
      <w:r>
        <w:tab/>
        <w:t>P</w:t>
      </w:r>
      <w:r>
        <w:rPr>
          <w:lang w:val="en-US"/>
        </w:rPr>
        <w:t xml:space="preserve">arameters relevant to MSFD indicator 5.1.1-Contaminants in biota: Frequency of reporting to the RSCs by </w:t>
      </w:r>
      <w:r w:rsidR="00BD2B24">
        <w:rPr>
          <w:lang w:val="en-US"/>
        </w:rPr>
        <w:t xml:space="preserve">the </w:t>
      </w:r>
      <w:r>
        <w:rPr>
          <w:lang w:val="en-US"/>
        </w:rPr>
        <w:t>CP</w:t>
      </w:r>
      <w:r w:rsidR="00BD2B24">
        <w:rPr>
          <w:lang w:val="en-US"/>
        </w:rPr>
        <w:t>s</w:t>
      </w:r>
      <w:r>
        <w:rPr>
          <w:lang w:val="en-US"/>
        </w:rPr>
        <w:t xml:space="preserve">. Chemical contaminants used for MSFD reporting by MS are also shown. </w:t>
      </w:r>
    </w:p>
    <w:tbl>
      <w:tblPr>
        <w:tblW w:w="51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9"/>
        <w:gridCol w:w="2675"/>
        <w:gridCol w:w="1032"/>
        <w:gridCol w:w="1040"/>
        <w:gridCol w:w="889"/>
        <w:gridCol w:w="743"/>
      </w:tblGrid>
      <w:tr w:rsidR="00D12E8B" w:rsidRPr="00DE24DB" w:rsidTr="00EF05C1">
        <w:trPr>
          <w:trHeight w:val="1164"/>
        </w:trPr>
        <w:tc>
          <w:tcPr>
            <w:tcW w:w="1521" w:type="pct"/>
            <w:shd w:val="clear" w:color="auto" w:fill="D9D9D9" w:themeFill="background1" w:themeFillShade="D9"/>
            <w:noWrap/>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MSFD reporting</w:t>
            </w:r>
            <w:r>
              <w:rPr>
                <w:color w:val="000000"/>
                <w:sz w:val="18"/>
                <w:szCs w:val="18"/>
                <w:lang w:eastAsia="el-GR"/>
              </w:rPr>
              <w:t>*</w:t>
            </w:r>
          </w:p>
        </w:tc>
        <w:tc>
          <w:tcPr>
            <w:tcW w:w="1459" w:type="pct"/>
            <w:shd w:val="clear" w:color="auto" w:fill="D9D9D9" w:themeFill="background1" w:themeFillShade="D9"/>
            <w:hideMark/>
          </w:tcPr>
          <w:p w:rsidR="00D12E8B" w:rsidRPr="00DE24DB" w:rsidRDefault="00D12E8B" w:rsidP="00EF05C1">
            <w:pPr>
              <w:spacing w:line="240" w:lineRule="auto"/>
              <w:rPr>
                <w:sz w:val="18"/>
                <w:szCs w:val="18"/>
                <w:lang w:val="en-US" w:eastAsia="el-GR"/>
              </w:rPr>
            </w:pPr>
            <w:r w:rsidRPr="00DE24DB">
              <w:rPr>
                <w:sz w:val="18"/>
                <w:szCs w:val="18"/>
                <w:lang w:val="en-US" w:eastAsia="el-GR"/>
              </w:rPr>
              <w:t>WFD Priority Substances and certain other pollutants (2008/105/EC)</w:t>
            </w:r>
            <w:r w:rsidRPr="00DE24DB">
              <w:rPr>
                <w:sz w:val="18"/>
                <w:szCs w:val="18"/>
                <w:lang w:val="en-US" w:eastAsia="el-GR"/>
              </w:rPr>
              <w:br/>
              <w:t xml:space="preserve"> WFD Priority Substances Amendment (2013/39/EC)</w:t>
            </w:r>
          </w:p>
        </w:tc>
        <w:tc>
          <w:tcPr>
            <w:tcW w:w="563" w:type="pct"/>
            <w:shd w:val="clear" w:color="auto" w:fill="D9D9D9" w:themeFill="background1" w:themeFillShade="D9"/>
            <w:noWrap/>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OSPAR</w:t>
            </w:r>
          </w:p>
        </w:tc>
        <w:tc>
          <w:tcPr>
            <w:tcW w:w="567" w:type="pct"/>
            <w:shd w:val="clear" w:color="auto" w:fill="D9D9D9" w:themeFill="background1" w:themeFillShade="D9"/>
            <w:noWrap/>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HELCOM</w:t>
            </w:r>
          </w:p>
        </w:tc>
        <w:tc>
          <w:tcPr>
            <w:tcW w:w="485" w:type="pct"/>
            <w:shd w:val="clear" w:color="auto" w:fill="D9D9D9" w:themeFill="background1" w:themeFillShade="D9"/>
            <w:noWrap/>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UNEP/MAP</w:t>
            </w:r>
          </w:p>
        </w:tc>
        <w:tc>
          <w:tcPr>
            <w:tcW w:w="405" w:type="pct"/>
            <w:shd w:val="clear" w:color="auto" w:fill="D9D9D9" w:themeFill="background1" w:themeFillShade="D9"/>
            <w:noWrap/>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BSC</w:t>
            </w: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Alachlor</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Anthracene</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Anthracene</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Atrazine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Benzene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Brominated diphenylethers (BDE)</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Brominated diphenylethers</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xml:space="preserve"> Cd</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Cadmium and its compounds</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auto" w:fill="FFC0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Chloroalkanes, C 10-13</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Chlorfenvinphos</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Chlorpyrifos (Chlorpyrifos-ethyl)</w:t>
            </w:r>
          </w:p>
        </w:tc>
        <w:tc>
          <w:tcPr>
            <w:tcW w:w="563"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1,2-dichloroethane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Dichloromethane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Di(2-ethylhexyl)phthalate (DEHP)</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Di(2-ethylhexyl)phthalate (DEHP)</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Diuron</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Endosulfan</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Endosulfan</w:t>
            </w:r>
          </w:p>
        </w:tc>
        <w:tc>
          <w:tcPr>
            <w:tcW w:w="563"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Fluoranthene</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Fluoranthene</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lastRenderedPageBreak/>
              <w:t>Hexachlorobenzene (HCB)</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Hexachlorobenzene</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FFC0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Hexachlorobutadiene</w:t>
            </w:r>
          </w:p>
        </w:tc>
        <w:tc>
          <w:tcPr>
            <w:tcW w:w="563"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4C267F">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val="en-US" w:eastAsia="el-GR"/>
              </w:rPr>
            </w:pPr>
            <w:r w:rsidRPr="00DE24DB">
              <w:rPr>
                <w:color w:val="000000"/>
                <w:sz w:val="18"/>
                <w:szCs w:val="18"/>
                <w:lang w:eastAsia="el-GR"/>
              </w:rPr>
              <w:t>Χ</w:t>
            </w:r>
            <w:r w:rsidRPr="00DE24DB">
              <w:rPr>
                <w:color w:val="000000"/>
                <w:sz w:val="18"/>
                <w:szCs w:val="18"/>
                <w:lang w:val="en-US" w:eastAsia="el-GR"/>
              </w:rPr>
              <w:t>-Hexachlorocyclohexane (lindane)</w:t>
            </w:r>
          </w:p>
          <w:p w:rsidR="00D12E8B" w:rsidRPr="00DE24DB" w:rsidRDefault="00D12E8B" w:rsidP="00EF05C1">
            <w:pPr>
              <w:spacing w:line="240" w:lineRule="auto"/>
              <w:jc w:val="left"/>
              <w:rPr>
                <w:color w:val="000000"/>
                <w:sz w:val="18"/>
                <w:szCs w:val="18"/>
                <w:lang w:val="en-US" w:eastAsia="el-GR"/>
              </w:rPr>
            </w:pPr>
            <w:r w:rsidRPr="00DE24DB">
              <w:rPr>
                <w:color w:val="000000"/>
                <w:sz w:val="18"/>
                <w:szCs w:val="18"/>
                <w:lang w:val="en-US" w:eastAsia="el-GR"/>
              </w:rPr>
              <w:t>a-Hexachlorocyclohexane</w:t>
            </w:r>
          </w:p>
        </w:tc>
        <w:tc>
          <w:tcPr>
            <w:tcW w:w="1459" w:type="pct"/>
            <w:shd w:val="clear" w:color="auto" w:fill="auto"/>
            <w:noWrap/>
            <w:vAlign w:val="center"/>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Hexachlorocyclohexane</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FFC0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Isoproturon</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Pb</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Lead and its compounds</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auto" w:fill="FFC0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Hg, Methyl-Hg</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Mercury and its compounds</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FFC0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Naphthalene</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Naphthalene</w:t>
            </w:r>
          </w:p>
        </w:tc>
        <w:tc>
          <w:tcPr>
            <w:tcW w:w="563"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Ni</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Nickel and its compounds</w:t>
            </w:r>
          </w:p>
        </w:tc>
        <w:tc>
          <w:tcPr>
            <w:tcW w:w="563"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Nonylphenols</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Nonylphenols</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Octylphenols</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Octylphenols ( 6 )</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Pentachlorobenzene</w:t>
            </w:r>
          </w:p>
        </w:tc>
        <w:tc>
          <w:tcPr>
            <w:tcW w:w="563"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Pentachlorophenol</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jc w:val="left"/>
              <w:rPr>
                <w:color w:val="000000"/>
                <w:sz w:val="18"/>
                <w:szCs w:val="18"/>
                <w:lang w:val="en-US" w:eastAsia="el-GR"/>
              </w:rPr>
            </w:pPr>
            <w:r w:rsidRPr="00DE24DB">
              <w:rPr>
                <w:color w:val="000000"/>
                <w:sz w:val="18"/>
                <w:szCs w:val="18"/>
                <w:lang w:val="en-US" w:eastAsia="el-GR"/>
              </w:rPr>
              <w:t>Polycyclic Aromatic Hydrocarbons (PAH), Benzo(a)pyrene, Indeno[1,2,3-cd]pyrene, Benzo[b]fluoranthene,Benzo[g,h,i]perylene, Benzo[k]fluoranthene</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Polyaromatic hydrocarbons (PAH) ( 7 )</w:t>
            </w:r>
          </w:p>
          <w:p w:rsidR="00D12E8B" w:rsidRPr="00DE24DB" w:rsidRDefault="00D12E8B" w:rsidP="00EF05C1">
            <w:pPr>
              <w:spacing w:line="240" w:lineRule="auto"/>
              <w:rPr>
                <w:color w:val="000000"/>
                <w:sz w:val="18"/>
                <w:szCs w:val="18"/>
                <w:lang w:val="en-US" w:eastAsia="el-GR"/>
              </w:rPr>
            </w:pPr>
            <w:r w:rsidRPr="00DE24DB">
              <w:rPr>
                <w:color w:val="000000"/>
                <w:sz w:val="18"/>
                <w:szCs w:val="18"/>
                <w:lang w:val="en-US" w:eastAsia="el-GR"/>
              </w:rPr>
              <w:t> </w:t>
            </w:r>
          </w:p>
          <w:p w:rsidR="00D12E8B" w:rsidRPr="00DE24DB" w:rsidRDefault="00D12E8B" w:rsidP="00EF05C1">
            <w:pPr>
              <w:spacing w:line="240" w:lineRule="auto"/>
              <w:rPr>
                <w:color w:val="000000"/>
                <w:sz w:val="18"/>
                <w:szCs w:val="18"/>
                <w:lang w:val="en-US" w:eastAsia="el-GR"/>
              </w:rPr>
            </w:pPr>
            <w:r w:rsidRPr="00DE24DB">
              <w:rPr>
                <w:color w:val="000000"/>
                <w:sz w:val="18"/>
                <w:szCs w:val="18"/>
                <w:lang w:val="en-US" w:eastAsia="el-GR"/>
              </w:rPr>
              <w:t> </w:t>
            </w:r>
          </w:p>
          <w:p w:rsidR="00D12E8B" w:rsidRPr="00DE24DB" w:rsidRDefault="00D12E8B" w:rsidP="00EF05C1">
            <w:pPr>
              <w:spacing w:line="240" w:lineRule="auto"/>
              <w:jc w:val="left"/>
              <w:rPr>
                <w:color w:val="000000"/>
                <w:sz w:val="18"/>
                <w:szCs w:val="18"/>
                <w:lang w:eastAsia="el-GR"/>
              </w:rPr>
            </w:pPr>
            <w:r w:rsidRPr="00DE24DB">
              <w:rPr>
                <w:color w:val="000000"/>
                <w:sz w:val="18"/>
                <w:szCs w:val="18"/>
                <w:lang w:eastAsia="el-GR"/>
              </w:rPr>
              <w:t> </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FFFF0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000000" w:fill="00B0F0"/>
            <w:noWrap/>
            <w:vAlign w:val="bottom"/>
            <w:hideMark/>
          </w:tcPr>
          <w:p w:rsidR="00D12E8B" w:rsidRPr="00DE24DB" w:rsidRDefault="00D12E8B" w:rsidP="00EF05C1">
            <w:pPr>
              <w:spacing w:line="240" w:lineRule="auto"/>
              <w:jc w:val="right"/>
              <w:rPr>
                <w:color w:val="000000"/>
                <w:sz w:val="18"/>
                <w:szCs w:val="18"/>
                <w:lang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Simazine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xml:space="preserve">Tributylin compounds (TBT)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Tributyltin compounds</w:t>
            </w:r>
          </w:p>
        </w:tc>
        <w:tc>
          <w:tcPr>
            <w:tcW w:w="563"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Trichlorobenzenes</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xml:space="preserve">Trichloromethane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Trichloromethane (chloroform)</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Trifluralin</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Dicofol</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Perfluorooctane sulfonic acid (PFO)</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val="en-US" w:eastAsia="el-GR"/>
              </w:rPr>
            </w:pPr>
            <w:r w:rsidRPr="00DE24DB">
              <w:rPr>
                <w:color w:val="000000"/>
                <w:sz w:val="18"/>
                <w:szCs w:val="18"/>
                <w:lang w:val="en-US" w:eastAsia="el-GR"/>
              </w:rPr>
              <w:t>Perfluorooctane sulfonic acid and its derivatives (PFOS)</w:t>
            </w:r>
          </w:p>
        </w:tc>
        <w:tc>
          <w:tcPr>
            <w:tcW w:w="563" w:type="pct"/>
            <w:shd w:val="clear" w:color="000000" w:fill="00B0F0"/>
            <w:noWrap/>
            <w:vAlign w:val="bottom"/>
            <w:hideMark/>
          </w:tcPr>
          <w:p w:rsidR="00D12E8B" w:rsidRPr="00DE24DB" w:rsidRDefault="00D12E8B" w:rsidP="00EF05C1">
            <w:pPr>
              <w:spacing w:line="240" w:lineRule="auto"/>
              <w:jc w:val="right"/>
              <w:rPr>
                <w:color w:val="000000"/>
                <w:sz w:val="18"/>
                <w:szCs w:val="18"/>
                <w:lang w:val="en-US" w:eastAsia="el-GR"/>
              </w:rPr>
            </w:pPr>
          </w:p>
        </w:tc>
        <w:tc>
          <w:tcPr>
            <w:tcW w:w="567" w:type="pct"/>
            <w:shd w:val="clear" w:color="000000" w:fill="92D050"/>
            <w:noWrap/>
            <w:vAlign w:val="bottom"/>
            <w:hideMark/>
          </w:tcPr>
          <w:p w:rsidR="00D12E8B" w:rsidRPr="00DE24DB" w:rsidRDefault="00D12E8B" w:rsidP="00EF05C1">
            <w:pPr>
              <w:spacing w:line="240" w:lineRule="auto"/>
              <w:jc w:val="right"/>
              <w:rPr>
                <w:color w:val="000000"/>
                <w:sz w:val="18"/>
                <w:szCs w:val="18"/>
                <w:lang w:val="en-US"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val="en-US"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val="en-US"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val="en-US" w:eastAsia="el-GR"/>
              </w:rPr>
            </w:pPr>
            <w:r w:rsidRPr="00DE24DB">
              <w:rPr>
                <w:color w:val="000000"/>
                <w:sz w:val="18"/>
                <w:szCs w:val="18"/>
                <w:lang w:val="en-US"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Quinoxyfen</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jc w:val="left"/>
              <w:rPr>
                <w:color w:val="000000"/>
                <w:sz w:val="18"/>
                <w:szCs w:val="18"/>
                <w:lang w:val="en-US" w:eastAsia="el-GR"/>
              </w:rPr>
            </w:pPr>
            <w:r w:rsidRPr="00DE24DB">
              <w:rPr>
                <w:color w:val="000000"/>
                <w:sz w:val="18"/>
                <w:szCs w:val="18"/>
                <w:lang w:val="en-US" w:eastAsia="el-GR"/>
              </w:rPr>
              <w:t xml:space="preserve"> Dioxins and dioxin-like PCBs, Furans, PCB169, PCB189, PCB77, PCB156, PCB105,  PCB118</w:t>
            </w:r>
          </w:p>
        </w:tc>
        <w:tc>
          <w:tcPr>
            <w:tcW w:w="1459" w:type="pct"/>
            <w:shd w:val="clear" w:color="auto" w:fill="auto"/>
            <w:noWrap/>
            <w:vAlign w:val="center"/>
            <w:hideMark/>
          </w:tcPr>
          <w:p w:rsidR="00D12E8B" w:rsidRPr="00DE24DB" w:rsidRDefault="00D12E8B" w:rsidP="00EF05C1">
            <w:pPr>
              <w:spacing w:line="240" w:lineRule="auto"/>
              <w:rPr>
                <w:color w:val="000000"/>
                <w:sz w:val="18"/>
                <w:szCs w:val="18"/>
                <w:lang w:val="en-US" w:eastAsia="el-GR"/>
              </w:rPr>
            </w:pPr>
            <w:r w:rsidRPr="00DE24DB">
              <w:rPr>
                <w:color w:val="000000"/>
                <w:sz w:val="18"/>
                <w:szCs w:val="18"/>
                <w:lang w:val="en-US" w:eastAsia="el-GR"/>
              </w:rPr>
              <w:t>Dioxins and dioxin-like compounds</w:t>
            </w:r>
          </w:p>
        </w:tc>
        <w:tc>
          <w:tcPr>
            <w:tcW w:w="563" w:type="pct"/>
            <w:shd w:val="clear" w:color="000000" w:fill="FFFF00"/>
            <w:noWrap/>
            <w:vAlign w:val="bottom"/>
            <w:hideMark/>
          </w:tcPr>
          <w:p w:rsidR="00D12E8B" w:rsidRPr="00DE24DB" w:rsidRDefault="00D12E8B" w:rsidP="00EF05C1">
            <w:pPr>
              <w:spacing w:line="240" w:lineRule="auto"/>
              <w:jc w:val="right"/>
              <w:rPr>
                <w:color w:val="000000"/>
                <w:sz w:val="18"/>
                <w:szCs w:val="18"/>
                <w:lang w:val="en-US" w:eastAsia="el-GR"/>
              </w:rPr>
            </w:pPr>
          </w:p>
        </w:tc>
        <w:tc>
          <w:tcPr>
            <w:tcW w:w="567" w:type="pct"/>
            <w:shd w:val="clear" w:color="auto" w:fill="FFC000"/>
            <w:noWrap/>
            <w:vAlign w:val="bottom"/>
            <w:hideMark/>
          </w:tcPr>
          <w:p w:rsidR="00D12E8B" w:rsidRPr="00DE24DB" w:rsidRDefault="00D12E8B" w:rsidP="00EF05C1">
            <w:pPr>
              <w:spacing w:line="240" w:lineRule="auto"/>
              <w:jc w:val="right"/>
              <w:rPr>
                <w:color w:val="000000"/>
                <w:sz w:val="18"/>
                <w:szCs w:val="18"/>
                <w:lang w:val="en-US"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val="en-US" w:eastAsia="el-GR"/>
              </w:rPr>
            </w:pPr>
          </w:p>
        </w:tc>
        <w:tc>
          <w:tcPr>
            <w:tcW w:w="405" w:type="pct"/>
            <w:shd w:val="clear" w:color="auto" w:fill="FFC000"/>
            <w:noWrap/>
            <w:vAlign w:val="bottom"/>
            <w:hideMark/>
          </w:tcPr>
          <w:p w:rsidR="00D12E8B" w:rsidRPr="00DE24DB" w:rsidRDefault="00D12E8B" w:rsidP="00EF05C1">
            <w:pPr>
              <w:spacing w:line="240" w:lineRule="auto"/>
              <w:rPr>
                <w:color w:val="000000"/>
                <w:sz w:val="18"/>
                <w:szCs w:val="18"/>
                <w:lang w:val="en-US"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Aclonifen</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Bifenox</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Cybutryne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Cypermethrin ( 10 )</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Dichlorvos</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xml:space="preserve"> Hexabromocyclododecanes</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Hexabromocyclododecanes (HBCDD)</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Heptachlor epoxide</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Heptachlor and heptachlor epoxide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Terbutryn</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EF05C1">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Carbon-tetrachloride</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D12E8B" w:rsidRPr="00DE24DB" w:rsidTr="000F7DC4">
        <w:trPr>
          <w:trHeight w:val="288"/>
        </w:trPr>
        <w:tc>
          <w:tcPr>
            <w:tcW w:w="1521"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DDT</w:t>
            </w:r>
          </w:p>
        </w:tc>
        <w:tc>
          <w:tcPr>
            <w:tcW w:w="1459" w:type="pct"/>
            <w:shd w:val="clear" w:color="auto" w:fill="auto"/>
            <w:noWrap/>
            <w:vAlign w:val="bottom"/>
            <w:hideMark/>
          </w:tcPr>
          <w:p w:rsidR="00D12E8B" w:rsidRPr="00DE24DB" w:rsidRDefault="00D12E8B" w:rsidP="00EF05C1">
            <w:pPr>
              <w:spacing w:line="240" w:lineRule="auto"/>
              <w:rPr>
                <w:color w:val="000000"/>
                <w:sz w:val="18"/>
                <w:szCs w:val="18"/>
                <w:lang w:eastAsia="el-GR"/>
              </w:rPr>
            </w:pPr>
            <w:r w:rsidRPr="00DE24DB">
              <w:rPr>
                <w:color w:val="000000"/>
                <w:sz w:val="18"/>
                <w:szCs w:val="18"/>
                <w:lang w:eastAsia="el-GR"/>
              </w:rPr>
              <w:t xml:space="preserve"> DDT total </w:t>
            </w:r>
          </w:p>
        </w:tc>
        <w:tc>
          <w:tcPr>
            <w:tcW w:w="563"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567"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8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c>
          <w:tcPr>
            <w:tcW w:w="405" w:type="pct"/>
            <w:shd w:val="clear" w:color="auto" w:fill="auto"/>
            <w:noWrap/>
            <w:vAlign w:val="bottom"/>
            <w:hideMark/>
          </w:tcPr>
          <w:p w:rsidR="00D12E8B" w:rsidRPr="00DE24DB" w:rsidRDefault="00D12E8B" w:rsidP="00EF05C1">
            <w:pPr>
              <w:spacing w:line="240" w:lineRule="auto"/>
              <w:rPr>
                <w:color w:val="000000"/>
                <w:sz w:val="18"/>
                <w:szCs w:val="18"/>
                <w:lang w:eastAsia="el-GR"/>
              </w:rPr>
            </w:pPr>
          </w:p>
        </w:tc>
      </w:tr>
      <w:tr w:rsidR="000F7DC4" w:rsidRPr="00DE24DB" w:rsidTr="000F7DC4">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pp'-DDT</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para-para-DDT </w:t>
            </w:r>
          </w:p>
        </w:tc>
        <w:tc>
          <w:tcPr>
            <w:tcW w:w="563" w:type="pct"/>
            <w:shd w:val="clear" w:color="auto" w:fill="FFFF00"/>
            <w:noWrap/>
            <w:vAlign w:val="bottom"/>
            <w:hideMark/>
          </w:tcPr>
          <w:p w:rsidR="000F7DC4" w:rsidRPr="00DE24DB" w:rsidRDefault="000F7DC4" w:rsidP="000F7DC4">
            <w:pPr>
              <w:spacing w:line="240" w:lineRule="auto"/>
              <w:rPr>
                <w:color w:val="000000"/>
                <w:sz w:val="18"/>
                <w:szCs w:val="18"/>
                <w:lang w:eastAsia="el-GR"/>
              </w:rPr>
            </w:pPr>
          </w:p>
        </w:tc>
        <w:tc>
          <w:tcPr>
            <w:tcW w:w="567" w:type="pct"/>
            <w:shd w:val="clear" w:color="auto" w:fill="FFFF00"/>
            <w:noWrap/>
            <w:vAlign w:val="bottom"/>
            <w:hideMark/>
          </w:tcPr>
          <w:p w:rsidR="000F7DC4" w:rsidRPr="00DE24DB" w:rsidRDefault="000F7DC4" w:rsidP="000F7DC4">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0F7DC4">
            <w:pPr>
              <w:spacing w:line="240" w:lineRule="auto"/>
              <w:rPr>
                <w:color w:val="000000"/>
                <w:sz w:val="18"/>
                <w:szCs w:val="18"/>
                <w:lang w:eastAsia="el-GR"/>
              </w:rPr>
            </w:pPr>
          </w:p>
        </w:tc>
        <w:tc>
          <w:tcPr>
            <w:tcW w:w="405" w:type="pct"/>
            <w:shd w:val="clear" w:color="auto" w:fill="FFC000"/>
            <w:noWrap/>
            <w:vAlign w:val="bottom"/>
            <w:hideMark/>
          </w:tcPr>
          <w:p w:rsidR="000F7DC4" w:rsidRPr="00DE24DB" w:rsidRDefault="000F7DC4" w:rsidP="000F7DC4">
            <w:pPr>
              <w:spacing w:line="240" w:lineRule="auto"/>
              <w:rPr>
                <w:color w:val="000000"/>
                <w:sz w:val="18"/>
                <w:szCs w:val="18"/>
                <w:lang w:eastAsia="el-GR"/>
              </w:rPr>
            </w:pPr>
          </w:p>
        </w:tc>
      </w:tr>
      <w:tr w:rsidR="000F7DC4" w:rsidRPr="00DE24DB" w:rsidTr="000F7DC4">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Aldrin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Aldrin </w:t>
            </w:r>
          </w:p>
        </w:tc>
        <w:tc>
          <w:tcPr>
            <w:tcW w:w="563" w:type="pct"/>
            <w:shd w:val="clear" w:color="auto" w:fill="92D050"/>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00B0F0"/>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FFC000"/>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0F7DC4">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lastRenderedPageBreak/>
              <w:t>Dieldrin</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Dieldrin</w:t>
            </w:r>
          </w:p>
        </w:tc>
        <w:tc>
          <w:tcPr>
            <w:tcW w:w="563" w:type="pct"/>
            <w:shd w:val="clear" w:color="auto" w:fill="92D050"/>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92D050"/>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FFC000"/>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0F7DC4">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Endrin</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Endrin </w:t>
            </w:r>
          </w:p>
        </w:tc>
        <w:tc>
          <w:tcPr>
            <w:tcW w:w="563" w:type="pct"/>
            <w:shd w:val="clear" w:color="auto" w:fill="00B0F0"/>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00B0F0"/>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0F7DC4">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Isodrin</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Isodrin </w:t>
            </w:r>
          </w:p>
        </w:tc>
        <w:tc>
          <w:tcPr>
            <w:tcW w:w="563" w:type="pct"/>
            <w:shd w:val="clear" w:color="auto" w:fill="00B0F0"/>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00B0F0"/>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Tetrachloro-ethylene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Trichloro-ethylene</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Polychlorinated biphenyl (PCB)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Cu</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pp'-DDE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Zn</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pp'-DDD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Cr</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PCB52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PCB138</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PCB153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PCB101</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Benzo[a]anthracene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PCB28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PCB180</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Chrysene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β-Hexachlorocyclohexane 3 2 3</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As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Phenanthrene - 4 2</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Pyrene</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Heavy metals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Fluorene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Drins</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PCB31</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Chlordane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Fe</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Nonachlor</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Mn</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xml:space="preserve"> Organochlorine pesticides </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288"/>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Paraffins</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p>
        </w:tc>
      </w:tr>
      <w:tr w:rsidR="000F7DC4" w:rsidRPr="00DE24DB" w:rsidTr="00EF05C1">
        <w:trPr>
          <w:trHeight w:val="300"/>
        </w:trPr>
        <w:tc>
          <w:tcPr>
            <w:tcW w:w="1521"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PCB128</w:t>
            </w:r>
          </w:p>
        </w:tc>
        <w:tc>
          <w:tcPr>
            <w:tcW w:w="1459"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3"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567"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485"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c>
          <w:tcPr>
            <w:tcW w:w="405" w:type="pct"/>
            <w:shd w:val="clear" w:color="auto" w:fill="auto"/>
            <w:noWrap/>
            <w:vAlign w:val="bottom"/>
            <w:hideMark/>
          </w:tcPr>
          <w:p w:rsidR="000F7DC4" w:rsidRPr="00DE24DB" w:rsidRDefault="000F7DC4" w:rsidP="00EF05C1">
            <w:pPr>
              <w:spacing w:line="240" w:lineRule="auto"/>
              <w:rPr>
                <w:color w:val="000000"/>
                <w:sz w:val="18"/>
                <w:szCs w:val="18"/>
                <w:lang w:eastAsia="el-GR"/>
              </w:rPr>
            </w:pPr>
            <w:r w:rsidRPr="00DE24DB">
              <w:rPr>
                <w:color w:val="000000"/>
                <w:sz w:val="18"/>
                <w:szCs w:val="18"/>
                <w:lang w:eastAsia="el-GR"/>
              </w:rPr>
              <w:t> </w:t>
            </w:r>
          </w:p>
        </w:tc>
      </w:tr>
    </w:tbl>
    <w:p w:rsidR="00D12E8B" w:rsidRPr="00781A2C" w:rsidRDefault="00D12E8B" w:rsidP="00D12E8B">
      <w:pPr>
        <w:rPr>
          <w:sz w:val="18"/>
          <w:szCs w:val="18"/>
          <w:lang w:val="en-US"/>
        </w:rPr>
      </w:pPr>
      <w:r w:rsidRPr="00781A2C">
        <w:rPr>
          <w:sz w:val="18"/>
          <w:szCs w:val="18"/>
          <w:lang w:val="en-US"/>
        </w:rPr>
        <w:t>*Palialexis et al. 2014</w:t>
      </w:r>
    </w:p>
    <w:p w:rsidR="00D12E8B" w:rsidRDefault="00D12E8B" w:rsidP="00D12E8B">
      <w:pPr>
        <w:rPr>
          <w:lang w:val="en-US"/>
        </w:rPr>
      </w:pPr>
    </w:p>
    <w:tbl>
      <w:tblPr>
        <w:tblStyle w:val="TableGrid"/>
        <w:tblW w:w="0" w:type="auto"/>
        <w:tblLook w:val="04A0"/>
      </w:tblPr>
      <w:tblGrid>
        <w:gridCol w:w="1300"/>
        <w:gridCol w:w="1196"/>
        <w:gridCol w:w="1068"/>
        <w:gridCol w:w="1068"/>
        <w:gridCol w:w="1068"/>
        <w:gridCol w:w="941"/>
      </w:tblGrid>
      <w:tr w:rsidR="00D12E8B" w:rsidRPr="00994211" w:rsidTr="00EF05C1">
        <w:tc>
          <w:tcPr>
            <w:tcW w:w="0" w:type="auto"/>
            <w:vAlign w:val="bottom"/>
          </w:tcPr>
          <w:p w:rsidR="00D12E8B" w:rsidRPr="00994211" w:rsidRDefault="00D12E8B" w:rsidP="00EF05C1">
            <w:pPr>
              <w:tabs>
                <w:tab w:val="left" w:pos="3537"/>
              </w:tabs>
              <w:ind w:left="-49"/>
              <w:rPr>
                <w:rFonts w:cs="Times New Roman"/>
                <w:color w:val="000000"/>
                <w:sz w:val="18"/>
                <w:szCs w:val="18"/>
                <w:lang w:eastAsia="el-GR"/>
              </w:rPr>
            </w:pPr>
            <w:r w:rsidRPr="00994211">
              <w:rPr>
                <w:rFonts w:cs="Times New Roman"/>
                <w:color w:val="000000"/>
                <w:sz w:val="18"/>
                <w:szCs w:val="18"/>
                <w:lang w:eastAsia="el-GR"/>
              </w:rPr>
              <w:t>Frequency</w:t>
            </w:r>
          </w:p>
        </w:tc>
        <w:tc>
          <w:tcPr>
            <w:tcW w:w="0" w:type="auto"/>
            <w:shd w:val="clear" w:color="auto" w:fill="FF0000"/>
            <w:vAlign w:val="bottom"/>
          </w:tcPr>
          <w:p w:rsidR="00D12E8B" w:rsidRPr="00994211" w:rsidRDefault="00D12E8B" w:rsidP="00EF05C1">
            <w:pPr>
              <w:jc w:val="center"/>
              <w:rPr>
                <w:rFonts w:cs="Times New Roman"/>
                <w:color w:val="FF0000"/>
                <w:sz w:val="18"/>
                <w:szCs w:val="18"/>
                <w:lang w:eastAsia="el-GR"/>
              </w:rPr>
            </w:pPr>
            <w:r w:rsidRPr="00994211">
              <w:rPr>
                <w:rFonts w:cs="Times New Roman"/>
                <w:color w:val="000000"/>
                <w:sz w:val="18"/>
                <w:szCs w:val="18"/>
                <w:lang w:eastAsia="el-GR"/>
              </w:rPr>
              <w:t>100-81%</w:t>
            </w:r>
          </w:p>
        </w:tc>
        <w:tc>
          <w:tcPr>
            <w:tcW w:w="0" w:type="auto"/>
            <w:shd w:val="clear" w:color="auto" w:fill="FFC000"/>
            <w:vAlign w:val="bottom"/>
          </w:tcPr>
          <w:p w:rsidR="00D12E8B" w:rsidRPr="00994211" w:rsidRDefault="00D12E8B" w:rsidP="00EF05C1">
            <w:pPr>
              <w:jc w:val="center"/>
              <w:rPr>
                <w:rFonts w:cs="Times New Roman"/>
                <w:color w:val="000000"/>
                <w:sz w:val="18"/>
                <w:szCs w:val="18"/>
                <w:lang w:eastAsia="el-GR"/>
              </w:rPr>
            </w:pPr>
            <w:r w:rsidRPr="00994211">
              <w:rPr>
                <w:rFonts w:cs="Times New Roman"/>
                <w:color w:val="000000"/>
                <w:sz w:val="18"/>
                <w:szCs w:val="18"/>
                <w:lang w:eastAsia="el-GR"/>
              </w:rPr>
              <w:t>80-61%</w:t>
            </w:r>
          </w:p>
        </w:tc>
        <w:tc>
          <w:tcPr>
            <w:tcW w:w="0" w:type="auto"/>
            <w:shd w:val="clear" w:color="auto" w:fill="FFFF00"/>
            <w:vAlign w:val="bottom"/>
          </w:tcPr>
          <w:p w:rsidR="00D12E8B" w:rsidRPr="00994211" w:rsidRDefault="00D12E8B" w:rsidP="00EF05C1">
            <w:pPr>
              <w:jc w:val="center"/>
              <w:rPr>
                <w:rFonts w:cs="Times New Roman"/>
                <w:color w:val="000000"/>
                <w:sz w:val="18"/>
                <w:szCs w:val="18"/>
                <w:lang w:eastAsia="el-GR"/>
              </w:rPr>
            </w:pPr>
            <w:r w:rsidRPr="00994211">
              <w:rPr>
                <w:rFonts w:cs="Times New Roman"/>
                <w:color w:val="000000"/>
                <w:sz w:val="18"/>
                <w:szCs w:val="18"/>
                <w:lang w:eastAsia="el-GR"/>
              </w:rPr>
              <w:t>60-41%</w:t>
            </w:r>
          </w:p>
        </w:tc>
        <w:tc>
          <w:tcPr>
            <w:tcW w:w="0" w:type="auto"/>
            <w:shd w:val="clear" w:color="auto" w:fill="92D050"/>
            <w:vAlign w:val="bottom"/>
          </w:tcPr>
          <w:p w:rsidR="00D12E8B" w:rsidRPr="00994211" w:rsidRDefault="00D12E8B" w:rsidP="00EF05C1">
            <w:pPr>
              <w:jc w:val="center"/>
              <w:rPr>
                <w:rFonts w:cs="Times New Roman"/>
                <w:color w:val="000000"/>
                <w:sz w:val="18"/>
                <w:szCs w:val="18"/>
                <w:lang w:eastAsia="el-GR"/>
              </w:rPr>
            </w:pPr>
            <w:r w:rsidRPr="00994211">
              <w:rPr>
                <w:rFonts w:cs="Times New Roman"/>
                <w:color w:val="000000"/>
                <w:sz w:val="18"/>
                <w:szCs w:val="18"/>
                <w:lang w:eastAsia="el-GR"/>
              </w:rPr>
              <w:t>40-21%</w:t>
            </w:r>
          </w:p>
        </w:tc>
        <w:tc>
          <w:tcPr>
            <w:tcW w:w="0" w:type="auto"/>
            <w:shd w:val="clear" w:color="auto" w:fill="00B0F0"/>
            <w:vAlign w:val="bottom"/>
          </w:tcPr>
          <w:p w:rsidR="00D12E8B" w:rsidRPr="00994211" w:rsidRDefault="00D12E8B" w:rsidP="00EF05C1">
            <w:pPr>
              <w:jc w:val="center"/>
              <w:rPr>
                <w:rFonts w:cs="Times New Roman"/>
                <w:color w:val="000000"/>
                <w:sz w:val="18"/>
                <w:szCs w:val="18"/>
                <w:lang w:eastAsia="el-GR"/>
              </w:rPr>
            </w:pPr>
            <w:r w:rsidRPr="00994211">
              <w:rPr>
                <w:rFonts w:cs="Times New Roman"/>
                <w:color w:val="000000"/>
                <w:sz w:val="18"/>
                <w:szCs w:val="18"/>
                <w:lang w:eastAsia="el-GR"/>
              </w:rPr>
              <w:t>20-0%</w:t>
            </w:r>
          </w:p>
        </w:tc>
      </w:tr>
      <w:tr w:rsidR="00D12E8B" w:rsidRPr="00994211" w:rsidTr="00EF05C1">
        <w:trPr>
          <w:trHeight w:val="290"/>
        </w:trPr>
        <w:tc>
          <w:tcPr>
            <w:tcW w:w="0" w:type="auto"/>
            <w:gridSpan w:val="6"/>
            <w:vAlign w:val="bottom"/>
          </w:tcPr>
          <w:p w:rsidR="00D12E8B" w:rsidRPr="00994211" w:rsidRDefault="00D12E8B" w:rsidP="00EF05C1">
            <w:pPr>
              <w:tabs>
                <w:tab w:val="left" w:pos="3537"/>
              </w:tabs>
              <w:ind w:left="-49"/>
              <w:rPr>
                <w:rFonts w:cs="Times New Roman"/>
                <w:color w:val="000000"/>
                <w:sz w:val="18"/>
                <w:szCs w:val="18"/>
                <w:lang w:val="en-US" w:eastAsia="el-GR"/>
              </w:rPr>
            </w:pPr>
            <w:r w:rsidRPr="00994211">
              <w:rPr>
                <w:rFonts w:cs="Times New Roman"/>
                <w:color w:val="000000"/>
                <w:sz w:val="18"/>
                <w:szCs w:val="18"/>
                <w:lang w:val="en-US" w:eastAsia="el-GR"/>
              </w:rPr>
              <w:t>For groups of substances, the highest frequency of individual substance is shown</w:t>
            </w:r>
          </w:p>
        </w:tc>
      </w:tr>
    </w:tbl>
    <w:p w:rsidR="00D12E8B" w:rsidRDefault="00D12E8B" w:rsidP="00D12E8B">
      <w:pPr>
        <w:rPr>
          <w:lang w:val="en-US"/>
        </w:rPr>
      </w:pPr>
    </w:p>
    <w:p w:rsidR="005F4F6C" w:rsidRDefault="005F4F6C" w:rsidP="00D12E8B">
      <w:pPr>
        <w:rPr>
          <w:lang w:val="en-US"/>
        </w:rPr>
      </w:pPr>
    </w:p>
    <w:p w:rsidR="005F4F6C" w:rsidRDefault="005F4F6C" w:rsidP="00D12E8B">
      <w:pPr>
        <w:rPr>
          <w:lang w:val="en-US"/>
        </w:rPr>
      </w:pPr>
    </w:p>
    <w:p w:rsidR="005F4F6C" w:rsidRDefault="005F4F6C" w:rsidP="00D12E8B">
      <w:pPr>
        <w:rPr>
          <w:lang w:val="en-US"/>
        </w:rPr>
      </w:pPr>
    </w:p>
    <w:p w:rsidR="005F4F6C" w:rsidRDefault="005F4F6C" w:rsidP="00D12E8B">
      <w:pPr>
        <w:rPr>
          <w:lang w:val="en-US"/>
        </w:rPr>
      </w:pPr>
    </w:p>
    <w:p w:rsidR="005F4F6C" w:rsidRDefault="005F4F6C" w:rsidP="00D12E8B">
      <w:pPr>
        <w:rPr>
          <w:lang w:val="en-US"/>
        </w:rPr>
      </w:pPr>
    </w:p>
    <w:p w:rsidR="005F4F6C" w:rsidRDefault="005F4F6C" w:rsidP="005F4F6C">
      <w:pPr>
        <w:pStyle w:val="Caption"/>
        <w:rPr>
          <w:lang w:val="en-US"/>
        </w:rPr>
      </w:pPr>
      <w:r>
        <w:lastRenderedPageBreak/>
        <w:t xml:space="preserve">Table </w:t>
      </w:r>
      <w:r w:rsidR="008135ED">
        <w:fldChar w:fldCharType="begin"/>
      </w:r>
      <w:r w:rsidR="00F15E0D">
        <w:instrText xml:space="preserve"> STYLEREF 1 \s </w:instrText>
      </w:r>
      <w:r w:rsidR="008135ED">
        <w:fldChar w:fldCharType="separate"/>
      </w:r>
      <w:r>
        <w:rPr>
          <w:noProof/>
        </w:rPr>
        <w:t>3</w:t>
      </w:r>
      <w:r w:rsidR="008135ED">
        <w:rPr>
          <w:noProof/>
        </w:rPr>
        <w:fldChar w:fldCharType="end"/>
      </w:r>
      <w:r>
        <w:t>.</w:t>
      </w:r>
      <w:r w:rsidR="00290633">
        <w:t>9</w:t>
      </w:r>
      <w:r w:rsidR="00BD2B24">
        <w:t>.</w:t>
      </w:r>
      <w:r>
        <w:tab/>
        <w:t>P</w:t>
      </w:r>
      <w:r>
        <w:rPr>
          <w:lang w:val="en-US"/>
        </w:rPr>
        <w:t>arameters relevant to MSFD indicator 5.1.1-Contaminants in water</w:t>
      </w:r>
      <w:r w:rsidR="00BD2B24">
        <w:rPr>
          <w:lang w:val="en-US"/>
        </w:rPr>
        <w:t>, grouped in chemical groups used by ICES:</w:t>
      </w:r>
      <w:r>
        <w:rPr>
          <w:lang w:val="en-US"/>
        </w:rPr>
        <w:t xml:space="preserve"> Frequency of reporting to the RSCs by </w:t>
      </w:r>
      <w:r w:rsidR="00BD2B24">
        <w:rPr>
          <w:lang w:val="en-US"/>
        </w:rPr>
        <w:t xml:space="preserve">the </w:t>
      </w:r>
      <w:r>
        <w:rPr>
          <w:lang w:val="en-US"/>
        </w:rPr>
        <w:t>CP</w:t>
      </w:r>
      <w:r w:rsidR="00BD2B24">
        <w:rPr>
          <w:lang w:val="en-US"/>
        </w:rPr>
        <w:t xml:space="preserve">s </w:t>
      </w:r>
    </w:p>
    <w:p w:rsidR="005F4F6C" w:rsidRDefault="005F4F6C" w:rsidP="00D12E8B">
      <w:pPr>
        <w:rPr>
          <w:lang w:val="en-US"/>
        </w:rPr>
      </w:pPr>
    </w:p>
    <w:tbl>
      <w:tblPr>
        <w:tblW w:w="604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960"/>
        <w:gridCol w:w="960"/>
        <w:gridCol w:w="1050"/>
        <w:gridCol w:w="960"/>
      </w:tblGrid>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ICES chemical groups</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OSPAR</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HELCOM</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Pr>
                <w:rFonts w:asciiTheme="minorHAnsi" w:hAnsiTheme="minorHAnsi" w:cs="Times New Roman"/>
                <w:color w:val="000000"/>
                <w:sz w:val="18"/>
                <w:szCs w:val="18"/>
                <w:lang w:eastAsia="el-GR"/>
              </w:rPr>
              <w:t>UNEP/MAP</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Pr>
                <w:rFonts w:asciiTheme="minorHAnsi" w:hAnsiTheme="minorHAnsi" w:cs="Times New Roman"/>
                <w:color w:val="000000"/>
                <w:sz w:val="18"/>
                <w:szCs w:val="18"/>
                <w:lang w:eastAsia="el-GR"/>
              </w:rPr>
              <w:t>BSC</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Chlorobiphenyls</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Cyclodienes</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Dichloro-diphenyl-trichloroethetane DDTs</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Hexachlorocyclohexanes</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Metals and metalloids</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Monocyclic aromatic hydrocarbons</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Organic esters</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Organobromines</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Organochlorines (general)</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Organo-metallic compounds</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Organophosphorus pesticids</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Pesticides (general)</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Polycyclic aromatic hydrocarbons (PAHs)</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auto" w:fill="auto"/>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Triazine pesticides</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FF0000"/>
                <w:sz w:val="18"/>
                <w:szCs w:val="18"/>
                <w:lang w:eastAsia="el-GR"/>
              </w:rPr>
            </w:pPr>
            <w:r w:rsidRPr="005B10E1">
              <w:rPr>
                <w:rFonts w:asciiTheme="minorHAnsi" w:hAnsiTheme="minorHAnsi" w:cs="Times New Roman"/>
                <w:color w:val="FF0000"/>
                <w:sz w:val="18"/>
                <w:szCs w:val="18"/>
                <w:lang w:eastAsia="el-GR"/>
              </w:rPr>
              <w:t> </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bl>
    <w:p w:rsidR="002D3969" w:rsidRPr="005F4F6C" w:rsidRDefault="002D3969" w:rsidP="00D12E8B">
      <w:pPr>
        <w:rPr>
          <w:lang w:val="en-US"/>
        </w:rPr>
      </w:pPr>
    </w:p>
    <w:tbl>
      <w:tblPr>
        <w:tblStyle w:val="TableGrid"/>
        <w:tblW w:w="0" w:type="auto"/>
        <w:tblLook w:val="04A0"/>
      </w:tblPr>
      <w:tblGrid>
        <w:gridCol w:w="1300"/>
        <w:gridCol w:w="1196"/>
        <w:gridCol w:w="1068"/>
        <w:gridCol w:w="1068"/>
        <w:gridCol w:w="1068"/>
        <w:gridCol w:w="941"/>
      </w:tblGrid>
      <w:tr w:rsidR="002D3969" w:rsidRPr="00994211" w:rsidTr="000F7DC4">
        <w:tc>
          <w:tcPr>
            <w:tcW w:w="0" w:type="auto"/>
            <w:vAlign w:val="bottom"/>
          </w:tcPr>
          <w:p w:rsidR="002D3969" w:rsidRPr="00994211" w:rsidRDefault="002D3969" w:rsidP="000F7DC4">
            <w:pPr>
              <w:tabs>
                <w:tab w:val="left" w:pos="3537"/>
              </w:tabs>
              <w:ind w:left="-49"/>
              <w:rPr>
                <w:rFonts w:cs="Times New Roman"/>
                <w:color w:val="000000"/>
                <w:sz w:val="18"/>
                <w:szCs w:val="18"/>
                <w:lang w:eastAsia="el-GR"/>
              </w:rPr>
            </w:pPr>
            <w:r w:rsidRPr="00994211">
              <w:rPr>
                <w:rFonts w:cs="Times New Roman"/>
                <w:color w:val="000000"/>
                <w:sz w:val="18"/>
                <w:szCs w:val="18"/>
                <w:lang w:eastAsia="el-GR"/>
              </w:rPr>
              <w:t>Frequency</w:t>
            </w:r>
          </w:p>
        </w:tc>
        <w:tc>
          <w:tcPr>
            <w:tcW w:w="0" w:type="auto"/>
            <w:shd w:val="clear" w:color="auto" w:fill="FF0000"/>
            <w:vAlign w:val="bottom"/>
          </w:tcPr>
          <w:p w:rsidR="002D3969" w:rsidRPr="00994211" w:rsidRDefault="002D3969" w:rsidP="000F7DC4">
            <w:pPr>
              <w:jc w:val="center"/>
              <w:rPr>
                <w:rFonts w:cs="Times New Roman"/>
                <w:color w:val="FF0000"/>
                <w:sz w:val="18"/>
                <w:szCs w:val="18"/>
                <w:lang w:eastAsia="el-GR"/>
              </w:rPr>
            </w:pPr>
            <w:r w:rsidRPr="00994211">
              <w:rPr>
                <w:rFonts w:cs="Times New Roman"/>
                <w:color w:val="000000"/>
                <w:sz w:val="18"/>
                <w:szCs w:val="18"/>
                <w:lang w:eastAsia="el-GR"/>
              </w:rPr>
              <w:t>100-81%</w:t>
            </w:r>
          </w:p>
        </w:tc>
        <w:tc>
          <w:tcPr>
            <w:tcW w:w="0" w:type="auto"/>
            <w:shd w:val="clear" w:color="auto" w:fill="FFC00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80-61%</w:t>
            </w:r>
          </w:p>
        </w:tc>
        <w:tc>
          <w:tcPr>
            <w:tcW w:w="0" w:type="auto"/>
            <w:shd w:val="clear" w:color="auto" w:fill="FFFF0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60-41%</w:t>
            </w:r>
          </w:p>
        </w:tc>
        <w:tc>
          <w:tcPr>
            <w:tcW w:w="0" w:type="auto"/>
            <w:shd w:val="clear" w:color="auto" w:fill="92D05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40-21%</w:t>
            </w:r>
          </w:p>
        </w:tc>
        <w:tc>
          <w:tcPr>
            <w:tcW w:w="0" w:type="auto"/>
            <w:shd w:val="clear" w:color="auto" w:fill="00B0F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20-0%</w:t>
            </w:r>
          </w:p>
        </w:tc>
      </w:tr>
      <w:tr w:rsidR="002D3969" w:rsidRPr="00994211" w:rsidTr="000F7DC4">
        <w:trPr>
          <w:trHeight w:val="290"/>
        </w:trPr>
        <w:tc>
          <w:tcPr>
            <w:tcW w:w="0" w:type="auto"/>
            <w:gridSpan w:val="6"/>
            <w:vAlign w:val="bottom"/>
          </w:tcPr>
          <w:p w:rsidR="002D3969" w:rsidRPr="00994211" w:rsidRDefault="002D3969" w:rsidP="000F7DC4">
            <w:pPr>
              <w:tabs>
                <w:tab w:val="left" w:pos="3537"/>
              </w:tabs>
              <w:ind w:left="-49"/>
              <w:rPr>
                <w:rFonts w:cs="Times New Roman"/>
                <w:color w:val="000000"/>
                <w:sz w:val="18"/>
                <w:szCs w:val="18"/>
                <w:lang w:val="en-US" w:eastAsia="el-GR"/>
              </w:rPr>
            </w:pPr>
            <w:r w:rsidRPr="00994211">
              <w:rPr>
                <w:rFonts w:cs="Times New Roman"/>
                <w:color w:val="000000"/>
                <w:sz w:val="18"/>
                <w:szCs w:val="18"/>
                <w:lang w:val="en-US" w:eastAsia="el-GR"/>
              </w:rPr>
              <w:t>For groups of substances, the highest frequency of individual substance is shown</w:t>
            </w:r>
          </w:p>
        </w:tc>
      </w:tr>
    </w:tbl>
    <w:p w:rsidR="005F4F6C" w:rsidRDefault="005F4F6C" w:rsidP="00D12E8B"/>
    <w:p w:rsidR="002D3969" w:rsidRDefault="002D3969" w:rsidP="002D3969">
      <w:pPr>
        <w:pStyle w:val="Caption"/>
        <w:rPr>
          <w:lang w:val="en-US"/>
        </w:rPr>
      </w:pPr>
      <w:r>
        <w:t xml:space="preserve">Table </w:t>
      </w:r>
      <w:r w:rsidR="008135ED">
        <w:fldChar w:fldCharType="begin"/>
      </w:r>
      <w:r w:rsidR="00F15E0D">
        <w:instrText xml:space="preserve"> STYLEREF 1 \s </w:instrText>
      </w:r>
      <w:r w:rsidR="008135ED">
        <w:fldChar w:fldCharType="separate"/>
      </w:r>
      <w:r>
        <w:rPr>
          <w:noProof/>
        </w:rPr>
        <w:t>3</w:t>
      </w:r>
      <w:r w:rsidR="008135ED">
        <w:rPr>
          <w:noProof/>
        </w:rPr>
        <w:fldChar w:fldCharType="end"/>
      </w:r>
      <w:r w:rsidR="00290633">
        <w:t>.10</w:t>
      </w:r>
      <w:r>
        <w:t>.</w:t>
      </w:r>
      <w:r>
        <w:tab/>
        <w:t>P</w:t>
      </w:r>
      <w:r>
        <w:rPr>
          <w:lang w:val="en-US"/>
        </w:rPr>
        <w:t xml:space="preserve">arameters relevant to MSFD indicator 5.1.1-Contaminants in sediment, grouped in chemical groups used by ICES: Frequency of reporting to the RSCs by the CPs </w:t>
      </w:r>
    </w:p>
    <w:p w:rsidR="002D3969" w:rsidRDefault="002D3969" w:rsidP="002D3969">
      <w:pPr>
        <w:rPr>
          <w:lang w:val="en-US"/>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8"/>
        <w:gridCol w:w="851"/>
        <w:gridCol w:w="1134"/>
        <w:gridCol w:w="1276"/>
        <w:gridCol w:w="778"/>
      </w:tblGrid>
      <w:tr w:rsidR="002D3969" w:rsidRPr="002D3969" w:rsidTr="002D3969">
        <w:trPr>
          <w:trHeight w:val="57"/>
        </w:trPr>
        <w:tc>
          <w:tcPr>
            <w:tcW w:w="2278" w:type="dxa"/>
            <w:shd w:val="clear" w:color="000000" w:fill="DBEEF3"/>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ICES chemical groups</w:t>
            </w:r>
          </w:p>
        </w:tc>
        <w:tc>
          <w:tcPr>
            <w:tcW w:w="851" w:type="dxa"/>
            <w:shd w:val="clear" w:color="000000" w:fill="DBEEF3"/>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OSPAR</w:t>
            </w:r>
          </w:p>
        </w:tc>
        <w:tc>
          <w:tcPr>
            <w:tcW w:w="1134" w:type="dxa"/>
            <w:shd w:val="clear" w:color="000000" w:fill="DBEEF3"/>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HELCOM</w:t>
            </w:r>
          </w:p>
        </w:tc>
        <w:tc>
          <w:tcPr>
            <w:tcW w:w="1276" w:type="dxa"/>
            <w:shd w:val="clear" w:color="000000" w:fill="DBEEF3"/>
            <w:noWrap/>
            <w:vAlign w:val="bottom"/>
            <w:hideMark/>
          </w:tcPr>
          <w:p w:rsidR="002D3969" w:rsidRPr="008C7666" w:rsidRDefault="002D3969" w:rsidP="000F7DC4">
            <w:pPr>
              <w:spacing w:line="240" w:lineRule="auto"/>
              <w:rPr>
                <w:rFonts w:asciiTheme="minorHAnsi" w:hAnsiTheme="minorHAnsi" w:cs="Times New Roman"/>
                <w:color w:val="000000"/>
                <w:sz w:val="18"/>
                <w:szCs w:val="18"/>
                <w:lang w:val="en-US" w:eastAsia="el-GR"/>
              </w:rPr>
            </w:pPr>
            <w:r w:rsidRPr="002D3969">
              <w:rPr>
                <w:rFonts w:cs="Times New Roman"/>
                <w:color w:val="000000"/>
                <w:sz w:val="18"/>
                <w:szCs w:val="18"/>
                <w:lang w:val="en-US" w:eastAsia="el-GR"/>
              </w:rPr>
              <w:t>UNEP/MAP</w:t>
            </w:r>
          </w:p>
        </w:tc>
        <w:tc>
          <w:tcPr>
            <w:tcW w:w="778" w:type="dxa"/>
            <w:shd w:val="clear" w:color="000000" w:fill="DBEEF3"/>
            <w:noWrap/>
            <w:vAlign w:val="bottom"/>
            <w:hideMark/>
          </w:tcPr>
          <w:p w:rsidR="002D3969" w:rsidRPr="008C7666" w:rsidRDefault="002D3969" w:rsidP="000F7DC4">
            <w:pPr>
              <w:spacing w:line="240" w:lineRule="auto"/>
              <w:rPr>
                <w:rFonts w:asciiTheme="minorHAnsi" w:hAnsiTheme="minorHAnsi" w:cs="Times New Roman"/>
                <w:color w:val="000000"/>
                <w:sz w:val="18"/>
                <w:szCs w:val="18"/>
                <w:lang w:val="en-US" w:eastAsia="el-GR"/>
              </w:rPr>
            </w:pPr>
            <w:r w:rsidRPr="002D3969">
              <w:rPr>
                <w:rFonts w:cs="Times New Roman"/>
                <w:color w:val="000000"/>
                <w:sz w:val="18"/>
                <w:szCs w:val="18"/>
                <w:lang w:val="en-US" w:eastAsia="el-GR"/>
              </w:rPr>
              <w:t>BSC</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Chlorobiphenyls</w:t>
            </w:r>
          </w:p>
        </w:tc>
        <w:tc>
          <w:tcPr>
            <w:tcW w:w="851" w:type="dxa"/>
            <w:shd w:val="clear" w:color="000000" w:fill="FFFF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color w:val="000000"/>
                <w:sz w:val="18"/>
                <w:szCs w:val="18"/>
                <w:lang w:eastAsia="el-GR"/>
              </w:rPr>
            </w:pPr>
            <w:r w:rsidRPr="004B0852">
              <w:rPr>
                <w:rFonts w:asciiTheme="minorHAnsi" w:hAnsiTheme="minorHAnsi" w:cs="Times New Roman"/>
                <w:color w:val="000000"/>
                <w:sz w:val="18"/>
                <w:szCs w:val="18"/>
                <w:lang w:eastAsia="el-GR"/>
              </w:rPr>
              <w:t>Cyclodienes</w:t>
            </w:r>
          </w:p>
        </w:tc>
        <w:tc>
          <w:tcPr>
            <w:tcW w:w="851"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color w:val="000000"/>
                <w:sz w:val="18"/>
                <w:szCs w:val="18"/>
                <w:lang w:eastAsia="el-GR"/>
              </w:rPr>
            </w:pPr>
            <w:r w:rsidRPr="004B0852">
              <w:rPr>
                <w:rFonts w:asciiTheme="minorHAnsi" w:hAnsiTheme="minorHAnsi" w:cs="Times New Roman"/>
                <w:color w:val="000000"/>
                <w:sz w:val="18"/>
                <w:szCs w:val="18"/>
                <w:lang w:eastAsia="el-GR"/>
              </w:rPr>
              <w:t>Dichloro-diphenyl-trichloroethetane DDTs</w:t>
            </w:r>
          </w:p>
        </w:tc>
        <w:tc>
          <w:tcPr>
            <w:tcW w:w="851"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Dioxins</w:t>
            </w:r>
          </w:p>
        </w:tc>
        <w:tc>
          <w:tcPr>
            <w:tcW w:w="851"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 </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Hexachlorocyclohexanes</w:t>
            </w:r>
          </w:p>
        </w:tc>
        <w:tc>
          <w:tcPr>
            <w:tcW w:w="851"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Metals and metalloids</w:t>
            </w:r>
          </w:p>
        </w:tc>
        <w:tc>
          <w:tcPr>
            <w:tcW w:w="851" w:type="dxa"/>
            <w:shd w:val="clear" w:color="000000" w:fill="FFFF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FFFF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Organic esters</w:t>
            </w:r>
          </w:p>
        </w:tc>
        <w:tc>
          <w:tcPr>
            <w:tcW w:w="851"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 </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Organobromines</w:t>
            </w:r>
          </w:p>
        </w:tc>
        <w:tc>
          <w:tcPr>
            <w:tcW w:w="851"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 </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Organochlorines (general)</w:t>
            </w:r>
          </w:p>
        </w:tc>
        <w:tc>
          <w:tcPr>
            <w:tcW w:w="851"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Organofluorines</w:t>
            </w:r>
          </w:p>
        </w:tc>
        <w:tc>
          <w:tcPr>
            <w:tcW w:w="851"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 </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Organo-metallic compounds</w:t>
            </w:r>
          </w:p>
        </w:tc>
        <w:tc>
          <w:tcPr>
            <w:tcW w:w="851"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 </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Pesticides (general)</w:t>
            </w:r>
          </w:p>
        </w:tc>
        <w:tc>
          <w:tcPr>
            <w:tcW w:w="851"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1134"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p>
        </w:tc>
        <w:tc>
          <w:tcPr>
            <w:tcW w:w="778" w:type="dxa"/>
            <w:shd w:val="clear" w:color="auto" w:fill="auto"/>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 </w:t>
            </w:r>
          </w:p>
        </w:tc>
      </w:tr>
      <w:tr w:rsidR="002D3969" w:rsidRPr="002D3969" w:rsidTr="004B0852">
        <w:trPr>
          <w:trHeight w:val="57"/>
        </w:trPr>
        <w:tc>
          <w:tcPr>
            <w:tcW w:w="2278" w:type="dxa"/>
            <w:shd w:val="clear" w:color="auto" w:fill="auto"/>
            <w:hideMark/>
          </w:tcPr>
          <w:p w:rsidR="002D3969" w:rsidRPr="004B0852" w:rsidRDefault="002D3969" w:rsidP="000F7DC4">
            <w:pPr>
              <w:spacing w:line="240" w:lineRule="auto"/>
              <w:rPr>
                <w:rFonts w:asciiTheme="minorHAnsi" w:hAnsiTheme="minorHAnsi" w:cs="Times New Roman"/>
                <w:sz w:val="18"/>
                <w:szCs w:val="18"/>
                <w:lang w:eastAsia="el-GR"/>
              </w:rPr>
            </w:pPr>
            <w:r w:rsidRPr="004B0852">
              <w:rPr>
                <w:rFonts w:asciiTheme="minorHAnsi" w:hAnsiTheme="minorHAnsi" w:cs="Times New Roman"/>
                <w:sz w:val="18"/>
                <w:szCs w:val="18"/>
                <w:lang w:eastAsia="el-GR"/>
              </w:rPr>
              <w:t>Polycyclic aromatic hydrocarbons (PAHs)</w:t>
            </w:r>
          </w:p>
        </w:tc>
        <w:tc>
          <w:tcPr>
            <w:tcW w:w="851" w:type="dxa"/>
            <w:shd w:val="clear" w:color="000000" w:fill="FFFF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134" w:type="dxa"/>
            <w:shd w:val="clear" w:color="000000" w:fill="92D05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1276" w:type="dxa"/>
            <w:shd w:val="clear" w:color="000000" w:fill="00B0F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c>
          <w:tcPr>
            <w:tcW w:w="778" w:type="dxa"/>
            <w:shd w:val="clear" w:color="000000" w:fill="FFC000"/>
            <w:noWrap/>
            <w:vAlign w:val="bottom"/>
            <w:hideMark/>
          </w:tcPr>
          <w:p w:rsidR="002D3969" w:rsidRPr="008C7666" w:rsidRDefault="002D3969" w:rsidP="000F7DC4">
            <w:pPr>
              <w:spacing w:line="240" w:lineRule="auto"/>
              <w:rPr>
                <w:rFonts w:asciiTheme="minorHAnsi" w:hAnsiTheme="minorHAnsi" w:cs="Times New Roman"/>
                <w:color w:val="000000"/>
                <w:sz w:val="18"/>
                <w:szCs w:val="18"/>
                <w:lang w:eastAsia="el-GR"/>
              </w:rPr>
            </w:pPr>
            <w:r w:rsidRPr="008C7666">
              <w:rPr>
                <w:rFonts w:asciiTheme="minorHAnsi" w:hAnsiTheme="minorHAnsi" w:cs="Times New Roman"/>
                <w:color w:val="000000"/>
                <w:sz w:val="18"/>
                <w:szCs w:val="18"/>
                <w:lang w:eastAsia="el-GR"/>
              </w:rPr>
              <w:t>x</w:t>
            </w:r>
          </w:p>
        </w:tc>
      </w:tr>
    </w:tbl>
    <w:p w:rsidR="002D3969" w:rsidRDefault="002D3969" w:rsidP="002D3969">
      <w:pPr>
        <w:rPr>
          <w:lang w:val="en-US"/>
        </w:rPr>
      </w:pPr>
    </w:p>
    <w:tbl>
      <w:tblPr>
        <w:tblStyle w:val="TableGrid"/>
        <w:tblW w:w="0" w:type="auto"/>
        <w:tblLook w:val="04A0"/>
      </w:tblPr>
      <w:tblGrid>
        <w:gridCol w:w="1300"/>
        <w:gridCol w:w="1196"/>
        <w:gridCol w:w="1068"/>
        <w:gridCol w:w="1068"/>
        <w:gridCol w:w="1068"/>
        <w:gridCol w:w="941"/>
      </w:tblGrid>
      <w:tr w:rsidR="002D3969" w:rsidRPr="00994211" w:rsidTr="000F7DC4">
        <w:tc>
          <w:tcPr>
            <w:tcW w:w="0" w:type="auto"/>
            <w:vAlign w:val="bottom"/>
          </w:tcPr>
          <w:p w:rsidR="002D3969" w:rsidRPr="00994211" w:rsidRDefault="002D3969" w:rsidP="000F7DC4">
            <w:pPr>
              <w:tabs>
                <w:tab w:val="left" w:pos="3537"/>
              </w:tabs>
              <w:ind w:left="-49"/>
              <w:rPr>
                <w:rFonts w:cs="Times New Roman"/>
                <w:color w:val="000000"/>
                <w:sz w:val="18"/>
                <w:szCs w:val="18"/>
                <w:lang w:eastAsia="el-GR"/>
              </w:rPr>
            </w:pPr>
            <w:r w:rsidRPr="00994211">
              <w:rPr>
                <w:rFonts w:cs="Times New Roman"/>
                <w:color w:val="000000"/>
                <w:sz w:val="18"/>
                <w:szCs w:val="18"/>
                <w:lang w:eastAsia="el-GR"/>
              </w:rPr>
              <w:t>Frequency</w:t>
            </w:r>
          </w:p>
        </w:tc>
        <w:tc>
          <w:tcPr>
            <w:tcW w:w="0" w:type="auto"/>
            <w:shd w:val="clear" w:color="auto" w:fill="FF0000"/>
            <w:vAlign w:val="bottom"/>
          </w:tcPr>
          <w:p w:rsidR="002D3969" w:rsidRPr="00994211" w:rsidRDefault="002D3969" w:rsidP="000F7DC4">
            <w:pPr>
              <w:jc w:val="center"/>
              <w:rPr>
                <w:rFonts w:cs="Times New Roman"/>
                <w:color w:val="FF0000"/>
                <w:sz w:val="18"/>
                <w:szCs w:val="18"/>
                <w:lang w:eastAsia="el-GR"/>
              </w:rPr>
            </w:pPr>
            <w:r w:rsidRPr="00994211">
              <w:rPr>
                <w:rFonts w:cs="Times New Roman"/>
                <w:color w:val="000000"/>
                <w:sz w:val="18"/>
                <w:szCs w:val="18"/>
                <w:lang w:eastAsia="el-GR"/>
              </w:rPr>
              <w:t>100-81%</w:t>
            </w:r>
          </w:p>
        </w:tc>
        <w:tc>
          <w:tcPr>
            <w:tcW w:w="0" w:type="auto"/>
            <w:shd w:val="clear" w:color="auto" w:fill="FFC00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80-61%</w:t>
            </w:r>
          </w:p>
        </w:tc>
        <w:tc>
          <w:tcPr>
            <w:tcW w:w="0" w:type="auto"/>
            <w:shd w:val="clear" w:color="auto" w:fill="FFFF0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60-41%</w:t>
            </w:r>
          </w:p>
        </w:tc>
        <w:tc>
          <w:tcPr>
            <w:tcW w:w="0" w:type="auto"/>
            <w:shd w:val="clear" w:color="auto" w:fill="92D05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40-21%</w:t>
            </w:r>
          </w:p>
        </w:tc>
        <w:tc>
          <w:tcPr>
            <w:tcW w:w="0" w:type="auto"/>
            <w:shd w:val="clear" w:color="auto" w:fill="00B0F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20-0%</w:t>
            </w:r>
          </w:p>
        </w:tc>
      </w:tr>
      <w:tr w:rsidR="002D3969" w:rsidRPr="00994211" w:rsidTr="000F7DC4">
        <w:trPr>
          <w:trHeight w:val="290"/>
        </w:trPr>
        <w:tc>
          <w:tcPr>
            <w:tcW w:w="0" w:type="auto"/>
            <w:gridSpan w:val="6"/>
            <w:vAlign w:val="bottom"/>
          </w:tcPr>
          <w:p w:rsidR="002D3969" w:rsidRPr="00994211" w:rsidRDefault="002D3969" w:rsidP="000F7DC4">
            <w:pPr>
              <w:tabs>
                <w:tab w:val="left" w:pos="3537"/>
              </w:tabs>
              <w:ind w:left="-49"/>
              <w:rPr>
                <w:rFonts w:cs="Times New Roman"/>
                <w:color w:val="000000"/>
                <w:sz w:val="18"/>
                <w:szCs w:val="18"/>
                <w:lang w:val="en-US" w:eastAsia="el-GR"/>
              </w:rPr>
            </w:pPr>
            <w:r w:rsidRPr="00994211">
              <w:rPr>
                <w:rFonts w:cs="Times New Roman"/>
                <w:color w:val="000000"/>
                <w:sz w:val="18"/>
                <w:szCs w:val="18"/>
                <w:lang w:val="en-US" w:eastAsia="el-GR"/>
              </w:rPr>
              <w:t>For groups of substances, the highest frequency of individual substance is shown</w:t>
            </w:r>
          </w:p>
        </w:tc>
      </w:tr>
    </w:tbl>
    <w:p w:rsidR="002D3969" w:rsidRPr="002D3969" w:rsidRDefault="002D3969" w:rsidP="002D3969"/>
    <w:p w:rsidR="005F4F6C" w:rsidRPr="002D3969" w:rsidRDefault="005F4F6C" w:rsidP="00D12E8B">
      <w:pPr>
        <w:rPr>
          <w:lang w:val="en-US"/>
        </w:rPr>
      </w:pPr>
    </w:p>
    <w:p w:rsidR="002D3969" w:rsidRDefault="002D3969" w:rsidP="00D12E8B"/>
    <w:p w:rsidR="002D3969" w:rsidRDefault="002D3969" w:rsidP="00D12E8B">
      <w:pPr>
        <w:rPr>
          <w:lang w:val="en-US"/>
        </w:rPr>
      </w:pPr>
    </w:p>
    <w:p w:rsidR="002D3969" w:rsidRDefault="002D3969" w:rsidP="00D12E8B">
      <w:pPr>
        <w:rPr>
          <w:lang w:val="en-US"/>
        </w:rPr>
      </w:pPr>
    </w:p>
    <w:p w:rsidR="002D3969" w:rsidRDefault="002D3969" w:rsidP="002D3969">
      <w:pPr>
        <w:pStyle w:val="Caption"/>
        <w:rPr>
          <w:lang w:val="en-US"/>
        </w:rPr>
      </w:pPr>
      <w:r>
        <w:t xml:space="preserve">Table </w:t>
      </w:r>
      <w:r w:rsidR="008135ED">
        <w:fldChar w:fldCharType="begin"/>
      </w:r>
      <w:r w:rsidR="00F15E0D">
        <w:instrText xml:space="preserve"> STYLEREF 1 \s </w:instrText>
      </w:r>
      <w:r w:rsidR="008135ED">
        <w:fldChar w:fldCharType="separate"/>
      </w:r>
      <w:r>
        <w:rPr>
          <w:noProof/>
        </w:rPr>
        <w:t>3</w:t>
      </w:r>
      <w:r w:rsidR="008135ED">
        <w:rPr>
          <w:noProof/>
        </w:rPr>
        <w:fldChar w:fldCharType="end"/>
      </w:r>
      <w:r w:rsidR="00290633">
        <w:t>.11</w:t>
      </w:r>
      <w:r>
        <w:t>.</w:t>
      </w:r>
      <w:r>
        <w:tab/>
        <w:t>P</w:t>
      </w:r>
      <w:r>
        <w:rPr>
          <w:lang w:val="en-US"/>
        </w:rPr>
        <w:t xml:space="preserve">arameters relevant to MSFD indicator 5.1.1-Contaminants in biota, grouped in chemical groups used by ICES: Frequency of reporting to the RSCs by the CPs </w:t>
      </w:r>
    </w:p>
    <w:p w:rsidR="002D3969" w:rsidRDefault="002D3969" w:rsidP="002D3969">
      <w:pPr>
        <w:rPr>
          <w:lang w:val="en-US"/>
        </w:rPr>
      </w:pPr>
    </w:p>
    <w:tbl>
      <w:tblPr>
        <w:tblW w:w="604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960"/>
        <w:gridCol w:w="960"/>
        <w:gridCol w:w="1050"/>
        <w:gridCol w:w="960"/>
      </w:tblGrid>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ICES chemical groups</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OSPAR</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HELCOM</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2D3969">
              <w:rPr>
                <w:rFonts w:asciiTheme="minorHAnsi" w:hAnsiTheme="minorHAnsi" w:cs="Times New Roman"/>
                <w:color w:val="000000"/>
                <w:sz w:val="18"/>
                <w:szCs w:val="18"/>
                <w:lang w:eastAsia="el-GR"/>
              </w:rPr>
              <w:t>UNEP/MAP</w:t>
            </w:r>
          </w:p>
        </w:tc>
        <w:tc>
          <w:tcPr>
            <w:tcW w:w="960" w:type="dxa"/>
            <w:shd w:val="clear" w:color="000000" w:fill="DBEEF3"/>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2D3969">
              <w:rPr>
                <w:rFonts w:asciiTheme="minorHAnsi" w:hAnsiTheme="minorHAnsi" w:cs="Times New Roman"/>
                <w:color w:val="000000"/>
                <w:sz w:val="18"/>
                <w:szCs w:val="18"/>
                <w:lang w:eastAsia="el-GR"/>
              </w:rPr>
              <w:t>BSC</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Chlorinated paraffins</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Chlorobiphenyls</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Cyclodienes</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Dichloro-diphenyl-trichloroethetane DDTs</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Dioxins</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Hexachlorocyclohexanes</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Metals and metalloids</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Organobromines</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Organochlorines (general)</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Organofluorines</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Organo-metallic compounds</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92D05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Pesticides (general)</w:t>
            </w: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p>
        </w:tc>
        <w:tc>
          <w:tcPr>
            <w:tcW w:w="960" w:type="dxa"/>
            <w:shd w:val="clear" w:color="auto" w:fill="auto"/>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 </w:t>
            </w:r>
          </w:p>
        </w:tc>
      </w:tr>
      <w:tr w:rsidR="002D3969" w:rsidRPr="005B10E1" w:rsidTr="000F7DC4">
        <w:trPr>
          <w:trHeight w:val="20"/>
        </w:trPr>
        <w:tc>
          <w:tcPr>
            <w:tcW w:w="2204" w:type="dxa"/>
            <w:shd w:val="clear" w:color="000000" w:fill="DBEEF3"/>
            <w:hideMark/>
          </w:tcPr>
          <w:p w:rsidR="002D3969" w:rsidRPr="005B10E1" w:rsidRDefault="002D3969" w:rsidP="000F7DC4">
            <w:pPr>
              <w:spacing w:line="240" w:lineRule="auto"/>
              <w:rPr>
                <w:rFonts w:asciiTheme="minorHAnsi" w:hAnsiTheme="minorHAnsi" w:cs="Times New Roman"/>
                <w:sz w:val="18"/>
                <w:szCs w:val="18"/>
                <w:lang w:eastAsia="el-GR"/>
              </w:rPr>
            </w:pPr>
            <w:r w:rsidRPr="005B10E1">
              <w:rPr>
                <w:rFonts w:asciiTheme="minorHAnsi" w:hAnsiTheme="minorHAnsi" w:cs="Times New Roman"/>
                <w:sz w:val="18"/>
                <w:szCs w:val="18"/>
                <w:lang w:eastAsia="el-GR"/>
              </w:rPr>
              <w:t>Polycyclic aromatic hydrocarbons (PAHs)</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FF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00B0F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c>
          <w:tcPr>
            <w:tcW w:w="960" w:type="dxa"/>
            <w:shd w:val="clear" w:color="000000" w:fill="FFC000"/>
            <w:noWrap/>
            <w:vAlign w:val="bottom"/>
            <w:hideMark/>
          </w:tcPr>
          <w:p w:rsidR="002D3969" w:rsidRPr="005B10E1" w:rsidRDefault="002D3969" w:rsidP="000F7DC4">
            <w:pPr>
              <w:spacing w:line="240" w:lineRule="auto"/>
              <w:rPr>
                <w:rFonts w:asciiTheme="minorHAnsi" w:hAnsiTheme="minorHAnsi" w:cs="Times New Roman"/>
                <w:color w:val="000000"/>
                <w:sz w:val="18"/>
                <w:szCs w:val="18"/>
                <w:lang w:eastAsia="el-GR"/>
              </w:rPr>
            </w:pPr>
            <w:r w:rsidRPr="005B10E1">
              <w:rPr>
                <w:rFonts w:asciiTheme="minorHAnsi" w:hAnsiTheme="minorHAnsi" w:cs="Times New Roman"/>
                <w:color w:val="000000"/>
                <w:sz w:val="18"/>
                <w:szCs w:val="18"/>
                <w:lang w:eastAsia="el-GR"/>
              </w:rPr>
              <w:t>x</w:t>
            </w:r>
          </w:p>
        </w:tc>
      </w:tr>
    </w:tbl>
    <w:p w:rsidR="002D3969" w:rsidRDefault="002D3969" w:rsidP="002D3969">
      <w:pPr>
        <w:rPr>
          <w:lang w:val="en-US"/>
        </w:rPr>
      </w:pPr>
    </w:p>
    <w:tbl>
      <w:tblPr>
        <w:tblStyle w:val="TableGrid"/>
        <w:tblW w:w="0" w:type="auto"/>
        <w:tblLook w:val="04A0"/>
      </w:tblPr>
      <w:tblGrid>
        <w:gridCol w:w="1300"/>
        <w:gridCol w:w="1196"/>
        <w:gridCol w:w="1068"/>
        <w:gridCol w:w="1068"/>
        <w:gridCol w:w="1068"/>
        <w:gridCol w:w="941"/>
      </w:tblGrid>
      <w:tr w:rsidR="002D3969" w:rsidRPr="00994211" w:rsidTr="000F7DC4">
        <w:tc>
          <w:tcPr>
            <w:tcW w:w="0" w:type="auto"/>
            <w:vAlign w:val="bottom"/>
          </w:tcPr>
          <w:p w:rsidR="002D3969" w:rsidRPr="00994211" w:rsidRDefault="002D3969" w:rsidP="000F7DC4">
            <w:pPr>
              <w:tabs>
                <w:tab w:val="left" w:pos="3537"/>
              </w:tabs>
              <w:ind w:left="-49"/>
              <w:rPr>
                <w:rFonts w:cs="Times New Roman"/>
                <w:color w:val="000000"/>
                <w:sz w:val="18"/>
                <w:szCs w:val="18"/>
                <w:lang w:eastAsia="el-GR"/>
              </w:rPr>
            </w:pPr>
            <w:r w:rsidRPr="00994211">
              <w:rPr>
                <w:rFonts w:cs="Times New Roman"/>
                <w:color w:val="000000"/>
                <w:sz w:val="18"/>
                <w:szCs w:val="18"/>
                <w:lang w:eastAsia="el-GR"/>
              </w:rPr>
              <w:t>Frequency</w:t>
            </w:r>
          </w:p>
        </w:tc>
        <w:tc>
          <w:tcPr>
            <w:tcW w:w="0" w:type="auto"/>
            <w:shd w:val="clear" w:color="auto" w:fill="FF0000"/>
            <w:vAlign w:val="bottom"/>
          </w:tcPr>
          <w:p w:rsidR="002D3969" w:rsidRPr="00994211" w:rsidRDefault="002D3969" w:rsidP="000F7DC4">
            <w:pPr>
              <w:jc w:val="center"/>
              <w:rPr>
                <w:rFonts w:cs="Times New Roman"/>
                <w:color w:val="FF0000"/>
                <w:sz w:val="18"/>
                <w:szCs w:val="18"/>
                <w:lang w:eastAsia="el-GR"/>
              </w:rPr>
            </w:pPr>
            <w:r w:rsidRPr="00994211">
              <w:rPr>
                <w:rFonts w:cs="Times New Roman"/>
                <w:color w:val="000000"/>
                <w:sz w:val="18"/>
                <w:szCs w:val="18"/>
                <w:lang w:eastAsia="el-GR"/>
              </w:rPr>
              <w:t>100-81%</w:t>
            </w:r>
          </w:p>
        </w:tc>
        <w:tc>
          <w:tcPr>
            <w:tcW w:w="0" w:type="auto"/>
            <w:shd w:val="clear" w:color="auto" w:fill="FFC00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80-61%</w:t>
            </w:r>
          </w:p>
        </w:tc>
        <w:tc>
          <w:tcPr>
            <w:tcW w:w="0" w:type="auto"/>
            <w:shd w:val="clear" w:color="auto" w:fill="FFFF0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60-41%</w:t>
            </w:r>
          </w:p>
        </w:tc>
        <w:tc>
          <w:tcPr>
            <w:tcW w:w="0" w:type="auto"/>
            <w:shd w:val="clear" w:color="auto" w:fill="92D05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40-21%</w:t>
            </w:r>
          </w:p>
        </w:tc>
        <w:tc>
          <w:tcPr>
            <w:tcW w:w="0" w:type="auto"/>
            <w:shd w:val="clear" w:color="auto" w:fill="00B0F0"/>
            <w:vAlign w:val="bottom"/>
          </w:tcPr>
          <w:p w:rsidR="002D3969" w:rsidRPr="00994211" w:rsidRDefault="002D3969" w:rsidP="000F7DC4">
            <w:pPr>
              <w:jc w:val="center"/>
              <w:rPr>
                <w:rFonts w:cs="Times New Roman"/>
                <w:color w:val="000000"/>
                <w:sz w:val="18"/>
                <w:szCs w:val="18"/>
                <w:lang w:eastAsia="el-GR"/>
              </w:rPr>
            </w:pPr>
            <w:r w:rsidRPr="00994211">
              <w:rPr>
                <w:rFonts w:cs="Times New Roman"/>
                <w:color w:val="000000"/>
                <w:sz w:val="18"/>
                <w:szCs w:val="18"/>
                <w:lang w:eastAsia="el-GR"/>
              </w:rPr>
              <w:t>20-0%</w:t>
            </w:r>
          </w:p>
        </w:tc>
      </w:tr>
      <w:tr w:rsidR="002D3969" w:rsidRPr="00994211" w:rsidTr="000F7DC4">
        <w:trPr>
          <w:trHeight w:val="290"/>
        </w:trPr>
        <w:tc>
          <w:tcPr>
            <w:tcW w:w="0" w:type="auto"/>
            <w:gridSpan w:val="6"/>
            <w:vAlign w:val="bottom"/>
          </w:tcPr>
          <w:p w:rsidR="002D3969" w:rsidRPr="00994211" w:rsidRDefault="002D3969" w:rsidP="000F7DC4">
            <w:pPr>
              <w:tabs>
                <w:tab w:val="left" w:pos="3537"/>
              </w:tabs>
              <w:ind w:left="-49"/>
              <w:rPr>
                <w:rFonts w:cs="Times New Roman"/>
                <w:color w:val="000000"/>
                <w:sz w:val="18"/>
                <w:szCs w:val="18"/>
                <w:lang w:val="en-US" w:eastAsia="el-GR"/>
              </w:rPr>
            </w:pPr>
            <w:r w:rsidRPr="00994211">
              <w:rPr>
                <w:rFonts w:cs="Times New Roman"/>
                <w:color w:val="000000"/>
                <w:sz w:val="18"/>
                <w:szCs w:val="18"/>
                <w:lang w:val="en-US" w:eastAsia="el-GR"/>
              </w:rPr>
              <w:t>For groups of substances, the highest frequency of individual substance is shown</w:t>
            </w:r>
          </w:p>
        </w:tc>
      </w:tr>
    </w:tbl>
    <w:p w:rsidR="002D3969" w:rsidRPr="002D3969" w:rsidRDefault="002D3969" w:rsidP="002D3969"/>
    <w:p w:rsidR="002D3969" w:rsidRPr="002D3969" w:rsidRDefault="002D3969" w:rsidP="002D3969">
      <w:pPr>
        <w:rPr>
          <w:lang w:val="en-US"/>
        </w:rPr>
      </w:pPr>
    </w:p>
    <w:p w:rsidR="00A60C9C" w:rsidRDefault="002D0105">
      <w:pPr>
        <w:pStyle w:val="Caption"/>
        <w:jc w:val="both"/>
        <w:rPr>
          <w:szCs w:val="21"/>
          <w:lang w:val="en-US"/>
        </w:rPr>
      </w:pPr>
      <w:r>
        <w:rPr>
          <w:bCs w:val="0"/>
          <w:i w:val="0"/>
          <w:sz w:val="21"/>
          <w:szCs w:val="24"/>
          <w:lang w:val="en-US"/>
        </w:rPr>
        <w:tab/>
      </w:r>
      <w:r w:rsidR="00F56122">
        <w:rPr>
          <w:szCs w:val="21"/>
          <w:lang w:val="en-US"/>
        </w:rPr>
        <w:t xml:space="preserve"> </w:t>
      </w:r>
    </w:p>
    <w:p w:rsidR="00533AE9" w:rsidRDefault="00533AE9" w:rsidP="00EA41C7">
      <w:pPr>
        <w:pStyle w:val="ListParagraph"/>
        <w:spacing w:line="240" w:lineRule="auto"/>
        <w:ind w:left="502"/>
        <w:rPr>
          <w:szCs w:val="21"/>
          <w:lang w:val="en-US"/>
        </w:rPr>
      </w:pPr>
    </w:p>
    <w:p w:rsidR="00533AE9" w:rsidRPr="00D12E8B" w:rsidRDefault="004B48B8" w:rsidP="00D12E8B">
      <w:pPr>
        <w:spacing w:line="240" w:lineRule="auto"/>
        <w:jc w:val="left"/>
        <w:rPr>
          <w:szCs w:val="21"/>
          <w:lang w:val="en-US"/>
        </w:rPr>
      </w:pPr>
      <w:r>
        <w:rPr>
          <w:szCs w:val="21"/>
          <w:lang w:val="en-US"/>
        </w:rPr>
        <w:br w:type="page"/>
      </w:r>
    </w:p>
    <w:p w:rsidR="002C3E00" w:rsidRPr="00D12E8B" w:rsidRDefault="002C3E00" w:rsidP="00290633">
      <w:pPr>
        <w:pStyle w:val="Heading2"/>
        <w:rPr>
          <w:lang w:val="en-US"/>
        </w:rPr>
      </w:pPr>
      <w:r w:rsidRPr="00D12E8B">
        <w:rPr>
          <w:lang w:val="en-US"/>
        </w:rPr>
        <w:lastRenderedPageBreak/>
        <w:t>Categorization of indicators according to the DPSIR approach</w:t>
      </w:r>
    </w:p>
    <w:p w:rsidR="002C3E00" w:rsidRPr="00F2534A" w:rsidRDefault="002C3E00" w:rsidP="00987279">
      <w:pPr>
        <w:pStyle w:val="ListParagraph"/>
        <w:spacing w:line="240" w:lineRule="auto"/>
        <w:ind w:left="502"/>
        <w:rPr>
          <w:b/>
          <w:szCs w:val="21"/>
          <w:lang w:val="en-US"/>
        </w:rPr>
      </w:pPr>
    </w:p>
    <w:p w:rsidR="009973CC" w:rsidRDefault="002C3E00" w:rsidP="009973CC">
      <w:pPr>
        <w:pStyle w:val="ListParagraph"/>
        <w:spacing w:line="240" w:lineRule="auto"/>
        <w:ind w:left="0"/>
      </w:pPr>
      <w:r w:rsidRPr="00F2534A">
        <w:rPr>
          <w:szCs w:val="21"/>
          <w:lang w:val="en-US"/>
        </w:rPr>
        <w:t xml:space="preserve">The </w:t>
      </w:r>
      <w:r w:rsidRPr="00D12E8B">
        <w:rPr>
          <w:szCs w:val="21"/>
          <w:lang w:val="en-US"/>
        </w:rPr>
        <w:t xml:space="preserve">Table </w:t>
      </w:r>
      <w:r w:rsidR="00290633">
        <w:rPr>
          <w:szCs w:val="21"/>
          <w:lang w:val="en-US"/>
        </w:rPr>
        <w:t>3.12</w:t>
      </w:r>
      <w:r w:rsidRPr="00D12E8B">
        <w:rPr>
          <w:szCs w:val="21"/>
          <w:lang w:val="en-US"/>
        </w:rPr>
        <w:t xml:space="preserve"> below</w:t>
      </w:r>
      <w:r w:rsidRPr="00F2534A">
        <w:rPr>
          <w:szCs w:val="21"/>
          <w:lang w:val="en-US"/>
        </w:rPr>
        <w:t xml:space="preserve"> is an initial effort to associate the RSCs hazardous substances indicators with driver, pressure, state or impact in order to address the DPSIR approach. The type of indicators (P, S, I) are according to SEC (2011).  All RSCs cover pressure and impact indicators. OSPAR and BSC apply indicators on hazardous substances loads providing information on d</w:t>
      </w:r>
      <w:r w:rsidR="009973CC">
        <w:rPr>
          <w:szCs w:val="21"/>
          <w:lang w:val="en-US"/>
        </w:rPr>
        <w:t xml:space="preserve">rivers. HELCOM </w:t>
      </w:r>
      <w:r w:rsidRPr="00F2534A">
        <w:rPr>
          <w:szCs w:val="21"/>
          <w:lang w:val="en-US"/>
        </w:rPr>
        <w:t>collect</w:t>
      </w:r>
      <w:r w:rsidR="006A0DD5">
        <w:rPr>
          <w:szCs w:val="21"/>
          <w:lang w:val="en-US"/>
        </w:rPr>
        <w:t>s</w:t>
      </w:r>
      <w:r w:rsidRPr="00F2534A">
        <w:rPr>
          <w:szCs w:val="21"/>
          <w:lang w:val="en-US"/>
        </w:rPr>
        <w:t xml:space="preserve"> data on inputs and produce assessments of pollution loads (see Review of the Fifth Baltic Sea Pollution Load Compilation for the 2013 HELCOM Ministerial Meeting </w:t>
      </w:r>
      <w:hyperlink r:id="rId50" w:history="1">
        <w:r w:rsidRPr="00F2534A">
          <w:rPr>
            <w:rStyle w:val="Hyperlink"/>
            <w:szCs w:val="21"/>
            <w:lang w:val="en-US"/>
          </w:rPr>
          <w:t>http://www.helcom.fi/helcom-at-work/projects/plc-5-5/</w:t>
        </w:r>
      </w:hyperlink>
      <w:r w:rsidRPr="00F2534A">
        <w:rPr>
          <w:szCs w:val="21"/>
          <w:lang w:val="en-US"/>
        </w:rPr>
        <w:t xml:space="preserve"> MEDPOL; Releases, emissions and sources of pollutants in the Mediterranean region. An a</w:t>
      </w:r>
      <w:r>
        <w:rPr>
          <w:szCs w:val="21"/>
          <w:lang w:val="en-US"/>
        </w:rPr>
        <w:t xml:space="preserve">ssessment of 2003-2008 trends; </w:t>
      </w:r>
      <w:r w:rsidRPr="00F2534A">
        <w:rPr>
          <w:szCs w:val="21"/>
          <w:lang w:val="en-US"/>
        </w:rPr>
        <w:t>2012)</w:t>
      </w:r>
      <w:r w:rsidR="006A0DD5">
        <w:rPr>
          <w:szCs w:val="21"/>
          <w:lang w:val="en-US"/>
        </w:rPr>
        <w:t xml:space="preserve"> but has</w:t>
      </w:r>
      <w:r w:rsidR="009973CC">
        <w:rPr>
          <w:szCs w:val="21"/>
          <w:lang w:val="en-US"/>
        </w:rPr>
        <w:t xml:space="preserve"> not developed </w:t>
      </w:r>
      <w:r w:rsidR="006A0DD5">
        <w:rPr>
          <w:szCs w:val="21"/>
          <w:lang w:val="en-US"/>
        </w:rPr>
        <w:t xml:space="preserve">a </w:t>
      </w:r>
      <w:r w:rsidR="009973CC">
        <w:rPr>
          <w:szCs w:val="21"/>
          <w:lang w:val="en-US"/>
        </w:rPr>
        <w:t xml:space="preserve">relevant </w:t>
      </w:r>
      <w:r w:rsidR="006A0DD5">
        <w:rPr>
          <w:szCs w:val="21"/>
          <w:lang w:val="en-US"/>
        </w:rPr>
        <w:t>core indicator</w:t>
      </w:r>
      <w:r w:rsidRPr="00F2534A">
        <w:rPr>
          <w:szCs w:val="21"/>
          <w:lang w:val="en-US"/>
        </w:rPr>
        <w:t>.</w:t>
      </w:r>
      <w:r w:rsidR="009973CC">
        <w:rPr>
          <w:szCs w:val="21"/>
          <w:lang w:val="en-US"/>
        </w:rPr>
        <w:t xml:space="preserve"> </w:t>
      </w:r>
      <w:r w:rsidR="009973CC">
        <w:t>UNEP/MAP</w:t>
      </w:r>
      <w:r w:rsidR="009973CC">
        <w:rPr>
          <w:szCs w:val="21"/>
          <w:lang w:val="en-US"/>
        </w:rPr>
        <w:t xml:space="preserve"> is currently developing an indicator on “</w:t>
      </w:r>
      <w:r w:rsidR="009973CC" w:rsidRPr="009973CC">
        <w:t>Release of toxic  substance</w:t>
      </w:r>
      <w:r w:rsidR="009973CC">
        <w:t>s and nutrients from industrial sector’ representing</w:t>
      </w:r>
      <w:r w:rsidR="009973CC" w:rsidRPr="009973CC">
        <w:t xml:space="preserve"> the emissions from industrial sources from individual facilities within the Mediterranean coastal </w:t>
      </w:r>
      <w:r w:rsidR="009973CC">
        <w:t xml:space="preserve">zone with regard to </w:t>
      </w:r>
      <w:r w:rsidR="009973CC" w:rsidRPr="009973CC">
        <w:t>nutrients and oxygen depleting substances, halogenated hydrocarbons, hydrocarbons and heavy metals</w:t>
      </w:r>
      <w:r w:rsidR="009973CC">
        <w:t xml:space="preserve">. </w:t>
      </w:r>
    </w:p>
    <w:p w:rsidR="009973CC" w:rsidRDefault="009973CC" w:rsidP="009973CC">
      <w:pPr>
        <w:pStyle w:val="ListParagraph"/>
        <w:spacing w:line="240" w:lineRule="auto"/>
        <w:ind w:left="0"/>
      </w:pPr>
    </w:p>
    <w:p w:rsidR="009973CC" w:rsidRDefault="009973CC">
      <w:pPr>
        <w:spacing w:line="240" w:lineRule="auto"/>
        <w:jc w:val="left"/>
      </w:pPr>
    </w:p>
    <w:p w:rsidR="002C3E00" w:rsidRPr="00F2534A" w:rsidRDefault="004B48B8" w:rsidP="009973CC">
      <w:pPr>
        <w:pStyle w:val="ListParagraph"/>
        <w:spacing w:line="240" w:lineRule="auto"/>
        <w:ind w:left="0"/>
        <w:rPr>
          <w:lang w:val="en-US"/>
        </w:rPr>
      </w:pPr>
      <w:r w:rsidRPr="00290633">
        <w:rPr>
          <w:i/>
          <w:sz w:val="18"/>
          <w:szCs w:val="18"/>
        </w:rPr>
        <w:t xml:space="preserve">Table </w:t>
      </w:r>
      <w:r w:rsidR="008135ED" w:rsidRPr="00290633">
        <w:rPr>
          <w:i/>
          <w:sz w:val="18"/>
          <w:szCs w:val="18"/>
        </w:rPr>
        <w:fldChar w:fldCharType="begin"/>
      </w:r>
      <w:r w:rsidRPr="00290633">
        <w:rPr>
          <w:i/>
          <w:sz w:val="18"/>
          <w:szCs w:val="18"/>
        </w:rPr>
        <w:instrText xml:space="preserve"> STYLEREF 1 \s </w:instrText>
      </w:r>
      <w:r w:rsidR="008135ED" w:rsidRPr="00290633">
        <w:rPr>
          <w:i/>
          <w:sz w:val="18"/>
          <w:szCs w:val="18"/>
        </w:rPr>
        <w:fldChar w:fldCharType="separate"/>
      </w:r>
      <w:r w:rsidR="003461A2" w:rsidRPr="00290633">
        <w:rPr>
          <w:i/>
          <w:noProof/>
          <w:sz w:val="18"/>
          <w:szCs w:val="18"/>
        </w:rPr>
        <w:t>3</w:t>
      </w:r>
      <w:r w:rsidR="008135ED" w:rsidRPr="00290633">
        <w:rPr>
          <w:i/>
          <w:sz w:val="18"/>
          <w:szCs w:val="18"/>
        </w:rPr>
        <w:fldChar w:fldCharType="end"/>
      </w:r>
      <w:r w:rsidRPr="00290633">
        <w:rPr>
          <w:i/>
          <w:sz w:val="18"/>
          <w:szCs w:val="18"/>
        </w:rPr>
        <w:t>.</w:t>
      </w:r>
      <w:r w:rsidR="00290633" w:rsidRPr="00290633">
        <w:rPr>
          <w:i/>
          <w:sz w:val="18"/>
          <w:szCs w:val="18"/>
        </w:rPr>
        <w:t>12</w:t>
      </w:r>
      <w:r w:rsidRPr="00290633">
        <w:rPr>
          <w:i/>
          <w:sz w:val="18"/>
          <w:szCs w:val="18"/>
        </w:rPr>
        <w:tab/>
      </w:r>
      <w:r w:rsidR="002C3E00" w:rsidRPr="00290633">
        <w:rPr>
          <w:i/>
          <w:sz w:val="18"/>
          <w:szCs w:val="18"/>
          <w:lang w:val="en-US"/>
        </w:rPr>
        <w:t>RSCs indicators type, D: Driver P: Pressure, S: State. I: Impact</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6"/>
        <w:gridCol w:w="1313"/>
        <w:gridCol w:w="1661"/>
        <w:gridCol w:w="1935"/>
        <w:gridCol w:w="1330"/>
        <w:gridCol w:w="1176"/>
        <w:gridCol w:w="959"/>
      </w:tblGrid>
      <w:tr w:rsidR="002C3E00" w:rsidRPr="002C3E00" w:rsidTr="002C3E00">
        <w:trPr>
          <w:trHeight w:val="385"/>
        </w:trPr>
        <w:tc>
          <w:tcPr>
            <w:tcW w:w="578"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rPr>
            </w:pPr>
            <w:r w:rsidRPr="002C3E00">
              <w:rPr>
                <w:b/>
                <w:bCs/>
                <w:color w:val="000000"/>
                <w:sz w:val="18"/>
                <w:szCs w:val="18"/>
                <w:lang w:val="en-US"/>
              </w:rPr>
              <w:t>Type</w:t>
            </w:r>
          </w:p>
        </w:tc>
        <w:tc>
          <w:tcPr>
            <w:tcW w:w="2870"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rPr>
              <w:t>OSPAR</w:t>
            </w:r>
          </w:p>
        </w:tc>
        <w:tc>
          <w:tcPr>
            <w:tcW w:w="1884"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vertAlign w:val="superscript"/>
                <w:lang w:val="en-US"/>
              </w:rPr>
            </w:pPr>
            <w:r w:rsidRPr="002C3E00">
              <w:rPr>
                <w:b/>
                <w:bCs/>
                <w:color w:val="000000"/>
                <w:sz w:val="18"/>
                <w:szCs w:val="18"/>
              </w:rPr>
              <w:t>OSPAR</w:t>
            </w:r>
          </w:p>
        </w:tc>
        <w:tc>
          <w:tcPr>
            <w:tcW w:w="2830"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rPr>
              <w:t>HELCOM</w:t>
            </w:r>
          </w:p>
        </w:tc>
        <w:tc>
          <w:tcPr>
            <w:tcW w:w="2183"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rPr>
            </w:pPr>
            <w:r w:rsidRPr="002C3E00">
              <w:rPr>
                <w:b/>
                <w:bCs/>
                <w:color w:val="000000"/>
                <w:sz w:val="18"/>
                <w:szCs w:val="18"/>
              </w:rPr>
              <w:t>HELCOM</w:t>
            </w:r>
          </w:p>
        </w:tc>
        <w:tc>
          <w:tcPr>
            <w:tcW w:w="1943"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rPr>
            </w:pPr>
            <w:r w:rsidRPr="002C3E00">
              <w:rPr>
                <w:b/>
                <w:bCs/>
                <w:color w:val="000000"/>
                <w:sz w:val="18"/>
                <w:szCs w:val="18"/>
              </w:rPr>
              <w:t>UNEP/MAP</w:t>
            </w:r>
          </w:p>
        </w:tc>
        <w:tc>
          <w:tcPr>
            <w:tcW w:w="1886"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lang w:val="en-US"/>
              </w:rPr>
              <w:t>BSC</w:t>
            </w:r>
          </w:p>
        </w:tc>
      </w:tr>
      <w:tr w:rsidR="002C3E00" w:rsidRPr="002C3E00" w:rsidTr="002C3E00">
        <w:trPr>
          <w:trHeight w:val="405"/>
        </w:trPr>
        <w:tc>
          <w:tcPr>
            <w:tcW w:w="578"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rPr>
            </w:pPr>
          </w:p>
        </w:tc>
        <w:tc>
          <w:tcPr>
            <w:tcW w:w="2870" w:type="dxa"/>
            <w:shd w:val="clear" w:color="auto" w:fill="D9D9D9" w:themeFill="background1" w:themeFillShade="D9"/>
          </w:tcPr>
          <w:p w:rsidR="002C3E00" w:rsidRPr="002C3E00" w:rsidRDefault="00580600" w:rsidP="00987279">
            <w:pPr>
              <w:autoSpaceDE w:val="0"/>
              <w:autoSpaceDN w:val="0"/>
              <w:adjustRightInd w:val="0"/>
              <w:spacing w:line="240" w:lineRule="auto"/>
              <w:rPr>
                <w:b/>
                <w:bCs/>
                <w:color w:val="000000"/>
                <w:sz w:val="18"/>
                <w:szCs w:val="18"/>
                <w:vertAlign w:val="superscript"/>
                <w:lang w:val="en-US"/>
              </w:rPr>
            </w:pPr>
            <w:r>
              <w:rPr>
                <w:b/>
                <w:bCs/>
                <w:color w:val="000000"/>
                <w:sz w:val="18"/>
                <w:szCs w:val="18"/>
              </w:rPr>
              <w:t>Common indicat</w:t>
            </w:r>
            <w:r w:rsidR="002C3E00" w:rsidRPr="002C3E00">
              <w:rPr>
                <w:b/>
                <w:bCs/>
                <w:color w:val="000000"/>
                <w:sz w:val="18"/>
                <w:szCs w:val="18"/>
              </w:rPr>
              <w:t>ors</w:t>
            </w:r>
          </w:p>
        </w:tc>
        <w:tc>
          <w:tcPr>
            <w:tcW w:w="1884" w:type="dxa"/>
            <w:shd w:val="clear" w:color="auto" w:fill="D9D9D9" w:themeFill="background1" w:themeFillShade="D9"/>
          </w:tcPr>
          <w:p w:rsidR="002C3E00" w:rsidRPr="002C3E00" w:rsidRDefault="00580600" w:rsidP="00987279">
            <w:pPr>
              <w:autoSpaceDE w:val="0"/>
              <w:autoSpaceDN w:val="0"/>
              <w:adjustRightInd w:val="0"/>
              <w:spacing w:line="240" w:lineRule="auto"/>
              <w:rPr>
                <w:b/>
                <w:bCs/>
                <w:color w:val="000000"/>
                <w:sz w:val="18"/>
                <w:szCs w:val="18"/>
                <w:highlight w:val="yellow"/>
                <w:vertAlign w:val="superscript"/>
                <w:lang w:val="en-US"/>
              </w:rPr>
            </w:pPr>
            <w:r>
              <w:rPr>
                <w:b/>
                <w:bCs/>
                <w:color w:val="000000"/>
                <w:sz w:val="18"/>
                <w:szCs w:val="18"/>
              </w:rPr>
              <w:t>Candidate indicat</w:t>
            </w:r>
            <w:r w:rsidR="002C3E00" w:rsidRPr="002C3E00">
              <w:rPr>
                <w:b/>
                <w:bCs/>
                <w:color w:val="000000"/>
                <w:sz w:val="18"/>
                <w:szCs w:val="18"/>
              </w:rPr>
              <w:t>ors</w:t>
            </w:r>
          </w:p>
        </w:tc>
        <w:tc>
          <w:tcPr>
            <w:tcW w:w="2830"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rPr>
              <w:t>Core indicators</w:t>
            </w:r>
          </w:p>
        </w:tc>
        <w:tc>
          <w:tcPr>
            <w:tcW w:w="2183"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lang w:val="en-US"/>
              </w:rPr>
              <w:t>Pre-core indicators</w:t>
            </w:r>
          </w:p>
        </w:tc>
        <w:tc>
          <w:tcPr>
            <w:tcW w:w="1943"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rPr>
              <w:t>Proposed indicators</w:t>
            </w:r>
          </w:p>
        </w:tc>
        <w:tc>
          <w:tcPr>
            <w:tcW w:w="1886" w:type="dxa"/>
            <w:shd w:val="clear" w:color="auto" w:fill="D9D9D9" w:themeFill="background1" w:themeFillShade="D9"/>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rPr>
              <w:t xml:space="preserve">Indicators in Diagnostic Report, 2010 </w:t>
            </w:r>
          </w:p>
        </w:tc>
      </w:tr>
      <w:tr w:rsidR="002C3E00" w:rsidRPr="002C3E00" w:rsidTr="002C3E00">
        <w:trPr>
          <w:trHeight w:val="470"/>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D/P</w:t>
            </w:r>
          </w:p>
        </w:tc>
        <w:tc>
          <w:tcPr>
            <w:tcW w:w="2870"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color w:val="000000"/>
                <w:sz w:val="18"/>
                <w:szCs w:val="18"/>
                <w:lang w:val="en-US"/>
              </w:rPr>
              <w:t>Inputs of Hg, Cd and Pb via water and air</w:t>
            </w:r>
          </w:p>
        </w:tc>
        <w:tc>
          <w:tcPr>
            <w:tcW w:w="1884" w:type="dxa"/>
            <w:shd w:val="solid" w:color="FFFFFF" w:fill="auto"/>
          </w:tcPr>
          <w:p w:rsidR="002C3E00" w:rsidRPr="002C3E00" w:rsidRDefault="002C3E00" w:rsidP="00987279">
            <w:pPr>
              <w:autoSpaceDE w:val="0"/>
              <w:autoSpaceDN w:val="0"/>
              <w:adjustRightInd w:val="0"/>
              <w:spacing w:line="240" w:lineRule="auto"/>
              <w:rPr>
                <w:b/>
                <w:bCs/>
                <w:color w:val="FF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bCs/>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c>
          <w:tcPr>
            <w:tcW w:w="1886" w:type="dxa"/>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Loads: Inputs of nutrients and HSs from direct (point) sources</w:t>
            </w:r>
          </w:p>
        </w:tc>
      </w:tr>
      <w:tr w:rsidR="002C3E00" w:rsidRPr="002C3E00" w:rsidTr="002C3E00">
        <w:trPr>
          <w:trHeight w:val="703"/>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 xml:space="preserve">Metal (Hg, Cd, Pb) concentrations in biota </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Metals (lead, cadmium and mercury)</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9.1.1 Concentration of key harmful contaminants in biota, sediment or water</w:t>
            </w: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Hazardous substances in biota</w:t>
            </w:r>
          </w:p>
        </w:tc>
      </w:tr>
      <w:tr w:rsidR="002C3E00" w:rsidRPr="002C3E00" w:rsidTr="002C3E00">
        <w:trPr>
          <w:trHeight w:val="936"/>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Metal (Hg, Cd, Pb) concentrations in sediment</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Hazardous substances in sediments</w:t>
            </w: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 xml:space="preserve">PCB concentrations in biota </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Polychlorinated biphenyls (PCB) and dioxins and furans: CB-28, 52, 101, 118, 138, 153and 180; WHO-TEQ of dioxins, furans +dl-PCBs</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P</w:t>
            </w:r>
            <w:r w:rsidRPr="002C3E00">
              <w:rPr>
                <w:color w:val="000000"/>
                <w:sz w:val="18"/>
                <w:szCs w:val="18"/>
                <w:lang w:val="en-US"/>
              </w:rPr>
              <w:t xml:space="preserve">CB </w:t>
            </w:r>
            <w:r w:rsidRPr="002C3E00">
              <w:rPr>
                <w:color w:val="000000"/>
                <w:sz w:val="18"/>
                <w:szCs w:val="18"/>
              </w:rPr>
              <w:t>concentration</w:t>
            </w:r>
            <w:r w:rsidRPr="002C3E00">
              <w:rPr>
                <w:color w:val="000000"/>
                <w:sz w:val="18"/>
                <w:szCs w:val="18"/>
              </w:rPr>
              <w:lastRenderedPageBreak/>
              <w:t>s in sediments</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sz w:val="18"/>
                <w:szCs w:val="18"/>
              </w:rPr>
            </w:pPr>
            <w:r w:rsidRPr="002C3E00">
              <w:rPr>
                <w:sz w:val="18"/>
                <w:szCs w:val="18"/>
              </w:rPr>
              <w:lastRenderedPageBreak/>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sz w:val="18"/>
                <w:szCs w:val="18"/>
              </w:rPr>
              <w:t>P</w:t>
            </w:r>
            <w:r w:rsidRPr="002C3E00">
              <w:rPr>
                <w:sz w:val="18"/>
                <w:szCs w:val="18"/>
                <w:lang w:val="en-US"/>
              </w:rPr>
              <w:t xml:space="preserve">AHs </w:t>
            </w:r>
            <w:r w:rsidRPr="002C3E00">
              <w:rPr>
                <w:sz w:val="18"/>
                <w:szCs w:val="18"/>
              </w:rPr>
              <w:t>concentrations in biota*</w:t>
            </w: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Polyaromatic hydrocarbons and their metabolites: US EPA 16 PAHs / selected metabolites.</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P</w:t>
            </w:r>
            <w:r w:rsidRPr="002C3E00">
              <w:rPr>
                <w:color w:val="000000"/>
                <w:sz w:val="18"/>
                <w:szCs w:val="18"/>
                <w:lang w:val="en-US"/>
              </w:rPr>
              <w:t>AHs</w:t>
            </w:r>
            <w:r w:rsidRPr="002C3E00">
              <w:rPr>
                <w:color w:val="000000"/>
                <w:sz w:val="18"/>
                <w:szCs w:val="18"/>
              </w:rPr>
              <w:t xml:space="preserve"> concentrations in sediments</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highlight w:val="yellow"/>
              </w:rPr>
            </w:pPr>
            <w:r w:rsidRPr="002C3E00">
              <w:rPr>
                <w:sz w:val="18"/>
                <w:szCs w:val="18"/>
              </w:rPr>
              <w:t>Organotin concentrations in biota</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Tributyltin (TBT) and imposex</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Organotin concentrations in sediments</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PBDE concentrations in biota</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Polybrominated biphenyl ethers (PBDE): BDE-28, 47, 99, 100, 153 and 154</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PBDE concentrations in sediments</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lang w:val="en-US"/>
              </w:rPr>
            </w:pPr>
            <w:r w:rsidRPr="002C3E00">
              <w:rPr>
                <w:sz w:val="18"/>
                <w:szCs w:val="18"/>
                <w:lang w:val="en-US"/>
              </w:rPr>
              <w:t>HCB (hexachlorobenzene) concentrations in biota</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lang w:val="en-US"/>
              </w:rPr>
            </w:pPr>
            <w:r w:rsidRPr="002C3E00">
              <w:rPr>
                <w:sz w:val="18"/>
                <w:szCs w:val="18"/>
                <w:lang w:val="en-US"/>
              </w:rPr>
              <w:t>HCB (hexachlorobenzene) concentrations in sediments</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lang w:val="en-US"/>
              </w:rPr>
            </w:pPr>
            <w:r w:rsidRPr="002C3E00">
              <w:rPr>
                <w:sz w:val="18"/>
                <w:szCs w:val="18"/>
                <w:lang w:val="en-US"/>
              </w:rPr>
              <w:t>HCBD (hexachlorobutadiene) concentrations in biota</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lang w:val="en-US"/>
              </w:rPr>
            </w:pPr>
            <w:r w:rsidRPr="002C3E00">
              <w:rPr>
                <w:sz w:val="18"/>
                <w:szCs w:val="18"/>
                <w:lang w:val="en-US"/>
              </w:rPr>
              <w:t>HCBD (hexachlorobutadiene) concentrations in sediments</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FF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rPr>
              <w:t>Hexabromocyclododacene (HBCD)</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FF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Perfluorooctane sulphonate (PFOS)</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FF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Pharmaceuticals: Diclofenac, EE2 (+E1, E2, E3 + in vitro yeast essay</w:t>
            </w: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FF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Radioactive substances: Caesium-137 in fi sh and surface waters</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lastRenderedPageBreak/>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Imposex/intersex</w:t>
            </w: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Tributyltin (TBT) and imposex</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lang w:val="en-US"/>
              </w:rPr>
              <w:t>9.2.1 Level of pollution effects of key contaminants where a cause and effect relationship has been established</w:t>
            </w: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highlight w:val="yellow"/>
              </w:rPr>
            </w:pPr>
            <w:r w:rsidRPr="002C3E00">
              <w:rPr>
                <w:sz w:val="18"/>
                <w:szCs w:val="18"/>
              </w:rPr>
              <w:t>Externally visible fish diseases</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Fish diseases – a fish stress indicator</w:t>
            </w: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FF0000"/>
                <w:sz w:val="18"/>
                <w:szCs w:val="18"/>
              </w:rPr>
            </w:pPr>
            <w:r w:rsidRPr="002C3E00">
              <w:rPr>
                <w:color w:val="000000"/>
                <w:sz w:val="18"/>
                <w:szCs w:val="18"/>
              </w:rPr>
              <w:t>Lysosomal stability (LMS)</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Lysosomal Membrane Stability – a toxic stress indicator</w:t>
            </w: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FF0000"/>
                <w:sz w:val="18"/>
                <w:szCs w:val="18"/>
                <w:lang w:val="en-US"/>
              </w:rPr>
            </w:pPr>
            <w:r w:rsidRPr="002C3E00">
              <w:rPr>
                <w:color w:val="000000"/>
                <w:sz w:val="18"/>
                <w:szCs w:val="18"/>
              </w:rPr>
              <w:t>Bile metabolites (of PAHs)</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Polyaromatic hydrocarbons and their metabolites: US EPA 16 PAHs / selected metabolites.</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Micronuclei (MN)</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Micronuclei test – a genotoxicity indicator</w:t>
            </w: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EROD</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Eelpout and amphipod embryo malformations</w:t>
            </w: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r w:rsidRPr="002C3E00">
              <w:rPr>
                <w:color w:val="000000"/>
                <w:sz w:val="18"/>
                <w:szCs w:val="18"/>
              </w:rPr>
              <w:t>P/I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rPr>
            </w:pPr>
          </w:p>
        </w:tc>
        <w:tc>
          <w:tcPr>
            <w:tcW w:w="1884" w:type="dxa"/>
            <w:shd w:val="solid" w:color="FFFFFF" w:fill="auto"/>
          </w:tcPr>
          <w:p w:rsidR="002C3E00" w:rsidRPr="002C3E00" w:rsidRDefault="002C3E00" w:rsidP="00987279">
            <w:pPr>
              <w:autoSpaceDE w:val="0"/>
              <w:autoSpaceDN w:val="0"/>
              <w:adjustRightInd w:val="0"/>
              <w:spacing w:line="240" w:lineRule="auto"/>
              <w:rPr>
                <w:sz w:val="18"/>
                <w:szCs w:val="18"/>
                <w:highlight w:val="yellow"/>
              </w:rPr>
            </w:pPr>
            <w:r w:rsidRPr="002C3E00">
              <w:rPr>
                <w:sz w:val="18"/>
                <w:szCs w:val="18"/>
              </w:rPr>
              <w:t>Oiled birds</w:t>
            </w: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Number of waterbirds being oiled annually (biodiversity core indicator)</w:t>
            </w: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9.3.1 Occurrence, origin (where possible), extent of significant acute pollution events (e.g. slicks from oil, oil products and hazardous substances) and their impact on biota affected by this pollution</w:t>
            </w: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Illegal discharges of oil at sea Accidental oil spills from shipping</w:t>
            </w:r>
          </w:p>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rPr>
              <w:t>Shipping density</w:t>
            </w: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P/I</w:t>
            </w:r>
          </w:p>
        </w:tc>
        <w:tc>
          <w:tcPr>
            <w:tcW w:w="287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color w:val="00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HELCOM core indicators to assess concentrations</w:t>
            </w:r>
          </w:p>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 xml:space="preserve">against specific limit </w:t>
            </w:r>
            <w:r w:rsidRPr="002C3E00">
              <w:rPr>
                <w:color w:val="000000"/>
                <w:sz w:val="18"/>
                <w:szCs w:val="18"/>
                <w:lang w:val="en-US"/>
              </w:rPr>
              <w:lastRenderedPageBreak/>
              <w:t>levels; substances</w:t>
            </w:r>
          </w:p>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are Cadmium, Lead, Mercury, dl-PCBs, dioxins,</w:t>
            </w:r>
          </w:p>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Benzo[a]Pyrene and Cesium-137</w:t>
            </w: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r w:rsidRPr="002C3E00">
              <w:rPr>
                <w:color w:val="000000"/>
                <w:sz w:val="18"/>
                <w:szCs w:val="18"/>
                <w:lang w:val="en-US"/>
              </w:rPr>
              <w:t xml:space="preserve">9.4.1 Actual levels of contaminants that have </w:t>
            </w:r>
            <w:r w:rsidRPr="002C3E00">
              <w:rPr>
                <w:color w:val="000000"/>
                <w:sz w:val="18"/>
                <w:szCs w:val="18"/>
                <w:lang w:val="en-US"/>
              </w:rPr>
              <w:lastRenderedPageBreak/>
              <w:t>been detected and number of contaminants which have exceeded maximum regulatory levels in commonly consumed seafood</w:t>
            </w:r>
          </w:p>
        </w:tc>
        <w:tc>
          <w:tcPr>
            <w:tcW w:w="1886"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bCs/>
                <w:color w:val="000000"/>
                <w:sz w:val="18"/>
                <w:szCs w:val="18"/>
                <w:lang w:val="en-US"/>
              </w:rPr>
            </w:pPr>
            <w:r w:rsidRPr="002C3E00">
              <w:rPr>
                <w:bCs/>
                <w:color w:val="000000"/>
                <w:sz w:val="18"/>
                <w:szCs w:val="18"/>
                <w:lang w:val="en-US"/>
              </w:rPr>
              <w:lastRenderedPageBreak/>
              <w:t>P/I</w:t>
            </w:r>
          </w:p>
        </w:tc>
        <w:tc>
          <w:tcPr>
            <w:tcW w:w="2870"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b/>
                <w:bCs/>
                <w:color w:val="00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color w:val="000000"/>
                <w:sz w:val="18"/>
                <w:szCs w:val="18"/>
                <w:lang w:val="en-US"/>
              </w:rPr>
              <w:t>9.4.1 Actual levels of contaminants that have been detected and number of contaminants which have exceeded maximum regulatory levels in commonly consumed seafood</w:t>
            </w:r>
          </w:p>
        </w:tc>
        <w:tc>
          <w:tcPr>
            <w:tcW w:w="1886"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r>
      <w:tr w:rsidR="002C3E00" w:rsidRPr="002C3E00" w:rsidTr="002C3E00">
        <w:trPr>
          <w:trHeight w:val="312"/>
        </w:trPr>
        <w:tc>
          <w:tcPr>
            <w:tcW w:w="578"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b/>
                <w:bCs/>
                <w:color w:val="000000"/>
                <w:sz w:val="18"/>
                <w:szCs w:val="18"/>
                <w:lang w:val="en-US"/>
              </w:rPr>
              <w:t>I</w:t>
            </w:r>
          </w:p>
        </w:tc>
        <w:tc>
          <w:tcPr>
            <w:tcW w:w="2870"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c>
          <w:tcPr>
            <w:tcW w:w="1884" w:type="dxa"/>
            <w:shd w:val="solid" w:color="FFFFFF" w:fill="auto"/>
          </w:tcPr>
          <w:p w:rsidR="002C3E00" w:rsidRPr="002C3E00" w:rsidRDefault="002C3E00" w:rsidP="00987279">
            <w:pPr>
              <w:autoSpaceDE w:val="0"/>
              <w:autoSpaceDN w:val="0"/>
              <w:adjustRightInd w:val="0"/>
              <w:spacing w:line="240" w:lineRule="auto"/>
              <w:rPr>
                <w:b/>
                <w:bCs/>
                <w:color w:val="000000"/>
                <w:sz w:val="18"/>
                <w:szCs w:val="18"/>
                <w:highlight w:val="yellow"/>
                <w:lang w:val="en-US"/>
              </w:rPr>
            </w:pPr>
          </w:p>
        </w:tc>
        <w:tc>
          <w:tcPr>
            <w:tcW w:w="2830"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c>
          <w:tcPr>
            <w:tcW w:w="2183" w:type="dxa"/>
            <w:shd w:val="solid" w:color="FFFFFF" w:fill="auto"/>
          </w:tcPr>
          <w:p w:rsidR="002C3E00" w:rsidRPr="002C3E00" w:rsidRDefault="002C3E00" w:rsidP="00987279">
            <w:pPr>
              <w:autoSpaceDE w:val="0"/>
              <w:autoSpaceDN w:val="0"/>
              <w:adjustRightInd w:val="0"/>
              <w:spacing w:line="240" w:lineRule="auto"/>
              <w:rPr>
                <w:color w:val="000000"/>
                <w:sz w:val="18"/>
                <w:szCs w:val="18"/>
                <w:lang w:val="en-US"/>
              </w:rPr>
            </w:pPr>
          </w:p>
        </w:tc>
        <w:tc>
          <w:tcPr>
            <w:tcW w:w="1943"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r w:rsidRPr="002C3E00">
              <w:rPr>
                <w:color w:val="000000"/>
                <w:sz w:val="18"/>
                <w:szCs w:val="18"/>
                <w:lang w:val="en-US"/>
              </w:rPr>
              <w:t>9.5.1 Percentage of intestinal enterococci concentration measurements within established standards</w:t>
            </w:r>
          </w:p>
        </w:tc>
        <w:tc>
          <w:tcPr>
            <w:tcW w:w="1886" w:type="dxa"/>
            <w:shd w:val="solid" w:color="FFFFFF" w:fill="auto"/>
          </w:tcPr>
          <w:p w:rsidR="002C3E00" w:rsidRPr="002C3E00" w:rsidRDefault="002C3E00" w:rsidP="00987279">
            <w:pPr>
              <w:autoSpaceDE w:val="0"/>
              <w:autoSpaceDN w:val="0"/>
              <w:adjustRightInd w:val="0"/>
              <w:spacing w:line="240" w:lineRule="auto"/>
              <w:rPr>
                <w:b/>
                <w:bCs/>
                <w:color w:val="000000"/>
                <w:sz w:val="18"/>
                <w:szCs w:val="18"/>
                <w:lang w:val="en-US"/>
              </w:rPr>
            </w:pPr>
          </w:p>
        </w:tc>
      </w:tr>
    </w:tbl>
    <w:p w:rsidR="002C3E00" w:rsidRPr="00F2534A" w:rsidRDefault="002C3E00" w:rsidP="00987279">
      <w:pPr>
        <w:pStyle w:val="ListParagraph"/>
        <w:spacing w:line="240" w:lineRule="auto"/>
        <w:rPr>
          <w:szCs w:val="21"/>
        </w:rPr>
      </w:pPr>
    </w:p>
    <w:p w:rsidR="002C3E00" w:rsidRPr="00F2534A" w:rsidRDefault="002C3E00" w:rsidP="00987279">
      <w:pPr>
        <w:pStyle w:val="ListParagraph"/>
        <w:spacing w:line="240" w:lineRule="auto"/>
        <w:rPr>
          <w:szCs w:val="21"/>
        </w:rPr>
      </w:pPr>
    </w:p>
    <w:p w:rsidR="002C3E00" w:rsidRPr="00F2534A" w:rsidRDefault="002C3E00" w:rsidP="00987279">
      <w:pPr>
        <w:pStyle w:val="ListParagraph"/>
        <w:spacing w:line="240" w:lineRule="auto"/>
        <w:rPr>
          <w:szCs w:val="21"/>
        </w:rPr>
      </w:pPr>
    </w:p>
    <w:p w:rsidR="002C3E00" w:rsidRPr="00F2534A" w:rsidRDefault="002C3E00" w:rsidP="00987279">
      <w:pPr>
        <w:pStyle w:val="ListParagraph"/>
        <w:spacing w:line="240" w:lineRule="auto"/>
        <w:rPr>
          <w:szCs w:val="21"/>
        </w:rPr>
      </w:pPr>
    </w:p>
    <w:p w:rsidR="002C3E00" w:rsidRDefault="002C3E00" w:rsidP="00987279">
      <w:pPr>
        <w:spacing w:line="240" w:lineRule="auto"/>
        <w:sectPr w:rsidR="002C3E00" w:rsidSect="00FC64E6">
          <w:pgSz w:w="11906" w:h="16838" w:code="9"/>
          <w:pgMar w:top="2552" w:right="1094" w:bottom="1077" w:left="2098" w:header="822" w:footer="198" w:gutter="0"/>
          <w:cols w:space="708"/>
          <w:docGrid w:linePitch="360"/>
        </w:sectPr>
      </w:pPr>
    </w:p>
    <w:p w:rsidR="002C3E00" w:rsidRDefault="00987279" w:rsidP="00290633">
      <w:pPr>
        <w:pStyle w:val="Heading1"/>
        <w:spacing w:before="0" w:after="0"/>
      </w:pPr>
      <w:bookmarkStart w:id="61" w:name="_Toc384815507"/>
      <w:r>
        <w:lastRenderedPageBreak/>
        <w:t>Summary</w:t>
      </w:r>
      <w:bookmarkEnd w:id="61"/>
    </w:p>
    <w:p w:rsidR="008C7D8E" w:rsidRDefault="008C7D8E" w:rsidP="008C7D8E"/>
    <w:p w:rsidR="001614EA" w:rsidRDefault="008C7D8E" w:rsidP="008C7D8E">
      <w:r>
        <w:t xml:space="preserve">All RSCs </w:t>
      </w:r>
      <w:r w:rsidRPr="008C7D8E">
        <w:t>have adopted (HELCOM, OSPAR) or are in the process of adopting (UNEP/MAP, BSC) key indicators for eutrophication</w:t>
      </w:r>
      <w:r>
        <w:t xml:space="preserve"> and hazardous substances that cover sufficiently the MSFD descriptors of eutrophication and contaminants. </w:t>
      </w:r>
    </w:p>
    <w:p w:rsidR="00AD0635" w:rsidRDefault="00AD0635" w:rsidP="008C7D8E"/>
    <w:p w:rsidR="008C7D8E" w:rsidRDefault="008C7D8E" w:rsidP="008C7D8E">
      <w:r>
        <w:t xml:space="preserve">The </w:t>
      </w:r>
      <w:r w:rsidR="00BC4B4F" w:rsidRPr="008C7D8E">
        <w:t>eutrophication</w:t>
      </w:r>
      <w:r w:rsidR="00BC4B4F">
        <w:t xml:space="preserve"> and hazardous substances </w:t>
      </w:r>
      <w:r>
        <w:t>indicators and relevant methodologies for OSPAR and HELCOM are well defined</w:t>
      </w:r>
      <w:r w:rsidR="00BC4B4F">
        <w:t xml:space="preserve">. Guidelines exist for monitoring and assessment for most of the indicators </w:t>
      </w:r>
      <w:r w:rsidR="001614EA">
        <w:t xml:space="preserve">including assessment criteria </w:t>
      </w:r>
      <w:r w:rsidR="00BC4B4F">
        <w:t xml:space="preserve">and for those that are not covered by existing guidelines (for example some of the HELCOM hazardous substances core indicators) guidelines are currently </w:t>
      </w:r>
      <w:r w:rsidR="001614EA">
        <w:t xml:space="preserve">being </w:t>
      </w:r>
      <w:r w:rsidR="00BC4B4F">
        <w:t xml:space="preserve">developed </w:t>
      </w:r>
      <w:r w:rsidR="001614EA">
        <w:t xml:space="preserve">and will soon be available. Tools for assessments </w:t>
      </w:r>
      <w:r w:rsidR="00AB5F4D">
        <w:t xml:space="preserve">of eutrophication and hazardous substances </w:t>
      </w:r>
      <w:r w:rsidR="001614EA">
        <w:t xml:space="preserve">at regional scale are also available for HELCOM and OSPAR.  UNEP/MAP and BSC indicators for eutrophication and hazardous substances are currently under development. </w:t>
      </w:r>
      <w:r w:rsidR="00AB5F4D">
        <w:t xml:space="preserve">Although guidelines for monitoring and analytical methodologies </w:t>
      </w:r>
      <w:r w:rsidR="00EE234A">
        <w:t xml:space="preserve">on eutrophication and hazardous substances parameters </w:t>
      </w:r>
      <w:r w:rsidR="00AB5F4D">
        <w:t>are available</w:t>
      </w:r>
      <w:r w:rsidR="00EE234A">
        <w:t>, the indicator methodologies need further development</w:t>
      </w:r>
      <w:r w:rsidR="00DC0AE3">
        <w:t xml:space="preserve">. </w:t>
      </w:r>
      <w:r w:rsidR="00EE234A">
        <w:t xml:space="preserve">UNEP/MAP is </w:t>
      </w:r>
      <w:r w:rsidR="00DC0AE3">
        <w:t>in the process of developing a</w:t>
      </w:r>
      <w:r w:rsidR="00EE234A">
        <w:t xml:space="preserve">ssessment criteria </w:t>
      </w:r>
      <w:r w:rsidR="00DC0AE3">
        <w:t>and</w:t>
      </w:r>
      <w:r w:rsidR="00EE234A">
        <w:t xml:space="preserve"> threshold levels </w:t>
      </w:r>
      <w:r w:rsidR="00DC0AE3">
        <w:t>for the proposed indicators of GES.</w:t>
      </w:r>
    </w:p>
    <w:p w:rsidR="008C7D8E" w:rsidRDefault="008C7D8E" w:rsidP="008C7D8E"/>
    <w:p w:rsidR="0056330A" w:rsidRDefault="0056330A" w:rsidP="00AD0635">
      <w:pPr>
        <w:spacing w:line="240" w:lineRule="auto"/>
        <w:rPr>
          <w:szCs w:val="21"/>
          <w:lang w:val="en-US"/>
        </w:rPr>
      </w:pPr>
      <w:r w:rsidRPr="001B6DB4">
        <w:rPr>
          <w:szCs w:val="21"/>
          <w:lang w:val="en-US"/>
        </w:rPr>
        <w:t xml:space="preserve">An </w:t>
      </w:r>
      <w:r w:rsidR="00FE0E27">
        <w:rPr>
          <w:szCs w:val="21"/>
          <w:lang w:val="en-US"/>
        </w:rPr>
        <w:t>analysis</w:t>
      </w:r>
      <w:r w:rsidR="00FE0E27" w:rsidRPr="00D40B9B">
        <w:rPr>
          <w:szCs w:val="21"/>
          <w:lang w:val="en-US"/>
        </w:rPr>
        <w:t xml:space="preserve"> </w:t>
      </w:r>
      <w:r w:rsidRPr="00D40B9B">
        <w:rPr>
          <w:szCs w:val="21"/>
          <w:lang w:val="en-US"/>
        </w:rPr>
        <w:t xml:space="preserve">of data </w:t>
      </w:r>
      <w:r>
        <w:rPr>
          <w:szCs w:val="21"/>
          <w:lang w:val="en-US"/>
        </w:rPr>
        <w:t xml:space="preserve">on eutrophication and </w:t>
      </w:r>
      <w:r w:rsidRPr="00D40B9B">
        <w:rPr>
          <w:szCs w:val="21"/>
          <w:lang w:val="en-US"/>
        </w:rPr>
        <w:t>hazardous substances relevant to MSFD indicators that are actual</w:t>
      </w:r>
      <w:r w:rsidR="00464739">
        <w:rPr>
          <w:szCs w:val="21"/>
          <w:lang w:val="en-US"/>
        </w:rPr>
        <w:t>ly reported to the RSCs by the Contracting P</w:t>
      </w:r>
      <w:r w:rsidRPr="00D40B9B">
        <w:rPr>
          <w:szCs w:val="21"/>
          <w:lang w:val="en-US"/>
        </w:rPr>
        <w:t>arties and at what frequencies across RSCs</w:t>
      </w:r>
      <w:r>
        <w:rPr>
          <w:szCs w:val="21"/>
          <w:lang w:val="en-US"/>
        </w:rPr>
        <w:t xml:space="preserve"> was performed. Existing data flows of the RSCs relevant to eutrophication and </w:t>
      </w:r>
      <w:r w:rsidRPr="00D40B9B">
        <w:rPr>
          <w:szCs w:val="21"/>
          <w:lang w:val="en-US"/>
        </w:rPr>
        <w:t xml:space="preserve">hazardous substances </w:t>
      </w:r>
      <w:r>
        <w:rPr>
          <w:szCs w:val="21"/>
          <w:lang w:val="en-US"/>
        </w:rPr>
        <w:t xml:space="preserve">were analysed using data reported </w:t>
      </w:r>
      <w:r w:rsidR="00DA6437">
        <w:rPr>
          <w:szCs w:val="21"/>
          <w:lang w:val="en-US"/>
        </w:rPr>
        <w:t xml:space="preserve">in 2012 </w:t>
      </w:r>
      <w:r>
        <w:rPr>
          <w:szCs w:val="21"/>
          <w:lang w:val="en-US"/>
        </w:rPr>
        <w:t xml:space="preserve">by the RSCs CPs </w:t>
      </w:r>
      <w:r w:rsidRPr="00D40B9B">
        <w:rPr>
          <w:szCs w:val="21"/>
          <w:lang w:val="en-US"/>
        </w:rPr>
        <w:t>that are EU MS</w:t>
      </w:r>
      <w:r w:rsidR="00AD076A">
        <w:rPr>
          <w:szCs w:val="21"/>
          <w:lang w:val="en-US"/>
        </w:rPr>
        <w:t xml:space="preserve">. </w:t>
      </w:r>
    </w:p>
    <w:p w:rsidR="0056330A" w:rsidRDefault="0056330A" w:rsidP="00AD0635">
      <w:pPr>
        <w:spacing w:line="240" w:lineRule="auto"/>
        <w:rPr>
          <w:szCs w:val="21"/>
          <w:lang w:val="en-US"/>
        </w:rPr>
      </w:pPr>
    </w:p>
    <w:p w:rsidR="00AD0635" w:rsidRDefault="00AD076A" w:rsidP="00AD0635">
      <w:pPr>
        <w:spacing w:line="240" w:lineRule="auto"/>
        <w:rPr>
          <w:szCs w:val="21"/>
          <w:lang w:val="en-US"/>
        </w:rPr>
      </w:pPr>
      <w:r>
        <w:rPr>
          <w:szCs w:val="21"/>
          <w:lang w:val="en-US"/>
        </w:rPr>
        <w:t>Among the data flows relevant to eutrophication, n</w:t>
      </w:r>
      <w:r w:rsidR="00AD0635">
        <w:rPr>
          <w:szCs w:val="21"/>
          <w:lang w:val="en-US"/>
        </w:rPr>
        <w:t xml:space="preserve">utrients, chlorophyl a and oxygen </w:t>
      </w:r>
      <w:r>
        <w:rPr>
          <w:szCs w:val="21"/>
          <w:lang w:val="en-US"/>
        </w:rPr>
        <w:t xml:space="preserve">data </w:t>
      </w:r>
      <w:r w:rsidR="00464739">
        <w:rPr>
          <w:szCs w:val="21"/>
          <w:lang w:val="en-US"/>
        </w:rPr>
        <w:t>were</w:t>
      </w:r>
      <w:r w:rsidR="00AD0635">
        <w:rPr>
          <w:szCs w:val="21"/>
          <w:lang w:val="en-US"/>
        </w:rPr>
        <w:t xml:space="preserve"> reported by most </w:t>
      </w:r>
      <w:r w:rsidR="00066A7F">
        <w:rPr>
          <w:szCs w:val="21"/>
          <w:lang w:val="en-US"/>
        </w:rPr>
        <w:t xml:space="preserve">contracting parties across RSCs. </w:t>
      </w:r>
      <w:r w:rsidR="00A54C9C">
        <w:rPr>
          <w:szCs w:val="21"/>
          <w:lang w:val="en-US"/>
        </w:rPr>
        <w:t xml:space="preserve">These parameters present high frequency of use </w:t>
      </w:r>
      <w:r w:rsidR="00A54C9C" w:rsidRPr="00464739">
        <w:rPr>
          <w:szCs w:val="21"/>
          <w:lang w:val="en-US"/>
        </w:rPr>
        <w:t xml:space="preserve">by MS </w:t>
      </w:r>
      <w:r w:rsidR="00A54C9C">
        <w:rPr>
          <w:szCs w:val="21"/>
          <w:lang w:val="en-US"/>
        </w:rPr>
        <w:t xml:space="preserve">reporting </w:t>
      </w:r>
      <w:r w:rsidR="00A54C9C" w:rsidRPr="00464739">
        <w:rPr>
          <w:szCs w:val="21"/>
          <w:lang w:val="en-US"/>
        </w:rPr>
        <w:t>for the implementation of Art 8, 9 and 10</w:t>
      </w:r>
      <w:r w:rsidR="00A54C9C">
        <w:rPr>
          <w:szCs w:val="21"/>
          <w:lang w:val="en-US"/>
        </w:rPr>
        <w:t xml:space="preserve"> of the MSFD and are also used in the WFD.  EEA uses nutrients and chlorophyl data for the two eutrophication indicators CSI021 and CSI023. </w:t>
      </w:r>
      <w:r w:rsidR="00472C3F">
        <w:rPr>
          <w:szCs w:val="21"/>
          <w:lang w:val="en-US"/>
        </w:rPr>
        <w:t>The percentage reporting on eutrophication was low for UNEP/MAP CPs in 2012.</w:t>
      </w:r>
      <w:r w:rsidR="008F2590" w:rsidRPr="008F2590">
        <w:rPr>
          <w:szCs w:val="21"/>
          <w:lang w:val="en-US"/>
        </w:rPr>
        <w:t xml:space="preserve"> </w:t>
      </w:r>
      <w:r w:rsidR="008F2590">
        <w:rPr>
          <w:szCs w:val="21"/>
          <w:lang w:val="en-US"/>
        </w:rPr>
        <w:t xml:space="preserve">Nutrients, chlorophyl a and oxygen data are reported through EIONET although reporting is not </w:t>
      </w:r>
      <w:r w:rsidR="008F2590" w:rsidRPr="00EF1EB4">
        <w:rPr>
          <w:szCs w:val="21"/>
          <w:lang w:val="en-US"/>
        </w:rPr>
        <w:t>identical with RSC reporting</w:t>
      </w:r>
      <w:r w:rsidR="008F2590">
        <w:rPr>
          <w:szCs w:val="21"/>
          <w:lang w:val="en-US"/>
        </w:rPr>
        <w:t xml:space="preserve"> in terms of number of parameters or number of stations reported.</w:t>
      </w:r>
    </w:p>
    <w:p w:rsidR="00472C3F" w:rsidRDefault="00472C3F" w:rsidP="00AD0635">
      <w:pPr>
        <w:spacing w:line="240" w:lineRule="auto"/>
        <w:rPr>
          <w:szCs w:val="21"/>
          <w:lang w:val="en-US"/>
        </w:rPr>
      </w:pPr>
    </w:p>
    <w:p w:rsidR="00FF3245" w:rsidRDefault="00FF3245" w:rsidP="00FF3245">
      <w:pPr>
        <w:spacing w:line="240" w:lineRule="auto"/>
        <w:rPr>
          <w:szCs w:val="21"/>
          <w:lang w:val="en-US"/>
        </w:rPr>
      </w:pPr>
      <w:r w:rsidRPr="00846680">
        <w:rPr>
          <w:szCs w:val="21"/>
          <w:lang w:val="en-US"/>
        </w:rPr>
        <w:t xml:space="preserve">All HELCOM CPs reported on nutrient input parameters in 2012 with the exception of one CP as regard inputs from rivers and point sources. </w:t>
      </w:r>
      <w:r w:rsidR="00261D34">
        <w:rPr>
          <w:szCs w:val="21"/>
          <w:lang w:val="en-US"/>
        </w:rPr>
        <w:t xml:space="preserve">Most </w:t>
      </w:r>
      <w:r w:rsidRPr="00846680">
        <w:rPr>
          <w:szCs w:val="21"/>
          <w:lang w:val="en-US"/>
        </w:rPr>
        <w:t xml:space="preserve">OSPAR CPs reported on water borne nutrient input parameters </w:t>
      </w:r>
      <w:r w:rsidR="00261D34">
        <w:rPr>
          <w:szCs w:val="21"/>
          <w:lang w:val="en-US"/>
        </w:rPr>
        <w:t xml:space="preserve">and </w:t>
      </w:r>
      <w:r w:rsidR="00261D34" w:rsidRPr="00846680">
        <w:rPr>
          <w:szCs w:val="21"/>
          <w:lang w:val="en-US"/>
        </w:rPr>
        <w:t xml:space="preserve">atmospheric nutrient inputs </w:t>
      </w:r>
      <w:r w:rsidR="00261D34">
        <w:rPr>
          <w:szCs w:val="21"/>
          <w:lang w:val="en-US"/>
        </w:rPr>
        <w:t>in 2011. N</w:t>
      </w:r>
      <w:r>
        <w:rPr>
          <w:szCs w:val="21"/>
          <w:lang w:val="en-US"/>
        </w:rPr>
        <w:t xml:space="preserve">utrient inputs from municipal, industrial and riverine sources </w:t>
      </w:r>
      <w:r w:rsidR="00261D34">
        <w:rPr>
          <w:szCs w:val="21"/>
          <w:lang w:val="en-US"/>
        </w:rPr>
        <w:t xml:space="preserve">were reported to BSC by both CPs </w:t>
      </w:r>
      <w:r>
        <w:rPr>
          <w:szCs w:val="21"/>
          <w:lang w:val="en-US"/>
        </w:rPr>
        <w:t xml:space="preserve">during </w:t>
      </w:r>
      <w:r w:rsidRPr="00846680">
        <w:rPr>
          <w:szCs w:val="21"/>
          <w:lang w:val="en-US"/>
        </w:rPr>
        <w:t>the period 2001-2008</w:t>
      </w:r>
      <w:r>
        <w:rPr>
          <w:szCs w:val="21"/>
          <w:lang w:val="en-US"/>
        </w:rPr>
        <w:t xml:space="preserve">. Nutrient inputs in the UNEP/MAP region </w:t>
      </w:r>
      <w:r w:rsidR="00261D34">
        <w:rPr>
          <w:szCs w:val="21"/>
          <w:lang w:val="en-US"/>
        </w:rPr>
        <w:t>were</w:t>
      </w:r>
      <w:r>
        <w:rPr>
          <w:szCs w:val="21"/>
          <w:lang w:val="en-US"/>
        </w:rPr>
        <w:t xml:space="preserve"> reported in the </w:t>
      </w:r>
      <w:r w:rsidRPr="00846680">
        <w:rPr>
          <w:szCs w:val="21"/>
          <w:lang w:val="en-US"/>
        </w:rPr>
        <w:t xml:space="preserve">National Budget (NBB) </w:t>
      </w:r>
      <w:r w:rsidRPr="00302469">
        <w:rPr>
          <w:szCs w:val="21"/>
          <w:lang w:val="en-US"/>
        </w:rPr>
        <w:t>assessing the current trends of the pollutants emissions and releases (2003-2008)</w:t>
      </w:r>
      <w:r w:rsidR="00472C3F">
        <w:rPr>
          <w:szCs w:val="21"/>
          <w:lang w:val="en-US"/>
        </w:rPr>
        <w:t xml:space="preserve">. </w:t>
      </w:r>
    </w:p>
    <w:p w:rsidR="00ED34E4" w:rsidRDefault="00ED34E4" w:rsidP="00AD0635">
      <w:pPr>
        <w:spacing w:line="240" w:lineRule="auto"/>
        <w:rPr>
          <w:szCs w:val="21"/>
          <w:lang w:val="en-US"/>
        </w:rPr>
      </w:pPr>
    </w:p>
    <w:p w:rsidR="00440D67" w:rsidRDefault="00261D34" w:rsidP="00261D34">
      <w:pPr>
        <w:spacing w:line="240" w:lineRule="auto"/>
        <w:rPr>
          <w:szCs w:val="21"/>
          <w:lang w:val="en-US"/>
        </w:rPr>
      </w:pPr>
      <w:r>
        <w:rPr>
          <w:szCs w:val="21"/>
          <w:lang w:val="en-US"/>
        </w:rPr>
        <w:t>Data flows on hazardous substances show inconsistenc</w:t>
      </w:r>
      <w:r w:rsidR="00440D67">
        <w:rPr>
          <w:szCs w:val="21"/>
          <w:lang w:val="en-US"/>
        </w:rPr>
        <w:t>ies</w:t>
      </w:r>
      <w:r>
        <w:rPr>
          <w:szCs w:val="21"/>
          <w:lang w:val="en-US"/>
        </w:rPr>
        <w:t xml:space="preserve"> among CPs in each RSC as regards the substances covered.</w:t>
      </w:r>
      <w:r w:rsidRPr="00261D34">
        <w:rPr>
          <w:szCs w:val="21"/>
          <w:lang w:val="en-US"/>
        </w:rPr>
        <w:t xml:space="preserve"> </w:t>
      </w:r>
      <w:r w:rsidR="00440D67">
        <w:rPr>
          <w:szCs w:val="21"/>
          <w:lang w:val="en-US"/>
        </w:rPr>
        <w:t>T</w:t>
      </w:r>
      <w:r w:rsidRPr="00261D34">
        <w:rPr>
          <w:szCs w:val="21"/>
          <w:lang w:val="en-US"/>
        </w:rPr>
        <w:t>he data reported to OSPAR and HELCOM overall cover a good number of the WFD priority substances</w:t>
      </w:r>
      <w:r w:rsidR="00440D67">
        <w:rPr>
          <w:szCs w:val="21"/>
          <w:lang w:val="en-US"/>
        </w:rPr>
        <w:t xml:space="preserve"> but</w:t>
      </w:r>
      <w:r w:rsidRPr="00261D34">
        <w:rPr>
          <w:szCs w:val="21"/>
          <w:lang w:val="en-US"/>
        </w:rPr>
        <w:t xml:space="preserve"> the percentage of countries reporting </w:t>
      </w:r>
      <w:r w:rsidR="00440D67">
        <w:rPr>
          <w:szCs w:val="21"/>
          <w:lang w:val="en-US"/>
        </w:rPr>
        <w:t xml:space="preserve">for each substance </w:t>
      </w:r>
      <w:r w:rsidRPr="00261D34">
        <w:rPr>
          <w:szCs w:val="21"/>
          <w:lang w:val="en-US"/>
        </w:rPr>
        <w:t xml:space="preserve">is low particularly in water and sediment data (less than 40%) and only for </w:t>
      </w:r>
      <w:r w:rsidR="00472C3F">
        <w:rPr>
          <w:szCs w:val="21"/>
          <w:lang w:val="en-US"/>
        </w:rPr>
        <w:t>11</w:t>
      </w:r>
      <w:r w:rsidRPr="00261D34">
        <w:rPr>
          <w:szCs w:val="21"/>
          <w:lang w:val="en-US"/>
        </w:rPr>
        <w:t xml:space="preserve"> substances in biota ranges between 40 and 80%. As regards UNEP/MAP and BSC, the reported data cover few of the WFD priority substances. The percentage of countries reporting to UNEP/MAP is low, whereas percentage of count</w:t>
      </w:r>
      <w:r w:rsidR="008F2590">
        <w:rPr>
          <w:szCs w:val="21"/>
          <w:lang w:val="en-US"/>
        </w:rPr>
        <w:t>r</w:t>
      </w:r>
      <w:r w:rsidRPr="00261D34">
        <w:rPr>
          <w:szCs w:val="21"/>
          <w:lang w:val="en-US"/>
        </w:rPr>
        <w:t>ies reporting to BSC is 50% since one of the two countries included in the analysis is reporting data on hazardous substances. All the hazardous substances reported to the RSCs were used by MS in reporting for the implementation of Art 8, 9 and 10 of the MSFD.</w:t>
      </w:r>
      <w:r w:rsidR="00440D67">
        <w:rPr>
          <w:szCs w:val="21"/>
          <w:lang w:val="en-US"/>
        </w:rPr>
        <w:t xml:space="preserve"> </w:t>
      </w:r>
      <w:r w:rsidR="00001483">
        <w:rPr>
          <w:szCs w:val="21"/>
          <w:lang w:val="en-US"/>
        </w:rPr>
        <w:t xml:space="preserve">Hazardous substances are </w:t>
      </w:r>
      <w:r w:rsidR="00001483">
        <w:rPr>
          <w:szCs w:val="21"/>
          <w:lang w:val="en-US"/>
        </w:rPr>
        <w:lastRenderedPageBreak/>
        <w:t>reported though Eionet although reporting is different than</w:t>
      </w:r>
      <w:r w:rsidR="00001483" w:rsidRPr="00EF1EB4">
        <w:rPr>
          <w:szCs w:val="21"/>
          <w:lang w:val="en-US"/>
        </w:rPr>
        <w:t xml:space="preserve"> RSC reporting (</w:t>
      </w:r>
      <w:r w:rsidR="00001483">
        <w:rPr>
          <w:szCs w:val="21"/>
          <w:lang w:val="en-US"/>
        </w:rPr>
        <w:t>i.e. individual substances reported and number of stations are different).</w:t>
      </w:r>
    </w:p>
    <w:p w:rsidR="00440D67" w:rsidRDefault="00440D67" w:rsidP="00261D34">
      <w:pPr>
        <w:spacing w:line="240" w:lineRule="auto"/>
        <w:rPr>
          <w:szCs w:val="21"/>
          <w:lang w:val="en-US"/>
        </w:rPr>
      </w:pPr>
    </w:p>
    <w:p w:rsidR="00261D34" w:rsidRPr="00261D34" w:rsidRDefault="00440D67" w:rsidP="00261D34">
      <w:pPr>
        <w:spacing w:line="240" w:lineRule="auto"/>
        <w:rPr>
          <w:szCs w:val="21"/>
          <w:lang w:val="en-US"/>
        </w:rPr>
      </w:pPr>
      <w:r>
        <w:rPr>
          <w:szCs w:val="21"/>
          <w:lang w:val="en-US"/>
        </w:rPr>
        <w:t xml:space="preserve">Biological effects parameters </w:t>
      </w:r>
      <w:r w:rsidRPr="00261D34">
        <w:rPr>
          <w:szCs w:val="21"/>
          <w:lang w:val="en-US"/>
        </w:rPr>
        <w:t>used by the MS for reporting under articles 8, 9 and 10 of the MSF</w:t>
      </w:r>
      <w:r>
        <w:rPr>
          <w:szCs w:val="21"/>
          <w:lang w:val="en-US"/>
        </w:rPr>
        <w:t>D were reported by t</w:t>
      </w:r>
      <w:r w:rsidR="00261D34" w:rsidRPr="00261D34">
        <w:rPr>
          <w:szCs w:val="21"/>
          <w:lang w:val="en-US"/>
        </w:rPr>
        <w:t>hree of the OSPAR CPs and two of the HELCOM CPs</w:t>
      </w:r>
      <w:r>
        <w:rPr>
          <w:szCs w:val="21"/>
          <w:lang w:val="en-US"/>
        </w:rPr>
        <w:t>.</w:t>
      </w:r>
      <w:r w:rsidR="00261D34" w:rsidRPr="00261D34">
        <w:rPr>
          <w:szCs w:val="21"/>
          <w:lang w:val="en-US"/>
        </w:rPr>
        <w:t xml:space="preserve"> T</w:t>
      </w:r>
      <w:r>
        <w:rPr>
          <w:szCs w:val="21"/>
          <w:lang w:val="en-US"/>
        </w:rPr>
        <w:t>hese include</w:t>
      </w:r>
      <w:r w:rsidR="00261D34" w:rsidRPr="00261D34">
        <w:rPr>
          <w:szCs w:val="21"/>
          <w:lang w:val="en-US"/>
        </w:rPr>
        <w:t xml:space="preserve"> imposex in gastropods, fish liver pathologies, EROD and levels of bile metabolite in fish. </w:t>
      </w:r>
      <w:r>
        <w:rPr>
          <w:szCs w:val="21"/>
          <w:lang w:val="en-US"/>
        </w:rPr>
        <w:t xml:space="preserve">Biological effect </w:t>
      </w:r>
      <w:r w:rsidR="00066A7F">
        <w:rPr>
          <w:szCs w:val="21"/>
          <w:lang w:val="en-US"/>
        </w:rPr>
        <w:t xml:space="preserve">parameters </w:t>
      </w:r>
      <w:r>
        <w:rPr>
          <w:szCs w:val="21"/>
          <w:lang w:val="en-US"/>
        </w:rPr>
        <w:t xml:space="preserve">were not reported to UNEP/MAP and BSC, </w:t>
      </w:r>
    </w:p>
    <w:p w:rsidR="00261D34" w:rsidRPr="00261D34" w:rsidRDefault="00261D34" w:rsidP="00261D34">
      <w:pPr>
        <w:spacing w:line="240" w:lineRule="auto"/>
        <w:rPr>
          <w:szCs w:val="21"/>
          <w:lang w:val="en-US"/>
        </w:rPr>
      </w:pPr>
    </w:p>
    <w:p w:rsidR="00261D34" w:rsidRPr="00261D34" w:rsidRDefault="000B39C6" w:rsidP="00261D34">
      <w:pPr>
        <w:spacing w:line="240" w:lineRule="auto"/>
        <w:rPr>
          <w:szCs w:val="21"/>
          <w:lang w:val="en-US"/>
        </w:rPr>
      </w:pPr>
      <w:r>
        <w:rPr>
          <w:lang w:val="en-US"/>
        </w:rPr>
        <w:t xml:space="preserve">High percentages </w:t>
      </w:r>
      <w:r w:rsidRPr="00FA11DE">
        <w:rPr>
          <w:lang w:val="en-US"/>
        </w:rPr>
        <w:t>of the OSPAR and HELCOM contracting parties reported on riverine inputs and direct inputs (point sources) of contaminants.</w:t>
      </w:r>
      <w:r w:rsidRPr="000B39C6">
        <w:rPr>
          <w:szCs w:val="21"/>
          <w:lang w:val="en-US"/>
        </w:rPr>
        <w:t xml:space="preserve"> </w:t>
      </w:r>
      <w:r>
        <w:rPr>
          <w:szCs w:val="21"/>
          <w:lang w:val="en-US"/>
        </w:rPr>
        <w:t>M</w:t>
      </w:r>
      <w:r w:rsidRPr="00261D34">
        <w:rPr>
          <w:szCs w:val="21"/>
          <w:lang w:val="en-US"/>
        </w:rPr>
        <w:t xml:space="preserve">etal and TP inputs from municipal, industrial and riverine sources </w:t>
      </w:r>
      <w:r>
        <w:rPr>
          <w:szCs w:val="21"/>
          <w:lang w:val="en-US"/>
        </w:rPr>
        <w:t xml:space="preserve">were reported to BSC by both CPs during </w:t>
      </w:r>
      <w:r w:rsidRPr="00846680">
        <w:rPr>
          <w:szCs w:val="21"/>
          <w:lang w:val="en-US"/>
        </w:rPr>
        <w:t>the period 2001-2008</w:t>
      </w:r>
      <w:r>
        <w:rPr>
          <w:szCs w:val="21"/>
          <w:lang w:val="en-US"/>
        </w:rPr>
        <w:t xml:space="preserve">. </w:t>
      </w:r>
      <w:r w:rsidR="00261D34" w:rsidRPr="00261D34">
        <w:rPr>
          <w:szCs w:val="21"/>
          <w:lang w:val="en-US"/>
        </w:rPr>
        <w:t xml:space="preserve">Pollutant inputs in the UNEP/MAP region </w:t>
      </w:r>
      <w:r>
        <w:rPr>
          <w:szCs w:val="21"/>
          <w:lang w:val="en-US"/>
        </w:rPr>
        <w:t>were</w:t>
      </w:r>
      <w:r w:rsidR="00261D34" w:rsidRPr="00261D34">
        <w:rPr>
          <w:szCs w:val="21"/>
          <w:lang w:val="en-US"/>
        </w:rPr>
        <w:t xml:space="preserve"> reported in the National Budget (NBB) assessing the current trends of the pollutants emi</w:t>
      </w:r>
      <w:r>
        <w:rPr>
          <w:szCs w:val="21"/>
          <w:lang w:val="en-US"/>
        </w:rPr>
        <w:t xml:space="preserve">ssions and releases (2003-2008). </w:t>
      </w:r>
    </w:p>
    <w:p w:rsidR="00261D34" w:rsidRDefault="00261D34" w:rsidP="00AD0635">
      <w:pPr>
        <w:spacing w:line="240" w:lineRule="auto"/>
        <w:rPr>
          <w:szCs w:val="21"/>
          <w:lang w:val="en-US"/>
        </w:rPr>
      </w:pPr>
    </w:p>
    <w:p w:rsidR="00844C43" w:rsidRDefault="00844C43" w:rsidP="00AD0635">
      <w:pPr>
        <w:spacing w:line="240" w:lineRule="auto"/>
        <w:rPr>
          <w:szCs w:val="21"/>
          <w:lang w:val="en-US"/>
        </w:rPr>
      </w:pPr>
    </w:p>
    <w:p w:rsidR="00AD0635" w:rsidRDefault="00AD0635" w:rsidP="00AD0635">
      <w:pPr>
        <w:spacing w:line="240" w:lineRule="auto"/>
        <w:rPr>
          <w:szCs w:val="21"/>
          <w:lang w:val="en-US"/>
        </w:rPr>
      </w:pPr>
    </w:p>
    <w:p w:rsidR="008C7D8E" w:rsidRPr="00AD0635" w:rsidRDefault="008C7D8E" w:rsidP="008C7D8E">
      <w:pPr>
        <w:rPr>
          <w:lang w:val="en-US"/>
        </w:rPr>
      </w:pPr>
    </w:p>
    <w:p w:rsidR="008C7D8E" w:rsidRDefault="008C7D8E" w:rsidP="008C7D8E"/>
    <w:p w:rsidR="00987279" w:rsidRDefault="00987279" w:rsidP="00987279">
      <w:pPr>
        <w:spacing w:line="240" w:lineRule="auto"/>
        <w:sectPr w:rsidR="00987279" w:rsidSect="00FC64E6">
          <w:type w:val="oddPage"/>
          <w:pgSz w:w="11906" w:h="16838" w:code="9"/>
          <w:pgMar w:top="2552" w:right="1094" w:bottom="1077" w:left="2098" w:header="822" w:footer="198" w:gutter="0"/>
          <w:cols w:space="708"/>
          <w:docGrid w:linePitch="360"/>
        </w:sectPr>
      </w:pPr>
    </w:p>
    <w:p w:rsidR="00987279" w:rsidRDefault="00987279" w:rsidP="00290633">
      <w:pPr>
        <w:pStyle w:val="Heading1"/>
        <w:spacing w:before="0" w:after="0"/>
        <w:rPr>
          <w:szCs w:val="21"/>
          <w:lang w:val="en-US"/>
        </w:rPr>
      </w:pPr>
      <w:bookmarkStart w:id="62" w:name="_Toc384815508"/>
      <w:r w:rsidRPr="00987279">
        <w:rPr>
          <w:szCs w:val="21"/>
          <w:lang w:val="en-US"/>
        </w:rPr>
        <w:lastRenderedPageBreak/>
        <w:t>Following steps to complete the inventory</w:t>
      </w:r>
      <w:bookmarkEnd w:id="62"/>
    </w:p>
    <w:p w:rsidR="004B48B8" w:rsidRPr="004B48B8" w:rsidRDefault="004B48B8" w:rsidP="004B48B8">
      <w:pPr>
        <w:rPr>
          <w:lang w:val="en-US"/>
        </w:rPr>
      </w:pPr>
    </w:p>
    <w:p w:rsidR="00987279" w:rsidRPr="00F2534A" w:rsidRDefault="00987279" w:rsidP="00987279">
      <w:pPr>
        <w:pStyle w:val="ListParagraph"/>
        <w:spacing w:line="240" w:lineRule="auto"/>
        <w:ind w:left="0"/>
        <w:rPr>
          <w:szCs w:val="21"/>
          <w:lang w:val="en-US"/>
        </w:rPr>
      </w:pPr>
      <w:r w:rsidRPr="00F2534A">
        <w:rPr>
          <w:szCs w:val="21"/>
          <w:lang w:val="en-US"/>
        </w:rPr>
        <w:t>The project Tasks 1 and 2 are to include an inventory all substances of relevance for the MSFD reporting. The final version of D2 will take into account the response and comments to this draft report from the TG-Data meeting and it will be extended to include the complete inventory.</w:t>
      </w:r>
    </w:p>
    <w:p w:rsidR="00987279" w:rsidRPr="00F2534A" w:rsidRDefault="00987279" w:rsidP="00987279">
      <w:pPr>
        <w:pStyle w:val="ListParagraph"/>
        <w:spacing w:line="240" w:lineRule="auto"/>
        <w:rPr>
          <w:szCs w:val="21"/>
          <w:lang w:val="en-US"/>
        </w:rPr>
      </w:pPr>
    </w:p>
    <w:p w:rsidR="00987279" w:rsidRPr="00F2534A" w:rsidRDefault="00987279" w:rsidP="00987279">
      <w:pPr>
        <w:pStyle w:val="ListParagraph"/>
        <w:spacing w:line="240" w:lineRule="auto"/>
        <w:ind w:hanging="720"/>
        <w:rPr>
          <w:szCs w:val="21"/>
          <w:lang w:val="en-US"/>
        </w:rPr>
      </w:pPr>
      <w:r w:rsidRPr="00F2534A">
        <w:rPr>
          <w:szCs w:val="21"/>
          <w:lang w:val="en-US"/>
        </w:rPr>
        <w:t>Work and required activities to complete the inventory:</w:t>
      </w:r>
    </w:p>
    <w:p w:rsidR="00987279" w:rsidRPr="00F2534A" w:rsidRDefault="00987279" w:rsidP="00987279">
      <w:pPr>
        <w:pStyle w:val="ListParagraph"/>
        <w:spacing w:line="240" w:lineRule="auto"/>
        <w:ind w:left="0"/>
        <w:rPr>
          <w:szCs w:val="21"/>
          <w:lang w:val="en-US"/>
        </w:rPr>
      </w:pPr>
      <w:r w:rsidRPr="00F2534A">
        <w:rPr>
          <w:szCs w:val="21"/>
          <w:lang w:val="en-US"/>
        </w:rPr>
        <w:t>Collection of data/information of relevance to all MSFD descriptors</w:t>
      </w:r>
    </w:p>
    <w:p w:rsidR="00987279" w:rsidRPr="00F2534A" w:rsidRDefault="00987279" w:rsidP="00987279">
      <w:pPr>
        <w:pStyle w:val="ListParagraph"/>
        <w:spacing w:line="240" w:lineRule="auto"/>
        <w:ind w:hanging="720"/>
        <w:rPr>
          <w:szCs w:val="21"/>
          <w:lang w:val="en-US"/>
        </w:rPr>
      </w:pPr>
      <w:r w:rsidRPr="00F2534A">
        <w:rPr>
          <w:szCs w:val="21"/>
          <w:lang w:val="en-US"/>
        </w:rPr>
        <w:t>Updating the inventory based on the comments and needs raised in the TG-Data meeting</w:t>
      </w:r>
    </w:p>
    <w:p w:rsidR="00987279" w:rsidRDefault="00987279" w:rsidP="00987279">
      <w:pPr>
        <w:spacing w:line="240" w:lineRule="auto"/>
        <w:sectPr w:rsidR="00987279" w:rsidSect="00FC64E6">
          <w:type w:val="oddPage"/>
          <w:pgSz w:w="11906" w:h="16838" w:code="9"/>
          <w:pgMar w:top="2552" w:right="1094" w:bottom="1077" w:left="2098" w:header="822" w:footer="198" w:gutter="0"/>
          <w:cols w:space="708"/>
          <w:docGrid w:linePitch="360"/>
        </w:sectPr>
      </w:pPr>
    </w:p>
    <w:p w:rsidR="00987279" w:rsidRDefault="00987279" w:rsidP="00290633">
      <w:pPr>
        <w:pStyle w:val="Heading1"/>
        <w:spacing w:before="0" w:after="0"/>
      </w:pPr>
      <w:bookmarkStart w:id="63" w:name="_Toc384815509"/>
      <w:r>
        <w:lastRenderedPageBreak/>
        <w:t>References</w:t>
      </w:r>
      <w:bookmarkEnd w:id="63"/>
    </w:p>
    <w:p w:rsidR="00987279" w:rsidRPr="00987279" w:rsidRDefault="00987279" w:rsidP="00987279"/>
    <w:p w:rsidR="00987279" w:rsidRPr="00F2534A" w:rsidRDefault="00987279" w:rsidP="00987279">
      <w:pPr>
        <w:pStyle w:val="ListParagraph"/>
        <w:spacing w:line="240" w:lineRule="auto"/>
        <w:ind w:left="0"/>
        <w:rPr>
          <w:szCs w:val="21"/>
          <w:lang w:val="en-US"/>
        </w:rPr>
      </w:pPr>
      <w:r w:rsidRPr="00987279">
        <w:rPr>
          <w:szCs w:val="21"/>
          <w:lang w:val="nl-NL"/>
        </w:rPr>
        <w:t xml:space="preserve">Andersen JH, Axe P, Backer H, Carstensen J, Claussen U et al. 2011. </w:t>
      </w:r>
      <w:r w:rsidRPr="00F2534A">
        <w:rPr>
          <w:szCs w:val="21"/>
          <w:lang w:val="en-US"/>
        </w:rPr>
        <w:t>Getting the measure of eutrophication in the Baltic Sea: towards improved assessment principles and methods. Biogeochemistry 106:137-156.</w:t>
      </w:r>
    </w:p>
    <w:p w:rsidR="00987279" w:rsidRPr="00F2534A" w:rsidRDefault="00987279" w:rsidP="00987279">
      <w:pPr>
        <w:widowControl w:val="0"/>
        <w:autoSpaceDE w:val="0"/>
        <w:autoSpaceDN w:val="0"/>
        <w:adjustRightInd w:val="0"/>
        <w:spacing w:line="240" w:lineRule="auto"/>
        <w:rPr>
          <w:szCs w:val="21"/>
          <w:lang w:val="en-US"/>
        </w:rPr>
      </w:pPr>
      <w:r w:rsidRPr="00F2534A">
        <w:rPr>
          <w:szCs w:val="21"/>
          <w:lang w:val="en-US"/>
        </w:rPr>
        <w:t>Boalt, E., Nyberg, E., Bignert, A., Hedman, J., Danielson, S., CORESET, (2013).</w:t>
      </w:r>
      <w:r w:rsidRPr="00F2534A">
        <w:rPr>
          <w:bCs/>
          <w:szCs w:val="21"/>
          <w:lang w:val="en-US"/>
        </w:rPr>
        <w:t xml:space="preserve">Polychlorinated biphenyls (PCB) and dioxins and furans </w:t>
      </w:r>
      <w:r w:rsidRPr="00F2534A">
        <w:rPr>
          <w:szCs w:val="21"/>
          <w:lang w:val="en-US"/>
        </w:rPr>
        <w:t xml:space="preserve">- </w:t>
      </w:r>
      <w:r w:rsidRPr="00F2534A">
        <w:rPr>
          <w:bCs/>
          <w:szCs w:val="21"/>
          <w:lang w:val="en-US"/>
        </w:rPr>
        <w:t xml:space="preserve">CB-28, 52, 101, 118, 138, 153 and 180: WHO-TEQ of dioxins, furans –dl-PCBs. </w:t>
      </w:r>
      <w:r w:rsidRPr="00F2534A">
        <w:rPr>
          <w:szCs w:val="21"/>
          <w:lang w:val="en-US"/>
        </w:rPr>
        <w:t>HELCOM Core Indica</w:t>
      </w:r>
      <w:r w:rsidR="006B0FAE">
        <w:rPr>
          <w:szCs w:val="21"/>
          <w:lang w:val="en-US"/>
        </w:rPr>
        <w:t>tor Report. Online.[4Apr.2014],</w:t>
      </w:r>
      <w:r w:rsidRPr="00F2534A">
        <w:rPr>
          <w:szCs w:val="21"/>
          <w:lang w:val="en-US"/>
        </w:rPr>
        <w:t>[http://www.helcom.fi/Core%20Indicators/HELCOMCoreIndicator_Polychlorinated_biphenyls_and_dioxins_and_furans.pdf].</w:t>
      </w:r>
    </w:p>
    <w:p w:rsidR="00987279" w:rsidRPr="00F2534A" w:rsidRDefault="00987279" w:rsidP="00987279">
      <w:pPr>
        <w:spacing w:line="240" w:lineRule="auto"/>
        <w:rPr>
          <w:szCs w:val="21"/>
          <w:lang w:val="en-US"/>
        </w:rPr>
      </w:pPr>
      <w:r w:rsidRPr="00F2534A">
        <w:rPr>
          <w:szCs w:val="21"/>
          <w:lang w:val="en-US"/>
        </w:rPr>
        <w:t>BSC 2010. ‘Diagnostic Report’ to guide improvements to the regular reporting process on the state of the Black Sea environment, Publications of the Commissions on the Protection of the Black Sea Against Pollution (BSC) 2010. http://www.blacksea-commission.org/_publ-BSDiagnosticReport2010.asp</w:t>
      </w:r>
    </w:p>
    <w:p w:rsidR="00987279" w:rsidRPr="00F2534A" w:rsidRDefault="00987279" w:rsidP="00987279">
      <w:pPr>
        <w:spacing w:line="240" w:lineRule="auto"/>
        <w:rPr>
          <w:szCs w:val="21"/>
          <w:lang w:val="en-US"/>
        </w:rPr>
      </w:pPr>
      <w:r w:rsidRPr="00F2534A">
        <w:rPr>
          <w:szCs w:val="21"/>
          <w:lang w:val="en-US"/>
        </w:rPr>
        <w:t>BSC SoE 2008.State of the Environment of the Black Sea (2001-2006/7).Edited by TernelOguz. Publications of the Commissions on the Protection of the Black Sea Against Pollution (BSC) 2008-3, Istanbul, Turkey, 448 pp.</w:t>
      </w:r>
    </w:p>
    <w:p w:rsidR="00987279" w:rsidRPr="00F2534A" w:rsidRDefault="00987279" w:rsidP="00987279">
      <w:pPr>
        <w:spacing w:line="240" w:lineRule="auto"/>
        <w:rPr>
          <w:szCs w:val="21"/>
          <w:lang w:val="en-US"/>
        </w:rPr>
      </w:pPr>
      <w:r w:rsidRPr="00F2534A">
        <w:rPr>
          <w:szCs w:val="21"/>
          <w:lang w:val="en-US"/>
        </w:rPr>
        <w:t>BSSAP 2009. Strategic Action Plan for the Environmental Protection and Rehabilitation of the Black Sea, Sofia, Bulgaria, 17 April 2009. 61p</w:t>
      </w:r>
    </w:p>
    <w:p w:rsidR="00987279" w:rsidRPr="00F2534A" w:rsidRDefault="00987279" w:rsidP="00987279">
      <w:pPr>
        <w:pStyle w:val="NormalWeb"/>
        <w:spacing w:before="0" w:beforeAutospacing="0" w:after="0" w:afterAutospacing="0"/>
        <w:jc w:val="both"/>
        <w:rPr>
          <w:rFonts w:ascii="Arial" w:hAnsi="Arial" w:cs="Arial"/>
          <w:sz w:val="21"/>
          <w:szCs w:val="21"/>
        </w:rPr>
      </w:pPr>
      <w:r w:rsidRPr="00F2534A">
        <w:rPr>
          <w:rFonts w:ascii="Arial" w:hAnsi="Arial" w:cs="Arial"/>
          <w:sz w:val="21"/>
          <w:szCs w:val="21"/>
        </w:rPr>
        <w:t xml:space="preserve">HELCOM 2007.Baltic Sea Action Plan. Available at: </w:t>
      </w:r>
      <w:hyperlink r:id="rId51" w:history="1">
        <w:r w:rsidRPr="00F2534A">
          <w:rPr>
            <w:rStyle w:val="Hyperlink"/>
            <w:rFonts w:ascii="Arial" w:hAnsi="Arial" w:cs="Arial"/>
            <w:sz w:val="21"/>
            <w:szCs w:val="21"/>
          </w:rPr>
          <w:t>http://www.helcom.fi/baltic-sea-action-plan/</w:t>
        </w:r>
      </w:hyperlink>
    </w:p>
    <w:p w:rsidR="00987279" w:rsidRPr="00F2534A" w:rsidRDefault="00987279" w:rsidP="00987279">
      <w:pPr>
        <w:spacing w:line="240" w:lineRule="auto"/>
        <w:rPr>
          <w:szCs w:val="21"/>
          <w:lang w:val="en-US"/>
        </w:rPr>
      </w:pPr>
      <w:r w:rsidRPr="00F2534A">
        <w:rPr>
          <w:szCs w:val="21"/>
          <w:lang w:val="en-US"/>
        </w:rPr>
        <w:t>HELCOM 2009.Eutrophication in the Baltic Sea.An integrated thematic assessment of the effects of nutrient enrichment in the Baltic Sea region.Baltic Sea Environment Proceedings 115B.148 pp.</w:t>
      </w:r>
    </w:p>
    <w:p w:rsidR="00987279" w:rsidRPr="00F2534A" w:rsidRDefault="00987279" w:rsidP="00987279">
      <w:pPr>
        <w:spacing w:line="240" w:lineRule="auto"/>
        <w:rPr>
          <w:szCs w:val="21"/>
          <w:lang w:val="en-US"/>
        </w:rPr>
      </w:pPr>
      <w:r w:rsidRPr="00F2534A">
        <w:rPr>
          <w:szCs w:val="21"/>
          <w:lang w:val="en-US"/>
        </w:rPr>
        <w:t>HELCOM 2010a.Ecosystem Health of the Baltic Sea - HELCOM Initial Holistic Assessment.Baltic Sea Environment Proceedings 122.63 pp.</w:t>
      </w:r>
    </w:p>
    <w:p w:rsidR="00987279" w:rsidRPr="00F2534A" w:rsidRDefault="00987279" w:rsidP="00987279">
      <w:pPr>
        <w:spacing w:line="240" w:lineRule="auto"/>
        <w:rPr>
          <w:szCs w:val="21"/>
          <w:lang w:val="en-US"/>
        </w:rPr>
      </w:pPr>
      <w:r w:rsidRPr="00F2534A">
        <w:rPr>
          <w:szCs w:val="21"/>
          <w:lang w:val="en-US"/>
        </w:rPr>
        <w:t>HELCOM 2010b. What was the eutrophication status of the Baltic Sea in 2003- 2007? Demonstration set of HELCOM core eutrophication indicators. Published in May 2010. http://www.helcom.fi/BSAP_assessment/eutro/HEAT/en_GB/ status/.</w:t>
      </w:r>
    </w:p>
    <w:p w:rsidR="00987279" w:rsidRPr="00F2534A" w:rsidRDefault="00987279" w:rsidP="00987279">
      <w:pPr>
        <w:spacing w:line="240" w:lineRule="auto"/>
        <w:rPr>
          <w:szCs w:val="21"/>
          <w:lang w:val="en-US"/>
        </w:rPr>
      </w:pPr>
      <w:r w:rsidRPr="00F2534A">
        <w:rPr>
          <w:szCs w:val="21"/>
          <w:lang w:val="en-US"/>
        </w:rPr>
        <w:t xml:space="preserve">HELCOM 2010c.Hazardous substances in the Baltic Sea – An integrated thematic assessment of hazardous substances in the Baltic Sea.Balt. Sea Environ. Proc. No. 120B </w:t>
      </w:r>
    </w:p>
    <w:p w:rsidR="00987279" w:rsidRPr="00F2534A" w:rsidRDefault="00987279" w:rsidP="00987279">
      <w:pPr>
        <w:spacing w:line="240" w:lineRule="auto"/>
        <w:rPr>
          <w:szCs w:val="21"/>
          <w:lang w:val="es-ES"/>
        </w:rPr>
      </w:pPr>
      <w:r w:rsidRPr="00F2534A">
        <w:rPr>
          <w:szCs w:val="21"/>
          <w:lang w:val="en-US"/>
        </w:rPr>
        <w:t xml:space="preserve">HELCOM, 2011. The Fifth Baltic Sea Pollution Load Compilation (PLC-5)Balt. </w:t>
      </w:r>
      <w:r w:rsidRPr="00F2534A">
        <w:rPr>
          <w:szCs w:val="21"/>
          <w:lang w:val="es-ES"/>
        </w:rPr>
        <w:t xml:space="preserve">Sea Environ. Proc. No. 128 </w:t>
      </w:r>
      <w:hyperlink r:id="rId52" w:history="1">
        <w:r w:rsidRPr="00F2534A">
          <w:rPr>
            <w:rStyle w:val="Hyperlink"/>
            <w:szCs w:val="21"/>
            <w:lang w:val="es-ES"/>
          </w:rPr>
          <w:t>http://www.helcom.fi/Lists/Publications/BSEP128.pdf</w:t>
        </w:r>
      </w:hyperlink>
    </w:p>
    <w:p w:rsidR="00987279" w:rsidRPr="00F2534A" w:rsidRDefault="00987279" w:rsidP="00987279">
      <w:pPr>
        <w:spacing w:line="240" w:lineRule="auto"/>
        <w:rPr>
          <w:szCs w:val="21"/>
          <w:lang w:val="en-US"/>
        </w:rPr>
      </w:pPr>
      <w:r w:rsidRPr="00F2534A">
        <w:rPr>
          <w:szCs w:val="21"/>
          <w:lang w:val="en-US"/>
        </w:rPr>
        <w:t>HELCOM, 2013a. HELCOM core indicators: Final report of the HELCOM CORESET project. Balt. Sea Environ. Proc. No. 136</w:t>
      </w:r>
    </w:p>
    <w:p w:rsidR="00987279" w:rsidRPr="00F2534A" w:rsidRDefault="00987279" w:rsidP="00987279">
      <w:pPr>
        <w:spacing w:line="240" w:lineRule="auto"/>
        <w:rPr>
          <w:szCs w:val="21"/>
          <w:lang w:val="en-US"/>
        </w:rPr>
      </w:pPr>
      <w:r w:rsidRPr="00F2534A">
        <w:rPr>
          <w:szCs w:val="21"/>
          <w:lang w:val="en-US"/>
        </w:rPr>
        <w:t>HELCOM 2013b. Approaches and methods for eutrophication target setting in the Baltic Sea region. Baltic Sea Environment Proceedings 133.134 pp.</w:t>
      </w:r>
    </w:p>
    <w:p w:rsidR="00987279" w:rsidRPr="00F2534A" w:rsidRDefault="00987279" w:rsidP="00987279">
      <w:pPr>
        <w:spacing w:line="240" w:lineRule="auto"/>
        <w:rPr>
          <w:szCs w:val="21"/>
          <w:lang w:val="en-US"/>
        </w:rPr>
      </w:pPr>
      <w:r w:rsidRPr="00F2534A">
        <w:rPr>
          <w:szCs w:val="21"/>
          <w:lang w:val="en-US"/>
        </w:rPr>
        <w:t>HELCOM, 2014. Eutrophication status of the Baltic Sea 2007-2011 - A concise thematic assessment.Baltic Sea Environment Proceedings No. 143Moncheva S. &amp; Parr B. 2010.Manual for Phytoplankton Sampling and Analysis in the Black Sea. 68pp.</w:t>
      </w:r>
    </w:p>
    <w:p w:rsidR="00987279" w:rsidRPr="00F2534A" w:rsidRDefault="00987279" w:rsidP="00987279">
      <w:pPr>
        <w:widowControl w:val="0"/>
        <w:autoSpaceDE w:val="0"/>
        <w:autoSpaceDN w:val="0"/>
        <w:adjustRightInd w:val="0"/>
        <w:spacing w:line="240" w:lineRule="auto"/>
        <w:rPr>
          <w:szCs w:val="21"/>
          <w:lang w:val="en-US"/>
        </w:rPr>
      </w:pPr>
      <w:r w:rsidRPr="00F2534A">
        <w:rPr>
          <w:szCs w:val="21"/>
          <w:lang w:val="de-DE"/>
        </w:rPr>
        <w:t xml:space="preserve">Herrmann, J., Kanisch, G., Heinrich, J., 2013. </w:t>
      </w:r>
      <w:r w:rsidRPr="00F2534A">
        <w:rPr>
          <w:bCs/>
          <w:szCs w:val="21"/>
          <w:lang w:val="en-US"/>
        </w:rPr>
        <w:t>Radioactive substances - Caesium-137 in fish and surface waters.</w:t>
      </w:r>
      <w:r w:rsidRPr="00F2534A">
        <w:rPr>
          <w:szCs w:val="21"/>
          <w:lang w:val="en-US"/>
        </w:rPr>
        <w:t>HELCOM Core Indicator Report.Online.[4Apr.2014], [http://www.helcom.fi/Core%20Indicators/HELCOM_CoreIndicator_Radioactive_substances.pdf].</w:t>
      </w:r>
    </w:p>
    <w:p w:rsidR="00987279" w:rsidRPr="00F2534A" w:rsidRDefault="00987279" w:rsidP="00987279">
      <w:pPr>
        <w:spacing w:line="240" w:lineRule="auto"/>
        <w:rPr>
          <w:szCs w:val="21"/>
          <w:lang w:val="en-US"/>
        </w:rPr>
      </w:pPr>
      <w:r w:rsidRPr="00F2534A">
        <w:rPr>
          <w:szCs w:val="21"/>
          <w:lang w:val="en-US"/>
        </w:rPr>
        <w:t>LBSA 2009. Protocol on the Protection of the Marine Environment of the Black Sea from Land-Based Sources and Activities</w:t>
      </w:r>
    </w:p>
    <w:p w:rsidR="00987279" w:rsidRPr="00F2534A" w:rsidRDefault="00987279" w:rsidP="00987279">
      <w:pPr>
        <w:spacing w:line="240" w:lineRule="auto"/>
        <w:rPr>
          <w:szCs w:val="21"/>
          <w:lang w:val="en-US"/>
        </w:rPr>
      </w:pPr>
      <w:r w:rsidRPr="00F2534A">
        <w:rPr>
          <w:szCs w:val="21"/>
          <w:lang w:val="en-US"/>
        </w:rPr>
        <w:t>Moncheva S. 2010.Guidelines for quality control of biological data phytoplankton. 18pp.</w:t>
      </w:r>
    </w:p>
    <w:p w:rsidR="00987279" w:rsidRPr="00F2534A" w:rsidRDefault="00987279" w:rsidP="00987279">
      <w:pPr>
        <w:spacing w:line="240" w:lineRule="auto"/>
        <w:rPr>
          <w:szCs w:val="21"/>
          <w:lang w:val="en-US"/>
        </w:rPr>
      </w:pPr>
      <w:r w:rsidRPr="00F2534A">
        <w:rPr>
          <w:szCs w:val="21"/>
          <w:lang w:val="en-US"/>
        </w:rPr>
        <w:t>Moncheva, S. and Par, B. 2005 (updated-2010). Manual for Phytoplankton Sampling and Analysis in the Black Sea, GEF/UNDP Black Sea Ecosystem Recovery Project (BSERP)-RER/01/G33/A/1G/31, EC, FP7, Upgrade Black Sea Scene Project, Istanbul, 67 pp.</w:t>
      </w:r>
    </w:p>
    <w:p w:rsidR="00987279" w:rsidRPr="006B0FAE" w:rsidRDefault="00987279" w:rsidP="00987279">
      <w:pPr>
        <w:pStyle w:val="FootnoteText"/>
        <w:spacing w:line="240" w:lineRule="auto"/>
        <w:ind w:firstLine="0"/>
        <w:jc w:val="both"/>
        <w:rPr>
          <w:i w:val="0"/>
          <w:sz w:val="21"/>
          <w:szCs w:val="21"/>
          <w:lang w:val="en-US"/>
        </w:rPr>
      </w:pPr>
      <w:r w:rsidRPr="006B0FAE">
        <w:rPr>
          <w:bCs/>
          <w:i w:val="0"/>
          <w:sz w:val="21"/>
          <w:szCs w:val="21"/>
        </w:rPr>
        <w:lastRenderedPageBreak/>
        <w:t xml:space="preserve">MRAG/UNEP-WCMC/URS 2013 Final Report for activities in 2013 </w:t>
      </w:r>
      <w:r w:rsidRPr="006B0FAE">
        <w:rPr>
          <w:i w:val="0"/>
          <w:sz w:val="21"/>
          <w:szCs w:val="21"/>
        </w:rPr>
        <w:t xml:space="preserve">to European Commission for contract on </w:t>
      </w:r>
      <w:r w:rsidRPr="006B0FAE">
        <w:rPr>
          <w:bCs/>
          <w:i w:val="0"/>
          <w:sz w:val="21"/>
          <w:szCs w:val="21"/>
        </w:rPr>
        <w:t>Development of WISE-Marine for the Marine Strategy Framework Directive 2008/56/EC</w:t>
      </w:r>
      <w:r w:rsidRPr="006B0FAE">
        <w:rPr>
          <w:i w:val="0"/>
          <w:sz w:val="21"/>
          <w:szCs w:val="21"/>
        </w:rPr>
        <w:t xml:space="preserve"> (070307/2011/610594/ENV.D.2/SER).</w:t>
      </w:r>
    </w:p>
    <w:p w:rsidR="00987279" w:rsidRPr="00987279" w:rsidRDefault="00987279" w:rsidP="00987279">
      <w:pPr>
        <w:spacing w:line="240" w:lineRule="auto"/>
        <w:rPr>
          <w:szCs w:val="21"/>
          <w:lang w:val="de-DE"/>
        </w:rPr>
      </w:pPr>
      <w:r w:rsidRPr="00F2534A">
        <w:rPr>
          <w:szCs w:val="21"/>
          <w:lang w:val="en-US"/>
        </w:rPr>
        <w:t>Nyberg, E., Larsen, M.M.,  Bignert, A., Boalt, E., Danielson S. and the CORESET expert group for  hazardous substances indicators. 2013a. Metals (lead, cadmium and mercury). HELCOM Core Indicator Report.</w:t>
      </w:r>
      <w:r w:rsidRPr="00987279">
        <w:rPr>
          <w:szCs w:val="21"/>
          <w:lang w:val="de-DE"/>
        </w:rPr>
        <w:t xml:space="preserve">Online. 23.3.14, </w:t>
      </w:r>
      <w:r w:rsidR="006B0FAE">
        <w:rPr>
          <w:szCs w:val="21"/>
          <w:lang w:val="de-DE"/>
        </w:rPr>
        <w:t>[</w:t>
      </w:r>
      <w:hyperlink r:id="rId53" w:history="1">
        <w:r w:rsidRPr="00987279">
          <w:rPr>
            <w:rStyle w:val="Hyperlink"/>
            <w:szCs w:val="21"/>
            <w:lang w:val="de-DE"/>
          </w:rPr>
          <w:t>http://www.helcom.fi/Core%20Indicators/HELCOM-CoreIndicator-Metals.pdf</w:t>
        </w:r>
      </w:hyperlink>
      <w:r w:rsidR="006B0FAE">
        <w:t>]</w:t>
      </w:r>
    </w:p>
    <w:p w:rsidR="00987279" w:rsidRPr="00F2534A" w:rsidRDefault="00987279" w:rsidP="00987279">
      <w:pPr>
        <w:spacing w:line="240" w:lineRule="auto"/>
        <w:rPr>
          <w:szCs w:val="21"/>
        </w:rPr>
      </w:pPr>
      <w:r w:rsidRPr="00F2534A">
        <w:rPr>
          <w:szCs w:val="21"/>
          <w:lang w:val="en-US"/>
        </w:rPr>
        <w:t>Nyberg, E.,  Kammann, U., Garnaga, G., Bignert, A., Schneider, R., Danielsson S., and the CORESET expert group for hazardous substances indicators. 2013b. Core Indicator Report.  Online.23.3.14</w:t>
      </w:r>
      <w:hyperlink r:id="rId54" w:history="1">
        <w:r w:rsidRPr="00F2534A">
          <w:rPr>
            <w:rStyle w:val="Hyperlink"/>
            <w:szCs w:val="21"/>
            <w:lang w:val="en-US"/>
          </w:rPr>
          <w:t>http://www.helcom.fi/Core%20Indicators/HELCOM_CoreIndicator_Polyaromatic_hydrocarbons_and_their_metabolites.pdf</w:t>
        </w:r>
      </w:hyperlink>
    </w:p>
    <w:p w:rsidR="00987279" w:rsidRPr="00F2534A" w:rsidRDefault="00987279" w:rsidP="00987279">
      <w:pPr>
        <w:spacing w:line="240" w:lineRule="auto"/>
        <w:rPr>
          <w:szCs w:val="21"/>
          <w:lang w:val="en-US"/>
        </w:rPr>
      </w:pPr>
      <w:r w:rsidRPr="00F2534A">
        <w:rPr>
          <w:szCs w:val="21"/>
          <w:lang w:val="en-US"/>
        </w:rPr>
        <w:t xml:space="preserve">Nyberg, E., Poikane, R., Strand, J., Larsen, M.M., Danielsson, S., Bignert, A., CORESET, 2013c. </w:t>
      </w:r>
      <w:r w:rsidRPr="00F2534A">
        <w:rPr>
          <w:bCs/>
          <w:szCs w:val="21"/>
          <w:lang w:val="en-US"/>
        </w:rPr>
        <w:t>Tributyltin (TBT) and imposex.</w:t>
      </w:r>
      <w:r w:rsidRPr="00F2534A">
        <w:rPr>
          <w:szCs w:val="21"/>
          <w:lang w:val="en-US"/>
        </w:rPr>
        <w:t>HELCOM Core Indicator Report.Online.[4Apr.2014], [http://www.helcom.fi/Core%20Indicators/HELCOM_CoreIndicator_Tributyltin_and_imposex.pdf].</w:t>
      </w:r>
    </w:p>
    <w:p w:rsidR="00987279" w:rsidRPr="00F2534A" w:rsidRDefault="00987279" w:rsidP="00987279">
      <w:pPr>
        <w:spacing w:line="240" w:lineRule="auto"/>
        <w:rPr>
          <w:szCs w:val="21"/>
          <w:lang w:val="en-US"/>
        </w:rPr>
      </w:pPr>
      <w:r w:rsidRPr="00F2534A">
        <w:rPr>
          <w:szCs w:val="21"/>
          <w:lang w:val="en-US"/>
        </w:rPr>
        <w:t>Nyberg, E., Bignert, A., Danielsson, S., Mannio, J., CORESET, 2013d.Hexabromocyclododecane.HELCOM Core Indicator Report. Online.[4Apr.2014], [http://www.helcom.fi/Core%20Indicators/HELCOMCoreIndicator_Hexabromocyclododecane.pdf]</w:t>
      </w:r>
    </w:p>
    <w:p w:rsidR="00987279" w:rsidRPr="00F2534A" w:rsidRDefault="00987279" w:rsidP="00987279">
      <w:pPr>
        <w:spacing w:line="240" w:lineRule="auto"/>
        <w:rPr>
          <w:szCs w:val="21"/>
          <w:lang w:val="en-US"/>
        </w:rPr>
      </w:pPr>
      <w:r w:rsidRPr="00F2534A">
        <w:rPr>
          <w:szCs w:val="21"/>
          <w:lang w:val="en-US"/>
        </w:rPr>
        <w:t>Nyberg, E., Bignert, A., Danielsson, S., CORESET, 2013e.Perfluorooctane sulphonate (PFOS).HELCOM Core Indicator Report. Online.[4Apr.2014], [http://www.helcom.fi/Core%20Indica</w:t>
      </w:r>
      <w:r w:rsidR="006B0FAE">
        <w:rPr>
          <w:szCs w:val="21"/>
          <w:lang w:val="en-US"/>
        </w:rPr>
        <w:t xml:space="preserve">tors/HELCOM </w:t>
      </w:r>
      <w:r w:rsidRPr="00F2534A">
        <w:rPr>
          <w:szCs w:val="21"/>
          <w:lang w:val="en-US"/>
        </w:rPr>
        <w:t>CoreIndicator_Perfluorooctane_sulphonate.pdf]</w:t>
      </w:r>
    </w:p>
    <w:p w:rsidR="00987279" w:rsidRPr="00F2534A" w:rsidRDefault="00987279" w:rsidP="00987279">
      <w:pPr>
        <w:spacing w:line="240" w:lineRule="auto"/>
        <w:rPr>
          <w:szCs w:val="21"/>
          <w:lang w:val="fr-FR"/>
        </w:rPr>
      </w:pPr>
      <w:r w:rsidRPr="00F2534A">
        <w:rPr>
          <w:szCs w:val="21"/>
          <w:lang w:val="en-US"/>
        </w:rPr>
        <w:t>Nyberg, E., Bignert, A., Danielsson, S., Mannio, J., HELCOM CORESET, 2013f.</w:t>
      </w:r>
      <w:r w:rsidRPr="00F2534A">
        <w:rPr>
          <w:bCs/>
          <w:szCs w:val="21"/>
          <w:lang w:val="en-US"/>
        </w:rPr>
        <w:t>PolybrominatedDiphenyl Ethers (PBDE) - BDE-28, 47, 99, 100, 153 and 154.</w:t>
      </w:r>
      <w:r w:rsidRPr="00F2534A">
        <w:rPr>
          <w:szCs w:val="21"/>
          <w:lang w:val="en-US"/>
        </w:rPr>
        <w:t>HELCOM Core Indicator Report.</w:t>
      </w:r>
      <w:r w:rsidRPr="00F2534A">
        <w:rPr>
          <w:szCs w:val="21"/>
          <w:lang w:val="fr-FR"/>
        </w:rPr>
        <w:t>Online.[4Apr.2014], [http://www.helcom.fi/Core%20Indicators/HELCOM-CoreIndicator_Polybrominated_Diphenyl_Ethers.pdf]</w:t>
      </w:r>
    </w:p>
    <w:p w:rsidR="00987279" w:rsidRPr="00F2534A" w:rsidRDefault="00987279" w:rsidP="00987279">
      <w:pPr>
        <w:spacing w:line="240" w:lineRule="auto"/>
        <w:rPr>
          <w:szCs w:val="21"/>
          <w:lang w:val="en-US"/>
        </w:rPr>
      </w:pPr>
      <w:bookmarkStart w:id="64" w:name="OLE_LINK8"/>
      <w:r w:rsidRPr="00F2534A">
        <w:rPr>
          <w:szCs w:val="21"/>
          <w:lang w:val="fr-FR"/>
        </w:rPr>
        <w:t xml:space="preserve">OSPAR, 2003. OSPAR Commission, 2003. </w:t>
      </w:r>
      <w:r w:rsidRPr="00F2534A">
        <w:rPr>
          <w:szCs w:val="21"/>
          <w:lang w:val="en-US"/>
        </w:rPr>
        <w:t>OSPAR integrated report 2003 on the eutrophication status of the OSPAR maritime area based upon the first application of the Comprehensive Procedure. OSPAR Eutrophication Series, publication 189/2003. OSPAR Commission, London</w:t>
      </w:r>
    </w:p>
    <w:p w:rsidR="00987279" w:rsidRPr="00F2534A" w:rsidRDefault="00987279" w:rsidP="00987279">
      <w:pPr>
        <w:spacing w:line="240" w:lineRule="auto"/>
        <w:rPr>
          <w:szCs w:val="21"/>
          <w:lang w:val="mt-MT"/>
        </w:rPr>
      </w:pPr>
      <w:r w:rsidRPr="00F2534A">
        <w:rPr>
          <w:szCs w:val="21"/>
          <w:lang w:val="mt-MT"/>
        </w:rPr>
        <w:t>OSPAR 2005.Common Procedure for the Identification of the Eutrophication Status of the OSPAR Maritime Area , Ref no: 2005-3</w:t>
      </w:r>
    </w:p>
    <w:p w:rsidR="00987279" w:rsidRPr="00F2534A" w:rsidRDefault="00987279" w:rsidP="00987279">
      <w:pPr>
        <w:spacing w:line="240" w:lineRule="auto"/>
        <w:rPr>
          <w:szCs w:val="21"/>
          <w:lang w:val="mt-MT"/>
        </w:rPr>
      </w:pPr>
      <w:r w:rsidRPr="00F2534A">
        <w:rPr>
          <w:szCs w:val="21"/>
          <w:lang w:val="mt-MT"/>
        </w:rPr>
        <w:t>OSPAR 2008. OSPAR Commission 2008.Second Integrated Report on the Eutrophication Status of the OSPAR Maritime AreaRef no: 372/2008</w:t>
      </w:r>
    </w:p>
    <w:p w:rsidR="00987279" w:rsidRPr="00F2534A" w:rsidRDefault="00987279" w:rsidP="00987279">
      <w:pPr>
        <w:spacing w:line="240" w:lineRule="auto"/>
        <w:rPr>
          <w:szCs w:val="21"/>
          <w:lang w:val="en-US"/>
        </w:rPr>
      </w:pPr>
      <w:r w:rsidRPr="00F2534A">
        <w:rPr>
          <w:szCs w:val="21"/>
          <w:lang w:val="en-US"/>
        </w:rPr>
        <w:t>OSPAR 2009a. Evaluation of the OSPAR system of Ecological Quality Objectives for the North Sea(update 2010),publication number 406/2009</w:t>
      </w:r>
    </w:p>
    <w:p w:rsidR="00987279" w:rsidRPr="00F2534A" w:rsidRDefault="00987279" w:rsidP="00987279">
      <w:pPr>
        <w:spacing w:line="240" w:lineRule="auto"/>
        <w:rPr>
          <w:szCs w:val="21"/>
          <w:lang w:val="en-US"/>
        </w:rPr>
      </w:pPr>
      <w:r w:rsidRPr="00F2534A">
        <w:rPr>
          <w:szCs w:val="21"/>
          <w:lang w:val="en-US"/>
        </w:rPr>
        <w:t>OSPAR 2009b.Background Document on CEMP assessment criteria for the QSR 2010. Ref no: 461/2009</w:t>
      </w:r>
    </w:p>
    <w:bookmarkEnd w:id="64"/>
    <w:p w:rsidR="00987279" w:rsidRDefault="00987279" w:rsidP="00987279">
      <w:pPr>
        <w:pStyle w:val="ListParagraph"/>
        <w:spacing w:line="240" w:lineRule="auto"/>
        <w:ind w:left="0"/>
        <w:rPr>
          <w:szCs w:val="21"/>
          <w:lang w:val="en-US"/>
        </w:rPr>
      </w:pPr>
      <w:r w:rsidRPr="00F2534A">
        <w:rPr>
          <w:szCs w:val="21"/>
          <w:lang w:val="en-US"/>
        </w:rPr>
        <w:t>OSPAR, 2012. MSFD Advice Manual and Background document on Good environmental status - Descriptor 5: Eutrophication. A living document - Version 5 January 2012</w:t>
      </w:r>
    </w:p>
    <w:p w:rsidR="00FF53BE" w:rsidRDefault="00FF53BE" w:rsidP="00987279">
      <w:pPr>
        <w:pStyle w:val="ListParagraph"/>
        <w:spacing w:line="240" w:lineRule="auto"/>
        <w:ind w:left="0"/>
        <w:rPr>
          <w:szCs w:val="21"/>
          <w:lang w:val="en-US"/>
        </w:rPr>
      </w:pPr>
      <w:r>
        <w:rPr>
          <w:szCs w:val="21"/>
          <w:lang w:val="en-US"/>
        </w:rPr>
        <w:t xml:space="preserve">OSPAR 2013. </w:t>
      </w:r>
      <w:r w:rsidRPr="00FF53BE">
        <w:rPr>
          <w:szCs w:val="21"/>
          <w:lang w:val="en-US"/>
        </w:rPr>
        <w:t>Common Procedure for the Identification of the Eutrophication Status of the OSPAR Maritime Area(Reference number: 2013-8)</w:t>
      </w:r>
    </w:p>
    <w:p w:rsidR="0069001A" w:rsidRPr="00F2534A" w:rsidRDefault="0069001A" w:rsidP="00987279">
      <w:pPr>
        <w:pStyle w:val="ListParagraph"/>
        <w:spacing w:line="240" w:lineRule="auto"/>
        <w:ind w:left="0"/>
        <w:rPr>
          <w:szCs w:val="21"/>
          <w:lang w:val="en-US"/>
        </w:rPr>
      </w:pPr>
      <w:r w:rsidRPr="0069001A">
        <w:rPr>
          <w:szCs w:val="21"/>
          <w:lang w:val="en-US"/>
        </w:rPr>
        <w:t>Palialexis, A. V Tornero,V.  Barbone, E. Gonzalez, D. Hanke, G. Cardoso, A. C. Hoepffner, N.  Katsanevakis, S. Somma, F. s Zampoukas N. 2014. In-Depth Assessment of the EU Member States’ Submissions for the Marine Strategy Framework Directive under articles 8, 9 and 10. 149pp,  EUR – Scientific and Technical Research series – ISSN 1831-9424</w:t>
      </w:r>
    </w:p>
    <w:p w:rsidR="00987279" w:rsidRPr="00F2534A" w:rsidRDefault="00987279" w:rsidP="00987279">
      <w:pPr>
        <w:spacing w:line="240" w:lineRule="auto"/>
        <w:rPr>
          <w:szCs w:val="21"/>
          <w:lang w:val="en-US"/>
        </w:rPr>
      </w:pPr>
      <w:r w:rsidRPr="00F2534A">
        <w:rPr>
          <w:szCs w:val="21"/>
          <w:lang w:val="en-US"/>
        </w:rPr>
        <w:t>SEC 2011. Commission Staff Working Paper, Relationship between the initial assessment of marine waters and the criteria for good environmental status, 1255 final, Brussels, 14.10.2011</w:t>
      </w:r>
    </w:p>
    <w:p w:rsidR="00987279" w:rsidRPr="00F2534A" w:rsidRDefault="00987279" w:rsidP="00987279">
      <w:pPr>
        <w:spacing w:line="240" w:lineRule="auto"/>
        <w:rPr>
          <w:bCs/>
          <w:color w:val="000000"/>
          <w:szCs w:val="21"/>
          <w:lang w:val="en-US"/>
        </w:rPr>
      </w:pPr>
      <w:r w:rsidRPr="00F2534A">
        <w:rPr>
          <w:bCs/>
          <w:color w:val="000000"/>
          <w:szCs w:val="21"/>
          <w:lang w:val="en-US"/>
        </w:rPr>
        <w:t>UNEP/MAP 2005 Sampling and analysis Techniques for the Eutrophication Monitoring Strategy of MED POL MAP Technical Reports Series No. 163</w:t>
      </w:r>
    </w:p>
    <w:p w:rsidR="00987279" w:rsidRPr="00F2534A" w:rsidRDefault="00987279" w:rsidP="00987279">
      <w:pPr>
        <w:spacing w:line="240" w:lineRule="auto"/>
        <w:rPr>
          <w:szCs w:val="21"/>
          <w:lang w:val="en-US"/>
        </w:rPr>
      </w:pPr>
      <w:r w:rsidRPr="00F2534A">
        <w:rPr>
          <w:szCs w:val="21"/>
          <w:lang w:val="en-US"/>
        </w:rPr>
        <w:lastRenderedPageBreak/>
        <w:t>UNEP/MAP, 2011a. Review of the methods, criteria and limit values for the assessment of Eutrophication (Biological Quality Element “Phytoplankton”) as developed in the framework of the Intercalibration Exercise of the MED GIG (Mediterranean Eco-region) Water Framework Directive 2000/60 EC UNEP(DEPI)/MED WG.365/Inf.7</w:t>
      </w:r>
    </w:p>
    <w:p w:rsidR="00987279" w:rsidRPr="00F2534A" w:rsidRDefault="00987279" w:rsidP="00987279">
      <w:pPr>
        <w:spacing w:line="240" w:lineRule="auto"/>
        <w:rPr>
          <w:szCs w:val="21"/>
          <w:lang w:val="en-US"/>
        </w:rPr>
      </w:pPr>
      <w:r w:rsidRPr="00F2534A">
        <w:rPr>
          <w:szCs w:val="21"/>
          <w:lang w:val="en-US"/>
        </w:rPr>
        <w:t>UNEP/MAP, 2011b. Reviewing MED POL marine monitoring activities and planning for the new integrated monitoring system Consultation Meeting to Review MED POL Monitoring Activities, UNEP(DEPI)/MED WG.365/3. Athens, 22-23 November 2011.</w:t>
      </w:r>
    </w:p>
    <w:p w:rsidR="00987279" w:rsidRPr="00F2534A" w:rsidRDefault="00987279" w:rsidP="00987279">
      <w:pPr>
        <w:spacing w:line="240" w:lineRule="auto"/>
        <w:rPr>
          <w:szCs w:val="21"/>
          <w:lang w:val="en-US"/>
        </w:rPr>
      </w:pPr>
      <w:r w:rsidRPr="00F2534A">
        <w:rPr>
          <w:szCs w:val="21"/>
          <w:lang w:val="en-US"/>
        </w:rPr>
        <w:t>UNEP/MAP, 2011c. Development of Assessment Criteria for Hazardous substances in the Mediterranean.Consultation Meeting to Review MED POL Monitoring Activities, UNEP(DEPI)/MED WG. 365/Inf.8Athens, 22-23 November 2011</w:t>
      </w:r>
    </w:p>
    <w:p w:rsidR="00987279" w:rsidRPr="00F2534A" w:rsidRDefault="00987279" w:rsidP="00987279">
      <w:pPr>
        <w:spacing w:line="240" w:lineRule="auto"/>
        <w:rPr>
          <w:szCs w:val="21"/>
          <w:lang w:val="en-US"/>
        </w:rPr>
      </w:pPr>
      <w:r w:rsidRPr="00F2534A">
        <w:rPr>
          <w:szCs w:val="21"/>
          <w:lang w:val="en-US"/>
        </w:rPr>
        <w:t>UNEP/MAP, 2011d. Hazardous substances in the Mediterranean:a spatial and temporal assessment. Consultation Meeting to Review MED POL Monitoring Activities, UNEP(DEPI)/MED WG.365/3, Athens, 22-23 November 2011</w:t>
      </w:r>
    </w:p>
    <w:p w:rsidR="00987279" w:rsidRPr="00F2534A" w:rsidRDefault="00987279" w:rsidP="00987279">
      <w:pPr>
        <w:spacing w:line="240" w:lineRule="auto"/>
        <w:rPr>
          <w:bCs/>
          <w:szCs w:val="21"/>
          <w:lang w:val="en-US"/>
        </w:rPr>
      </w:pPr>
      <w:r w:rsidRPr="00F2534A">
        <w:rPr>
          <w:bCs/>
          <w:szCs w:val="21"/>
          <w:lang w:val="en-US"/>
        </w:rPr>
        <w:t>UNEP/MAP, 2012a. Support to the Barcelona Convention for the implementation of the Ecosystem Approach, including the establishment of MPAs in open seas, including deep sea. Contribution Agreement N°21.0401/2008/519114/SUB/D2, Final Report April 2012.</w:t>
      </w:r>
    </w:p>
    <w:p w:rsidR="00987279" w:rsidRDefault="00987279" w:rsidP="00987279">
      <w:pPr>
        <w:spacing w:line="240" w:lineRule="auto"/>
        <w:rPr>
          <w:bCs/>
          <w:szCs w:val="21"/>
          <w:lang w:val="en-US"/>
        </w:rPr>
      </w:pPr>
      <w:r w:rsidRPr="00F2534A">
        <w:rPr>
          <w:bCs/>
          <w:szCs w:val="21"/>
          <w:lang w:val="en-US"/>
        </w:rPr>
        <w:t xml:space="preserve">UNEP/MAP 2012b. Report on Meeting of the correspondence group on Good Environmental Status (GES) and targets: Pollution and Litter cluster, </w:t>
      </w:r>
      <w:r w:rsidRPr="00F2534A">
        <w:rPr>
          <w:szCs w:val="21"/>
          <w:lang w:val="en-US"/>
        </w:rPr>
        <w:t xml:space="preserve">UNEP(DEPI)/MED WG.372/4,  </w:t>
      </w:r>
      <w:r w:rsidRPr="00F2534A">
        <w:rPr>
          <w:bCs/>
          <w:szCs w:val="21"/>
          <w:lang w:val="en-US"/>
        </w:rPr>
        <w:t>Sarajevo (Bosnia &amp; Herzegovina), 29-30 October 2012</w:t>
      </w:r>
    </w:p>
    <w:p w:rsidR="00311581" w:rsidRPr="00F2534A" w:rsidRDefault="00311581" w:rsidP="00987279">
      <w:pPr>
        <w:spacing w:line="240" w:lineRule="auto"/>
        <w:rPr>
          <w:bCs/>
          <w:szCs w:val="21"/>
          <w:lang w:val="en-US"/>
        </w:rPr>
      </w:pPr>
      <w:r>
        <w:rPr>
          <w:bCs/>
          <w:szCs w:val="21"/>
          <w:lang w:val="en-US"/>
        </w:rPr>
        <w:t>UNEP/MAP 2012c</w:t>
      </w:r>
      <w:r w:rsidRPr="00311581">
        <w:rPr>
          <w:bCs/>
          <w:szCs w:val="21"/>
          <w:lang w:val="en-US"/>
        </w:rPr>
        <w:t xml:space="preserve"> MEDPOL; Releases, emissions and sources of pollutants in the Mediterranean region. An assessment of 2003-2008 trends; 2012</w:t>
      </w:r>
    </w:p>
    <w:p w:rsidR="00987279" w:rsidRPr="00F2534A" w:rsidRDefault="00987279" w:rsidP="00987279">
      <w:pPr>
        <w:spacing w:line="240" w:lineRule="auto"/>
        <w:rPr>
          <w:szCs w:val="21"/>
          <w:lang w:val="en-US"/>
        </w:rPr>
      </w:pPr>
      <w:r w:rsidRPr="00F2534A">
        <w:rPr>
          <w:szCs w:val="21"/>
          <w:lang w:val="en-US"/>
        </w:rPr>
        <w:t>UNEP/MAP 2014a.Secretariat  Analysis of Common Indicators. Integrated Correspondence Groups of GES and Targets Meeting Athens (Greece), 17-19 February 2014, UNEP(DEPI)/MED WG.390/Inf.3</w:t>
      </w:r>
    </w:p>
    <w:p w:rsidR="00987279" w:rsidRPr="00F2534A" w:rsidRDefault="00987279" w:rsidP="00987279">
      <w:pPr>
        <w:spacing w:line="240" w:lineRule="auto"/>
        <w:rPr>
          <w:szCs w:val="21"/>
          <w:lang w:val="en-US"/>
        </w:rPr>
      </w:pPr>
      <w:r w:rsidRPr="00F2534A">
        <w:rPr>
          <w:szCs w:val="21"/>
          <w:lang w:val="en-US"/>
        </w:rPr>
        <w:t>UNEP/MAP, 2014b.Working document on Common Indicators for the Mediterranean.Integrated Correspondence Groups of GES and Targets Meeting.UNEP(DEPI)/MED WG.390/3, Athens (Greece), 17-19 February 2014.</w:t>
      </w:r>
    </w:p>
    <w:p w:rsidR="00987279" w:rsidRPr="00F2534A" w:rsidRDefault="00987279" w:rsidP="00987279">
      <w:pPr>
        <w:spacing w:line="240" w:lineRule="auto"/>
        <w:rPr>
          <w:szCs w:val="21"/>
          <w:lang w:val="en-US"/>
        </w:rPr>
      </w:pPr>
      <w:r w:rsidRPr="00F2534A">
        <w:rPr>
          <w:szCs w:val="21"/>
          <w:lang w:val="en-US"/>
        </w:rPr>
        <w:t xml:space="preserve">Velikova V., Boicenco L., Beken-Polat C., Moncheva S., Levent B., Sezgin M., Begun T., Oros A. 2013. Diagnostic Report II guiding improvements in the Black Sea monitoring system. EC DG Env. MISI Project Deliverables. http://sharepoint.misisproject.eu/sharepoint/ </w:t>
      </w:r>
    </w:p>
    <w:p w:rsidR="00987279" w:rsidRPr="00F2534A" w:rsidRDefault="00987279" w:rsidP="00987279">
      <w:pPr>
        <w:spacing w:line="240" w:lineRule="auto"/>
        <w:rPr>
          <w:szCs w:val="21"/>
          <w:lang w:val="en-US"/>
        </w:rPr>
      </w:pPr>
      <w:r w:rsidRPr="00F15E0D">
        <w:rPr>
          <w:szCs w:val="21"/>
          <w:lang w:val="da-DK"/>
        </w:rPr>
        <w:t xml:space="preserve">Vollenweider, R.A., Giovanardi, F., Montanari, G. &amp;Rinaldi, A. (1998). </w:t>
      </w:r>
      <w:r w:rsidRPr="00F2534A">
        <w:rPr>
          <w:szCs w:val="21"/>
          <w:lang w:val="en-US"/>
        </w:rPr>
        <w:t>Characterization of the trophic conditions of marine coastal waters, with special reference to the NW Adriatic Sea: Proposal for a trophic scale, turbidity and generalized water quality index. Environmetrics, 9: 329-357.</w:t>
      </w:r>
    </w:p>
    <w:p w:rsidR="00987279" w:rsidRPr="00F2534A" w:rsidRDefault="00987279" w:rsidP="00987279">
      <w:pPr>
        <w:spacing w:line="240" w:lineRule="auto"/>
        <w:rPr>
          <w:szCs w:val="21"/>
          <w:lang w:val="en-US"/>
        </w:rPr>
      </w:pPr>
    </w:p>
    <w:p w:rsidR="00987279" w:rsidRPr="00F2534A" w:rsidRDefault="00987279" w:rsidP="00987279">
      <w:pPr>
        <w:spacing w:line="240" w:lineRule="auto"/>
        <w:rPr>
          <w:b/>
          <w:szCs w:val="21"/>
          <w:lang w:val="en-US"/>
        </w:rPr>
      </w:pPr>
      <w:r w:rsidRPr="00F2534A">
        <w:rPr>
          <w:b/>
          <w:szCs w:val="21"/>
          <w:lang w:val="en-US"/>
        </w:rPr>
        <w:t>List of abbreviations</w:t>
      </w:r>
    </w:p>
    <w:p w:rsidR="000F7A4E" w:rsidRPr="00F2534A" w:rsidRDefault="000F7A4E" w:rsidP="00987279">
      <w:pPr>
        <w:pStyle w:val="ListParagraph"/>
        <w:spacing w:line="240" w:lineRule="auto"/>
        <w:ind w:left="0"/>
        <w:rPr>
          <w:szCs w:val="21"/>
          <w:lang w:val="en-US"/>
        </w:rPr>
      </w:pPr>
      <w:r w:rsidRPr="00F2534A">
        <w:rPr>
          <w:szCs w:val="21"/>
          <w:lang w:val="en-US"/>
        </w:rPr>
        <w:t>AG LBS: Advisory Group on Control of Pollution from Land Based Sources</w:t>
      </w:r>
    </w:p>
    <w:p w:rsidR="000F7A4E" w:rsidRPr="00F2534A" w:rsidRDefault="000F7A4E" w:rsidP="00987279">
      <w:pPr>
        <w:pStyle w:val="ListParagraph"/>
        <w:spacing w:line="240" w:lineRule="auto"/>
        <w:ind w:left="0"/>
        <w:rPr>
          <w:szCs w:val="21"/>
          <w:lang w:val="en-US"/>
        </w:rPr>
      </w:pPr>
      <w:r w:rsidRPr="00F2534A">
        <w:rPr>
          <w:szCs w:val="21"/>
          <w:lang w:val="en-US"/>
        </w:rPr>
        <w:t>AG PMA: Advisory Group on Pollution Monitoring and Assessment</w:t>
      </w:r>
    </w:p>
    <w:p w:rsidR="000F7A4E" w:rsidRPr="00F2534A" w:rsidRDefault="000F7A4E" w:rsidP="00987279">
      <w:pPr>
        <w:spacing w:line="240" w:lineRule="auto"/>
        <w:rPr>
          <w:szCs w:val="21"/>
          <w:lang w:val="en-US"/>
        </w:rPr>
      </w:pPr>
      <w:r w:rsidRPr="00F2534A">
        <w:rPr>
          <w:szCs w:val="21"/>
          <w:lang w:val="en-US"/>
        </w:rPr>
        <w:t xml:space="preserve">BAC: Background Assessment Criteria </w:t>
      </w:r>
    </w:p>
    <w:p w:rsidR="000F7A4E" w:rsidRPr="00F2534A" w:rsidRDefault="000F7A4E" w:rsidP="00987279">
      <w:pPr>
        <w:spacing w:line="240" w:lineRule="auto"/>
        <w:rPr>
          <w:szCs w:val="21"/>
          <w:lang w:val="en-US"/>
        </w:rPr>
      </w:pPr>
      <w:r w:rsidRPr="00F2534A">
        <w:rPr>
          <w:szCs w:val="21"/>
          <w:lang w:val="en-US"/>
        </w:rPr>
        <w:t>BSIMAP: Black Sea Integrated Monitoring and Assessment Program</w:t>
      </w:r>
    </w:p>
    <w:p w:rsidR="000F7A4E" w:rsidRPr="00F2534A" w:rsidRDefault="000F7A4E" w:rsidP="00987279">
      <w:pPr>
        <w:spacing w:line="240" w:lineRule="auto"/>
        <w:rPr>
          <w:szCs w:val="21"/>
          <w:lang w:val="en-US"/>
        </w:rPr>
      </w:pPr>
      <w:r w:rsidRPr="00F2534A">
        <w:rPr>
          <w:szCs w:val="21"/>
          <w:lang w:val="en-US"/>
        </w:rPr>
        <w:t xml:space="preserve">BSIS: Black Sea Information System </w:t>
      </w:r>
    </w:p>
    <w:p w:rsidR="000F7A4E" w:rsidRPr="00F2534A" w:rsidRDefault="000F7A4E" w:rsidP="00987279">
      <w:pPr>
        <w:spacing w:line="240" w:lineRule="auto"/>
        <w:rPr>
          <w:bCs/>
          <w:color w:val="000000"/>
          <w:szCs w:val="21"/>
          <w:lang w:val="en-US"/>
        </w:rPr>
      </w:pPr>
      <w:r w:rsidRPr="00F2534A">
        <w:rPr>
          <w:bCs/>
          <w:color w:val="000000"/>
          <w:szCs w:val="21"/>
          <w:lang w:val="en-US"/>
        </w:rPr>
        <w:t xml:space="preserve">BSSAP: </w:t>
      </w:r>
      <w:r w:rsidRPr="00F2534A">
        <w:rPr>
          <w:szCs w:val="21"/>
          <w:lang w:val="en-US"/>
        </w:rPr>
        <w:t xml:space="preserve">Strategic Action Plan for the Rehabilitation and Protection of the Black Sea </w:t>
      </w:r>
    </w:p>
    <w:p w:rsidR="000F7A4E" w:rsidRPr="00F2534A" w:rsidRDefault="000F7A4E" w:rsidP="00987279">
      <w:pPr>
        <w:spacing w:line="240" w:lineRule="auto"/>
        <w:rPr>
          <w:szCs w:val="21"/>
          <w:lang w:val="mt-MT"/>
        </w:rPr>
      </w:pPr>
      <w:r w:rsidRPr="00F2534A">
        <w:rPr>
          <w:szCs w:val="21"/>
          <w:lang w:val="mt-MT"/>
        </w:rPr>
        <w:t xml:space="preserve">CAMP: OSPAR Comprehensive Atmospheric Monitoring Programme </w:t>
      </w:r>
    </w:p>
    <w:p w:rsidR="000F7A4E" w:rsidRPr="00F2534A" w:rsidRDefault="000F7A4E" w:rsidP="00987279">
      <w:pPr>
        <w:spacing w:line="240" w:lineRule="auto"/>
        <w:rPr>
          <w:szCs w:val="21"/>
          <w:lang w:val="en-US"/>
        </w:rPr>
      </w:pPr>
      <w:r w:rsidRPr="00F2534A">
        <w:rPr>
          <w:szCs w:val="21"/>
          <w:lang w:val="en-US"/>
        </w:rPr>
        <w:t>CBD AG: Advisory Group on Conservation of Biodiversity</w:t>
      </w:r>
    </w:p>
    <w:p w:rsidR="000F7A4E" w:rsidRPr="00F2534A" w:rsidRDefault="000F7A4E" w:rsidP="00987279">
      <w:pPr>
        <w:spacing w:line="240" w:lineRule="auto"/>
        <w:rPr>
          <w:szCs w:val="21"/>
          <w:lang w:val="mt-MT"/>
        </w:rPr>
      </w:pPr>
      <w:r w:rsidRPr="00F2534A">
        <w:rPr>
          <w:szCs w:val="21"/>
          <w:lang w:val="mt-MT"/>
        </w:rPr>
        <w:t xml:space="preserve">CEMP: OSPAR Co-ordinated Environmental Monitoring Programme </w:t>
      </w:r>
    </w:p>
    <w:p w:rsidR="000F7A4E" w:rsidRPr="00F2534A" w:rsidRDefault="000F7A4E" w:rsidP="00987279">
      <w:pPr>
        <w:autoSpaceDE w:val="0"/>
        <w:autoSpaceDN w:val="0"/>
        <w:adjustRightInd w:val="0"/>
        <w:spacing w:line="240" w:lineRule="auto"/>
        <w:rPr>
          <w:szCs w:val="21"/>
          <w:lang w:val="en-US"/>
        </w:rPr>
      </w:pPr>
      <w:r w:rsidRPr="00F2534A">
        <w:rPr>
          <w:szCs w:val="21"/>
          <w:lang w:val="en-US"/>
        </w:rPr>
        <w:t>CHASE: The HELCOM Hazardous Substances Status Assessment Tool</w:t>
      </w:r>
    </w:p>
    <w:p w:rsidR="000F7A4E" w:rsidRPr="00F2534A" w:rsidRDefault="000F7A4E" w:rsidP="00987279">
      <w:pPr>
        <w:spacing w:line="240" w:lineRule="auto"/>
        <w:rPr>
          <w:szCs w:val="21"/>
          <w:lang w:val="en-US"/>
        </w:rPr>
      </w:pPr>
      <w:r w:rsidRPr="00F2534A">
        <w:rPr>
          <w:szCs w:val="21"/>
          <w:lang w:val="en-US"/>
        </w:rPr>
        <w:t>COMBINE: Cooperative Monitoring in the Baltic Marine Environment</w:t>
      </w:r>
    </w:p>
    <w:p w:rsidR="000F7A4E" w:rsidRPr="00F2534A" w:rsidRDefault="000F7A4E" w:rsidP="00987279">
      <w:pPr>
        <w:spacing w:line="240" w:lineRule="auto"/>
        <w:rPr>
          <w:szCs w:val="21"/>
          <w:lang w:val="en-US"/>
        </w:rPr>
      </w:pPr>
      <w:r w:rsidRPr="00F2534A">
        <w:rPr>
          <w:szCs w:val="21"/>
          <w:lang w:val="en-US"/>
        </w:rPr>
        <w:t>COMBINE: HELCOM Cooperative Monitoring in the Baltic Marine Environment</w:t>
      </w:r>
    </w:p>
    <w:p w:rsidR="000F7A4E" w:rsidRPr="00F2534A" w:rsidRDefault="000F7A4E" w:rsidP="00987279">
      <w:pPr>
        <w:spacing w:line="240" w:lineRule="auto"/>
        <w:rPr>
          <w:szCs w:val="21"/>
          <w:lang w:val="en-US"/>
        </w:rPr>
      </w:pPr>
      <w:r w:rsidRPr="00F2534A">
        <w:rPr>
          <w:szCs w:val="21"/>
          <w:lang w:val="en-US"/>
        </w:rPr>
        <w:t>CP: Contracting party</w:t>
      </w:r>
    </w:p>
    <w:p w:rsidR="000F7A4E" w:rsidRPr="00F2534A" w:rsidRDefault="000F7A4E" w:rsidP="00987279">
      <w:pPr>
        <w:spacing w:line="240" w:lineRule="auto"/>
        <w:rPr>
          <w:szCs w:val="21"/>
          <w:lang w:val="en-US"/>
        </w:rPr>
      </w:pPr>
      <w:r w:rsidRPr="00F2534A">
        <w:rPr>
          <w:szCs w:val="21"/>
          <w:lang w:val="en-US"/>
        </w:rPr>
        <w:t>DPSIR: Drivers, Pressures, State, Impact, Response</w:t>
      </w:r>
    </w:p>
    <w:p w:rsidR="000F7A4E" w:rsidRPr="00F2534A" w:rsidRDefault="000F7A4E" w:rsidP="00987279">
      <w:pPr>
        <w:spacing w:line="240" w:lineRule="auto"/>
        <w:rPr>
          <w:szCs w:val="21"/>
          <w:lang w:val="en-US"/>
        </w:rPr>
      </w:pPr>
      <w:r w:rsidRPr="00F2534A">
        <w:rPr>
          <w:szCs w:val="21"/>
          <w:lang w:val="en-US"/>
        </w:rPr>
        <w:t>EEA: European Environmental Agency</w:t>
      </w:r>
    </w:p>
    <w:p w:rsidR="000F7A4E" w:rsidRPr="000F7A4E" w:rsidRDefault="000F7A4E" w:rsidP="000F7A4E">
      <w:pPr>
        <w:spacing w:line="240" w:lineRule="auto"/>
        <w:rPr>
          <w:szCs w:val="21"/>
          <w:lang w:val="en-US"/>
        </w:rPr>
      </w:pPr>
      <w:r w:rsidRPr="000F7A4E">
        <w:rPr>
          <w:szCs w:val="21"/>
          <w:lang w:val="en-US"/>
        </w:rPr>
        <w:t xml:space="preserve">Eionet: European environment information and observation network </w:t>
      </w:r>
    </w:p>
    <w:p w:rsidR="000F7A4E" w:rsidRPr="00F2534A" w:rsidRDefault="000F7A4E" w:rsidP="00987279">
      <w:pPr>
        <w:spacing w:line="240" w:lineRule="auto"/>
        <w:rPr>
          <w:szCs w:val="21"/>
          <w:lang w:val="en-US"/>
        </w:rPr>
      </w:pPr>
      <w:r w:rsidRPr="00F2534A">
        <w:rPr>
          <w:szCs w:val="21"/>
          <w:lang w:val="en-US"/>
        </w:rPr>
        <w:t xml:space="preserve">EQS: Environmental Quality Standards </w:t>
      </w:r>
    </w:p>
    <w:p w:rsidR="000F7A4E" w:rsidRPr="000F7A4E" w:rsidRDefault="000F7A4E" w:rsidP="000F7A4E">
      <w:pPr>
        <w:spacing w:line="240" w:lineRule="auto"/>
        <w:rPr>
          <w:szCs w:val="21"/>
          <w:lang w:val="en-US"/>
        </w:rPr>
      </w:pPr>
      <w:r w:rsidRPr="000F7A4E">
        <w:rPr>
          <w:szCs w:val="21"/>
          <w:lang w:val="en-US"/>
        </w:rPr>
        <w:lastRenderedPageBreak/>
        <w:t xml:space="preserve"> ETC/ICM:  European Topic Centre on  Inland, Coastal and Marine Waters </w:t>
      </w:r>
    </w:p>
    <w:p w:rsidR="000F7A4E" w:rsidRPr="000F7A4E" w:rsidRDefault="000F7A4E" w:rsidP="000F7A4E">
      <w:pPr>
        <w:spacing w:line="240" w:lineRule="auto"/>
        <w:rPr>
          <w:szCs w:val="21"/>
          <w:lang w:val="en-US"/>
        </w:rPr>
      </w:pPr>
      <w:r w:rsidRPr="000F7A4E">
        <w:rPr>
          <w:szCs w:val="21"/>
          <w:lang w:val="en-US"/>
        </w:rPr>
        <w:t>ETCs: European Topic Centres</w:t>
      </w:r>
    </w:p>
    <w:p w:rsidR="000F7A4E" w:rsidRPr="00F2534A" w:rsidRDefault="000F7A4E" w:rsidP="00987279">
      <w:pPr>
        <w:spacing w:line="240" w:lineRule="auto"/>
        <w:rPr>
          <w:szCs w:val="21"/>
          <w:lang w:val="en-US"/>
        </w:rPr>
      </w:pPr>
      <w:r w:rsidRPr="00F2534A">
        <w:rPr>
          <w:szCs w:val="21"/>
          <w:lang w:val="en-US"/>
        </w:rPr>
        <w:t>GES: Good Environmental Status</w:t>
      </w:r>
    </w:p>
    <w:p w:rsidR="000F7A4E" w:rsidRPr="00F2534A" w:rsidRDefault="000F7A4E" w:rsidP="00987279">
      <w:pPr>
        <w:spacing w:line="240" w:lineRule="auto"/>
        <w:rPr>
          <w:szCs w:val="21"/>
          <w:lang w:val="en-US"/>
        </w:rPr>
      </w:pPr>
      <w:r w:rsidRPr="00F2534A">
        <w:rPr>
          <w:szCs w:val="21"/>
          <w:lang w:val="en-US"/>
        </w:rPr>
        <w:t>HASEC: Hazardous Substances and Eutrophication Committee</w:t>
      </w:r>
    </w:p>
    <w:p w:rsidR="000F7A4E" w:rsidRPr="00F2534A" w:rsidRDefault="000F7A4E" w:rsidP="00987279">
      <w:pPr>
        <w:autoSpaceDE w:val="0"/>
        <w:autoSpaceDN w:val="0"/>
        <w:adjustRightInd w:val="0"/>
        <w:spacing w:line="240" w:lineRule="auto"/>
        <w:rPr>
          <w:szCs w:val="21"/>
          <w:lang w:val="en-US"/>
        </w:rPr>
      </w:pPr>
      <w:r w:rsidRPr="00F2534A">
        <w:rPr>
          <w:szCs w:val="21"/>
          <w:lang w:val="en-US"/>
        </w:rPr>
        <w:t xml:space="preserve">HEAT: The HELCOM Eutrophication Assessment Tool </w:t>
      </w:r>
    </w:p>
    <w:p w:rsidR="000F7A4E" w:rsidRPr="00F2534A" w:rsidRDefault="000F7A4E" w:rsidP="00987279">
      <w:pPr>
        <w:spacing w:line="240" w:lineRule="auto"/>
        <w:rPr>
          <w:szCs w:val="21"/>
          <w:lang w:val="en-US"/>
        </w:rPr>
      </w:pPr>
      <w:r w:rsidRPr="00F2534A">
        <w:rPr>
          <w:szCs w:val="21"/>
          <w:lang w:val="en-US"/>
        </w:rPr>
        <w:t xml:space="preserve">HELCOM MORS EG: HELCOM Monitoring of Radioactive Substances Expert Group </w:t>
      </w:r>
    </w:p>
    <w:p w:rsidR="000F7A4E" w:rsidRPr="00F2534A" w:rsidRDefault="000F7A4E" w:rsidP="00987279">
      <w:pPr>
        <w:spacing w:line="240" w:lineRule="auto"/>
        <w:rPr>
          <w:szCs w:val="21"/>
          <w:lang w:val="mt-MT"/>
        </w:rPr>
      </w:pPr>
      <w:r w:rsidRPr="00F2534A">
        <w:rPr>
          <w:szCs w:val="21"/>
          <w:lang w:val="mt-MT"/>
        </w:rPr>
        <w:t xml:space="preserve">JAMP: OSPAR Joint Assessment and Monitoring Programme </w:t>
      </w:r>
    </w:p>
    <w:p w:rsidR="000F7A4E" w:rsidRPr="00F2534A" w:rsidRDefault="000F7A4E" w:rsidP="00987279">
      <w:pPr>
        <w:spacing w:line="240" w:lineRule="auto"/>
        <w:rPr>
          <w:bCs/>
          <w:szCs w:val="21"/>
          <w:lang w:val="en-US"/>
        </w:rPr>
      </w:pPr>
      <w:r w:rsidRPr="00F2534A">
        <w:rPr>
          <w:bCs/>
          <w:szCs w:val="21"/>
          <w:lang w:val="en-US"/>
        </w:rPr>
        <w:t>LBSA Protocol: Protocol on the Protection of the Marine Environment of the Black Sea from Land-Based Sources and Activities</w:t>
      </w:r>
    </w:p>
    <w:p w:rsidR="000F7A4E" w:rsidRPr="00F2534A" w:rsidRDefault="000F7A4E" w:rsidP="00987279">
      <w:pPr>
        <w:spacing w:line="240" w:lineRule="auto"/>
        <w:rPr>
          <w:szCs w:val="21"/>
          <w:lang w:val="en-US"/>
        </w:rPr>
      </w:pPr>
      <w:r w:rsidRPr="00F2534A">
        <w:rPr>
          <w:szCs w:val="21"/>
          <w:lang w:val="en-US"/>
        </w:rPr>
        <w:t>MAP: Mediterranean Action Plan</w:t>
      </w:r>
    </w:p>
    <w:p w:rsidR="000F7A4E" w:rsidRPr="00F2534A" w:rsidRDefault="000F7A4E" w:rsidP="00987279">
      <w:pPr>
        <w:spacing w:line="240" w:lineRule="auto"/>
        <w:rPr>
          <w:szCs w:val="21"/>
          <w:lang w:val="en-US"/>
        </w:rPr>
      </w:pPr>
      <w:r w:rsidRPr="00F2534A">
        <w:rPr>
          <w:szCs w:val="21"/>
          <w:lang w:val="en-US"/>
        </w:rPr>
        <w:t>MED POL: Programme for the Assessment and Control of Marine Pollution in the Mediterranean Region</w:t>
      </w:r>
    </w:p>
    <w:p w:rsidR="000F7A4E" w:rsidRPr="00F2534A" w:rsidRDefault="000F7A4E" w:rsidP="00987279">
      <w:pPr>
        <w:spacing w:line="240" w:lineRule="auto"/>
        <w:rPr>
          <w:szCs w:val="21"/>
          <w:lang w:val="en-US"/>
        </w:rPr>
      </w:pPr>
      <w:r w:rsidRPr="00F2534A">
        <w:rPr>
          <w:szCs w:val="21"/>
          <w:lang w:val="en-US"/>
        </w:rPr>
        <w:t>MONAS: Monitoring and assessment group</w:t>
      </w:r>
    </w:p>
    <w:p w:rsidR="000F7A4E" w:rsidRPr="00F2534A" w:rsidRDefault="000F7A4E" w:rsidP="00987279">
      <w:pPr>
        <w:spacing w:line="240" w:lineRule="auto"/>
        <w:rPr>
          <w:szCs w:val="21"/>
          <w:lang w:val="en-US"/>
        </w:rPr>
      </w:pPr>
      <w:r w:rsidRPr="00F2534A">
        <w:rPr>
          <w:szCs w:val="21"/>
          <w:lang w:val="en-US"/>
        </w:rPr>
        <w:t>MS: Member State</w:t>
      </w:r>
    </w:p>
    <w:p w:rsidR="000F7A4E" w:rsidRPr="00F2534A" w:rsidRDefault="000F7A4E" w:rsidP="00987279">
      <w:pPr>
        <w:spacing w:line="240" w:lineRule="auto"/>
        <w:rPr>
          <w:szCs w:val="21"/>
          <w:lang w:val="en-US"/>
        </w:rPr>
      </w:pPr>
      <w:r w:rsidRPr="00F2534A">
        <w:rPr>
          <w:szCs w:val="21"/>
          <w:lang w:val="en-US"/>
        </w:rPr>
        <w:t>MSFD: Marine Strategy Framework Directive</w:t>
      </w:r>
    </w:p>
    <w:p w:rsidR="000F7A4E" w:rsidRPr="000F7A4E" w:rsidRDefault="000F7A4E" w:rsidP="000F7A4E">
      <w:pPr>
        <w:spacing w:line="240" w:lineRule="auto"/>
        <w:rPr>
          <w:szCs w:val="21"/>
          <w:lang w:val="en-US"/>
        </w:rPr>
      </w:pPr>
      <w:r w:rsidRPr="000F7A4E">
        <w:rPr>
          <w:szCs w:val="21"/>
          <w:lang w:val="en-US"/>
        </w:rPr>
        <w:t>NFPs:  National Focal Points</w:t>
      </w:r>
    </w:p>
    <w:p w:rsidR="000F7A4E" w:rsidRPr="000F7A4E" w:rsidRDefault="000F7A4E" w:rsidP="000F7A4E">
      <w:pPr>
        <w:spacing w:line="240" w:lineRule="auto"/>
        <w:rPr>
          <w:szCs w:val="21"/>
          <w:lang w:val="en-US"/>
        </w:rPr>
      </w:pPr>
      <w:r w:rsidRPr="000F7A4E">
        <w:rPr>
          <w:szCs w:val="21"/>
          <w:lang w:val="en-US"/>
        </w:rPr>
        <w:t xml:space="preserve">NRCs: National Reference Centres </w:t>
      </w:r>
    </w:p>
    <w:p w:rsidR="000F7A4E" w:rsidRPr="00F2534A" w:rsidRDefault="000F7A4E" w:rsidP="00987279">
      <w:pPr>
        <w:spacing w:line="240" w:lineRule="auto"/>
        <w:rPr>
          <w:szCs w:val="21"/>
          <w:lang w:val="en-US"/>
        </w:rPr>
      </w:pPr>
      <w:r w:rsidRPr="00F2534A">
        <w:rPr>
          <w:szCs w:val="21"/>
          <w:lang w:val="en-US"/>
        </w:rPr>
        <w:t xml:space="preserve">PLC 5.5: HELCOM Pollution Load Compilation 5.5 </w:t>
      </w:r>
    </w:p>
    <w:p w:rsidR="000F7A4E" w:rsidRPr="00F2534A" w:rsidRDefault="000F7A4E" w:rsidP="00987279">
      <w:pPr>
        <w:spacing w:line="240" w:lineRule="auto"/>
        <w:rPr>
          <w:szCs w:val="21"/>
          <w:lang w:val="en-US"/>
        </w:rPr>
      </w:pPr>
      <w:r w:rsidRPr="00F2534A">
        <w:rPr>
          <w:szCs w:val="21"/>
          <w:lang w:val="en-US"/>
        </w:rPr>
        <w:t xml:space="preserve">PLC 6: HELCOM Pollution Load Compilation 6 </w:t>
      </w:r>
    </w:p>
    <w:p w:rsidR="000F7A4E" w:rsidRPr="00F2534A" w:rsidRDefault="000F7A4E" w:rsidP="00987279">
      <w:pPr>
        <w:spacing w:line="240" w:lineRule="auto"/>
        <w:rPr>
          <w:szCs w:val="21"/>
          <w:lang w:val="en-US"/>
        </w:rPr>
      </w:pPr>
      <w:r w:rsidRPr="00F2534A">
        <w:rPr>
          <w:szCs w:val="21"/>
          <w:lang w:val="en-US"/>
        </w:rPr>
        <w:t xml:space="preserve">REMPEC: Regional Marine Pollution Emergency Centre </w:t>
      </w:r>
    </w:p>
    <w:p w:rsidR="000F7A4E" w:rsidRPr="00F2534A" w:rsidRDefault="000F7A4E" w:rsidP="00987279">
      <w:pPr>
        <w:spacing w:line="240" w:lineRule="auto"/>
        <w:rPr>
          <w:szCs w:val="21"/>
          <w:lang w:val="mt-MT"/>
        </w:rPr>
      </w:pPr>
      <w:r w:rsidRPr="00F2534A">
        <w:rPr>
          <w:szCs w:val="21"/>
          <w:lang w:val="mt-MT"/>
        </w:rPr>
        <w:t xml:space="preserve">RID: OSPAR Comprehensive Study of Riverine Inputs and Direct Discharges </w:t>
      </w:r>
    </w:p>
    <w:p w:rsidR="000F7A4E" w:rsidRPr="00F2534A" w:rsidRDefault="000F7A4E" w:rsidP="00987279">
      <w:pPr>
        <w:spacing w:line="240" w:lineRule="auto"/>
        <w:rPr>
          <w:szCs w:val="21"/>
          <w:lang w:val="en-US"/>
        </w:rPr>
      </w:pPr>
      <w:r w:rsidRPr="00F2534A">
        <w:rPr>
          <w:szCs w:val="21"/>
          <w:lang w:val="en-US"/>
        </w:rPr>
        <w:t xml:space="preserve">RSCs: Regional Sea Conventions </w:t>
      </w:r>
    </w:p>
    <w:p w:rsidR="000F7A4E" w:rsidRPr="00F2534A" w:rsidRDefault="000F7A4E" w:rsidP="00987279">
      <w:pPr>
        <w:spacing w:line="240" w:lineRule="auto"/>
        <w:rPr>
          <w:szCs w:val="21"/>
          <w:lang w:val="en-US"/>
        </w:rPr>
      </w:pPr>
      <w:r w:rsidRPr="00F2534A">
        <w:rPr>
          <w:szCs w:val="21"/>
          <w:lang w:val="en-US"/>
        </w:rPr>
        <w:t>WFD: Water Framework Directive</w:t>
      </w:r>
    </w:p>
    <w:p w:rsidR="000F7A4E" w:rsidRDefault="000F7A4E" w:rsidP="00987279">
      <w:pPr>
        <w:spacing w:line="240" w:lineRule="auto"/>
        <w:rPr>
          <w:szCs w:val="21"/>
          <w:lang w:val="en-US"/>
        </w:rPr>
      </w:pPr>
      <w:r w:rsidRPr="00F2534A">
        <w:rPr>
          <w:szCs w:val="21"/>
          <w:lang w:val="en-US"/>
        </w:rPr>
        <w:t>WG DIKE: Working Group on Data, Information, and Knowledge Exchange</w:t>
      </w:r>
    </w:p>
    <w:p w:rsidR="000F7A4E" w:rsidRPr="00F2534A" w:rsidRDefault="000F7A4E" w:rsidP="000F7A4E">
      <w:pPr>
        <w:spacing w:line="240" w:lineRule="auto"/>
        <w:rPr>
          <w:szCs w:val="21"/>
          <w:lang w:val="en-US"/>
        </w:rPr>
      </w:pPr>
      <w:r w:rsidRPr="000F7A4E">
        <w:rPr>
          <w:szCs w:val="21"/>
          <w:lang w:val="en-US"/>
        </w:rPr>
        <w:t>WISE SoE TCM: WISE SoE data on transitional, coastal and marine waters</w:t>
      </w:r>
    </w:p>
    <w:p w:rsidR="00987279" w:rsidRPr="00F2534A" w:rsidRDefault="00987279" w:rsidP="00987279">
      <w:pPr>
        <w:spacing w:line="240" w:lineRule="auto"/>
        <w:rPr>
          <w:szCs w:val="21"/>
          <w:lang w:val="en-US"/>
        </w:rPr>
      </w:pPr>
    </w:p>
    <w:p w:rsidR="00987279" w:rsidRPr="00987279" w:rsidRDefault="00987279" w:rsidP="00987279">
      <w:pPr>
        <w:spacing w:line="240" w:lineRule="auto"/>
        <w:rPr>
          <w:lang w:val="en-US"/>
        </w:rPr>
      </w:pPr>
    </w:p>
    <w:p w:rsidR="00987279" w:rsidRPr="002C3E00" w:rsidRDefault="00987279" w:rsidP="00987279">
      <w:pPr>
        <w:spacing w:line="240" w:lineRule="auto"/>
      </w:pPr>
    </w:p>
    <w:p w:rsidR="00987279" w:rsidRPr="00987279" w:rsidRDefault="00987279" w:rsidP="00987279">
      <w:pPr>
        <w:spacing w:line="240" w:lineRule="auto"/>
      </w:pPr>
    </w:p>
    <w:p w:rsidR="00987279" w:rsidRDefault="00987279" w:rsidP="00987279">
      <w:pPr>
        <w:spacing w:line="240" w:lineRule="auto"/>
      </w:pPr>
    </w:p>
    <w:p w:rsidR="00987279" w:rsidRDefault="00987279" w:rsidP="00987279">
      <w:pPr>
        <w:spacing w:line="240" w:lineRule="auto"/>
        <w:sectPr w:rsidR="00987279" w:rsidSect="00FC64E6">
          <w:type w:val="oddPage"/>
          <w:pgSz w:w="11906" w:h="16838" w:code="9"/>
          <w:pgMar w:top="2552" w:right="1094" w:bottom="1077" w:left="2098" w:header="822" w:footer="198" w:gutter="0"/>
          <w:cols w:space="708"/>
          <w:docGrid w:linePitch="360"/>
        </w:sectPr>
      </w:pPr>
    </w:p>
    <w:p w:rsidR="00987279" w:rsidRDefault="00967EB6" w:rsidP="00967EB6">
      <w:pPr>
        <w:pStyle w:val="Heading6"/>
        <w:numPr>
          <w:ilvl w:val="0"/>
          <w:numId w:val="0"/>
        </w:numPr>
        <w:spacing w:before="0" w:after="0"/>
      </w:pPr>
      <w:bookmarkStart w:id="65" w:name="bmApp1"/>
      <w:bookmarkStart w:id="66" w:name="_Toc384815510"/>
      <w:bookmarkEnd w:id="65"/>
      <w:r>
        <w:lastRenderedPageBreak/>
        <w:t>A1    Overview</w:t>
      </w:r>
      <w:r w:rsidR="00987279" w:rsidRPr="00987279">
        <w:t xml:space="preserve"> </w:t>
      </w:r>
      <w:r w:rsidR="00DA6437">
        <w:t xml:space="preserve">and inventory </w:t>
      </w:r>
      <w:r w:rsidR="00987279" w:rsidRPr="00987279">
        <w:t xml:space="preserve">of RSCs data streams on eutrophication </w:t>
      </w:r>
      <w:bookmarkEnd w:id="66"/>
    </w:p>
    <w:p w:rsidR="00967EB6" w:rsidRPr="00967EB6" w:rsidRDefault="00967EB6" w:rsidP="00967EB6">
      <w:pPr>
        <w:rPr>
          <w:b/>
          <w:sz w:val="30"/>
          <w:szCs w:val="30"/>
        </w:rPr>
      </w:pPr>
      <w:r w:rsidRPr="00967EB6">
        <w:rPr>
          <w:b/>
          <w:sz w:val="30"/>
          <w:szCs w:val="30"/>
        </w:rPr>
        <w:t>A2</w:t>
      </w:r>
      <w:r>
        <w:rPr>
          <w:b/>
          <w:sz w:val="30"/>
          <w:szCs w:val="30"/>
        </w:rPr>
        <w:t xml:space="preserve"> </w:t>
      </w:r>
      <w:r w:rsidRPr="00967EB6">
        <w:rPr>
          <w:b/>
          <w:sz w:val="30"/>
          <w:szCs w:val="30"/>
        </w:rPr>
        <w:t xml:space="preserve">Overview </w:t>
      </w:r>
      <w:r w:rsidR="00DA6437">
        <w:rPr>
          <w:b/>
          <w:sz w:val="30"/>
          <w:szCs w:val="30"/>
        </w:rPr>
        <w:t xml:space="preserve">and inventory </w:t>
      </w:r>
      <w:r w:rsidRPr="00967EB6">
        <w:rPr>
          <w:b/>
          <w:sz w:val="30"/>
          <w:szCs w:val="30"/>
        </w:rPr>
        <w:t>of RSCs data streams on hazardous substances</w:t>
      </w:r>
    </w:p>
    <w:sectPr w:rsidR="00967EB6" w:rsidRPr="00967EB6" w:rsidSect="00FC64E6">
      <w:footerReference w:type="even" r:id="rId55"/>
      <w:footerReference w:type="default" r:id="rId56"/>
      <w:type w:val="oddPage"/>
      <w:pgSz w:w="11906" w:h="16838" w:code="9"/>
      <w:pgMar w:top="2552" w:right="1094" w:bottom="1077" w:left="2098" w:header="822" w:footer="198" w:gutter="0"/>
      <w:pgNumType w:start="1" w:chapStyle="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74CE" w:rsidRDefault="002F74CE">
      <w:r>
        <w:separator/>
      </w:r>
    </w:p>
  </w:endnote>
  <w:endnote w:type="continuationSeparator" w:id="1">
    <w:p w:rsidR="002F74CE" w:rsidRDefault="002F74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Math">
    <w:panose1 w:val="02040503050406030204"/>
    <w:charset w:val="A1"/>
    <w:family w:val="roman"/>
    <w:pitch w:val="variable"/>
    <w:sig w:usb0="E00002FF" w:usb1="420024FF" w:usb2="00000000" w:usb3="00000000" w:csb0="0000019F" w:csb1="00000000"/>
  </w:font>
  <w:font w:name="MyriadPro-Regular">
    <w:altName w:val="Arial Unicode MS"/>
    <w:panose1 w:val="00000000000000000000"/>
    <w:charset w:val="80"/>
    <w:family w:val="swiss"/>
    <w:notTrueType/>
    <w:pitch w:val="default"/>
    <w:sig w:usb0="00000000" w:usb1="08070000" w:usb2="00000010" w:usb3="00000000" w:csb0="00020000"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413" w:type="dxa"/>
      <w:tblLayout w:type="fixed"/>
      <w:tblCellMar>
        <w:left w:w="0" w:type="dxa"/>
        <w:right w:w="0" w:type="dxa"/>
      </w:tblCellMar>
      <w:tblLook w:val="0000"/>
    </w:tblPr>
    <w:tblGrid>
      <w:gridCol w:w="8413"/>
    </w:tblGrid>
    <w:tr w:rsidR="006B0FAE">
      <w:tc>
        <w:tcPr>
          <w:tcW w:w="8413" w:type="dxa"/>
          <w:shd w:val="clear" w:color="auto" w:fill="auto"/>
        </w:tcPr>
        <w:p w:rsidR="006B0FAE" w:rsidRDefault="006B0FAE" w:rsidP="00817CCC">
          <w:pPr>
            <w:pStyle w:val="Huisstijl-Gegeven"/>
          </w:pPr>
          <w:bookmarkStart w:id="3" w:name="bmProject1" w:colFirst="0" w:colLast="0"/>
          <w:r>
            <w:t>1208955-002</w:t>
          </w:r>
          <w:bookmarkEnd w:id="3"/>
        </w:p>
      </w:tc>
    </w:tr>
  </w:tbl>
  <w:p w:rsidR="006B0FAE" w:rsidRDefault="006B0FAE" w:rsidP="00E43C26"/>
  <w:p w:rsidR="006B0FAE" w:rsidRDefault="006B0FAE" w:rsidP="00E43C26"/>
  <w:p w:rsidR="006B0FAE" w:rsidRDefault="006B0FAE" w:rsidP="00E43C26"/>
  <w:p w:rsidR="006B0FAE" w:rsidRDefault="006B0FAE" w:rsidP="00E43C26"/>
  <w:tbl>
    <w:tblPr>
      <w:tblW w:w="8420" w:type="dxa"/>
      <w:tblLayout w:type="fixed"/>
      <w:tblCellMar>
        <w:left w:w="0" w:type="dxa"/>
        <w:right w:w="0" w:type="dxa"/>
      </w:tblCellMar>
      <w:tblLook w:val="0000"/>
    </w:tblPr>
    <w:tblGrid>
      <w:gridCol w:w="8420"/>
    </w:tblGrid>
    <w:tr w:rsidR="006B0FAE">
      <w:tc>
        <w:tcPr>
          <w:tcW w:w="8420" w:type="dxa"/>
          <w:shd w:val="clear" w:color="auto" w:fill="auto"/>
        </w:tcPr>
        <w:p w:rsidR="006B0FAE" w:rsidRPr="000B5D5D" w:rsidRDefault="006B0FAE" w:rsidP="00E43C26">
          <w:pPr>
            <w:pStyle w:val="Huisstijl-Voettekst"/>
          </w:pPr>
          <w:bookmarkStart w:id="4" w:name="bmCopyrightSectie1_1" w:colFirst="0" w:colLast="0"/>
          <w:bookmarkStart w:id="5" w:name="bmReportCmdVersion" w:colFirst="0" w:colLast="0"/>
          <w:r>
            <w:t>© Deltares, 2014, B</w:t>
          </w:r>
          <w:bookmarkEnd w:id="4"/>
          <w:bookmarkEnd w:id="5"/>
        </w:p>
      </w:tc>
    </w:tr>
  </w:tbl>
  <w:p w:rsidR="006B0FAE" w:rsidRDefault="006B0FAE" w:rsidP="00E43C26">
    <w:pPr>
      <w:pStyle w:val="Footer"/>
    </w:pPr>
  </w:p>
  <w:p w:rsidR="006B0FAE" w:rsidRDefault="006B0FAE" w:rsidP="00E43C26">
    <w:pPr>
      <w:pStyle w:val="Footer"/>
    </w:pPr>
  </w:p>
  <w:p w:rsidR="006B0FAE" w:rsidRDefault="006B0FAE" w:rsidP="00E43C26">
    <w:pPr>
      <w:pStyle w:val="Footer"/>
    </w:pPr>
  </w:p>
  <w:p w:rsidR="006B0FAE" w:rsidRPr="008F1D52" w:rsidRDefault="006B0FAE" w:rsidP="00E43C26">
    <w:pPr>
      <w:pStyle w:val="Footer"/>
    </w:pPr>
    <w:r w:rsidRPr="000E1715">
      <w:fldChar w:fldCharType="begin"/>
    </w:r>
    <w:r w:rsidRPr="000E1715">
      <w:instrText xml:space="preserve"> set Seq</w:instrText>
    </w:r>
    <w:r>
      <w:instrText>1</w:instrText>
    </w:r>
    <w:r w:rsidRPr="000E1715">
      <w:instrText xml:space="preserve"> "</w:instrText>
    </w:r>
    <w:fldSimple w:instr=" SECTIONPAGES  ">
      <w:r w:rsidR="000F7A4E">
        <w:rPr>
          <w:noProof/>
        </w:rPr>
        <w:instrText>3</w:instrText>
      </w:r>
    </w:fldSimple>
    <w:r w:rsidRPr="000E1715">
      <w:instrText>"</w:instrText>
    </w:r>
    <w:r w:rsidRPr="000E1715">
      <w:fldChar w:fldCharType="separate"/>
    </w:r>
    <w:bookmarkStart w:id="6" w:name="Seq1"/>
    <w:r w:rsidR="000F7A4E">
      <w:rPr>
        <w:noProof/>
      </w:rPr>
      <w:t>3</w:t>
    </w:r>
    <w:bookmarkEnd w:id="6"/>
    <w:r w:rsidRPr="000E1715">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6C06A2">
    <w:pPr>
      <w:pStyle w:val="Footer"/>
    </w:pPr>
    <w:r w:rsidRPr="008135ED">
      <w:rPr>
        <w:noProof/>
        <w:lang w:eastAsia="en-GB"/>
      </w:rPr>
      <w:pict>
        <v:shapetype id="_x0000_t202" coordsize="21600,21600" o:spt="202" path="m,l,21600r21600,l21600,xe">
          <v:stroke joinstyle="miter"/>
          <v:path gradientshapeok="t" o:connecttype="rect"/>
        </v:shapetype>
        <v:shape id="_x0000_s4098" type="#_x0000_t202" style="position:absolute;left:0;text-align:left;margin-left:-10.1pt;margin-top:9.05pt;width:90pt;height:21.5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cvwIAAMM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" filled="f" stroked="f">
          <v:textbox>
            <w:txbxContent>
              <w:p w:rsidR="006B0FAE" w:rsidRDefault="006B0FAE" w:rsidP="006C06A2">
                <w:r>
                  <w:rPr>
                    <w:noProof/>
                    <w:sz w:val="17"/>
                  </w:rPr>
                  <w:fldChar w:fldCharType="begin"/>
                </w:r>
                <w:r>
                  <w:rPr>
                    <w:noProof/>
                    <w:sz w:val="17"/>
                  </w:rPr>
                  <w:instrText xml:space="preserve"> PAGE  \* MERGEFORMAT </w:instrText>
                </w:r>
                <w:r>
                  <w:rPr>
                    <w:noProof/>
                    <w:sz w:val="17"/>
                  </w:rPr>
                  <w:fldChar w:fldCharType="separate"/>
                </w:r>
                <w:r>
                  <w:rPr>
                    <w:noProof/>
                    <w:sz w:val="17"/>
                  </w:rPr>
                  <w:t>A-4</w:t>
                </w:r>
                <w:r>
                  <w:rPr>
                    <w:noProof/>
                    <w:sz w:val="17"/>
                  </w:rPr>
                  <w:fldChar w:fldCharType="end"/>
                </w:r>
              </w:p>
            </w:txbxContent>
          </v:textbox>
          <w10:wrap anchorx="margin"/>
        </v:shape>
      </w:pict>
    </w:r>
  </w:p>
  <w:tbl>
    <w:tblPr>
      <w:tblW w:w="12067" w:type="dxa"/>
      <w:tblInd w:w="1683" w:type="dxa"/>
      <w:tblLayout w:type="fixed"/>
      <w:tblCellMar>
        <w:left w:w="0" w:type="dxa"/>
        <w:right w:w="0" w:type="dxa"/>
      </w:tblCellMar>
      <w:tblLook w:val="0000"/>
    </w:tblPr>
    <w:tblGrid>
      <w:gridCol w:w="12067"/>
    </w:tblGrid>
    <w:tr w:rsidR="006B0FAE" w:rsidRPr="004C2206" w:rsidTr="00A82751">
      <w:tc>
        <w:tcPr>
          <w:tcW w:w="12067" w:type="dxa"/>
          <w:shd w:val="clear" w:color="auto" w:fill="auto"/>
          <w:tcMar>
            <w:right w:w="28" w:type="dxa"/>
          </w:tcMar>
        </w:tcPr>
        <w:p w:rsidR="006B0FAE" w:rsidRPr="004C2206" w:rsidRDefault="006B0FAE" w:rsidP="000C47B4">
          <w:pPr>
            <w:pStyle w:val="Huisstijl-Koptekst"/>
            <w:ind w:right="935"/>
          </w:pPr>
          <w:fldSimple w:instr=" DOCVARIABLE VoettekstBijlage \* MERGEFORMAT ">
            <w:r>
              <w:t>Development of a shared data and information system between the EU and the Regional Sea Conventions - Regional Sea Conventions data flows for eutrophication and hazardous substances</w:t>
            </w:r>
          </w:fldSimple>
        </w:p>
      </w:tc>
    </w:tr>
  </w:tbl>
  <w:p w:rsidR="006B0FAE" w:rsidRPr="006C06A2" w:rsidRDefault="006B0FAE" w:rsidP="006C06A2">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1220C3">
    <w:pPr>
      <w:pStyle w:val="Footer"/>
    </w:pPr>
    <w:r w:rsidRPr="008135ED">
      <w:rPr>
        <w:noProof/>
        <w:lang w:eastAsia="en-GB"/>
      </w:rPr>
      <w:pict>
        <v:shapetype id="_x0000_t202" coordsize="21600,21600" o:spt="202" path="m,l,21600r21600,l21600,xe">
          <v:stroke joinstyle="miter"/>
          <v:path gradientshapeok="t" o:connecttype="rect"/>
        </v:shapetype>
        <v:shape id="_x0000_s4097" type="#_x0000_t202" style="position:absolute;left:0;text-align:left;margin-left:-136.3pt;margin-top:9.05pt;width:19.15pt;height:20.5pt;z-index:251667456;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" filled="f" stroked="f">
          <v:textbox>
            <w:txbxContent>
              <w:p w:rsidR="006B0FAE" w:rsidRDefault="006B0FAE" w:rsidP="001220C3">
                <w:r>
                  <w:rPr>
                    <w:noProof/>
                    <w:sz w:val="17"/>
                  </w:rPr>
                  <w:fldChar w:fldCharType="begin"/>
                </w:r>
                <w:r>
                  <w:rPr>
                    <w:noProof/>
                    <w:sz w:val="17"/>
                  </w:rPr>
                  <w:instrText xml:space="preserve"> PAGE  \* MERGEFORMAT </w:instrText>
                </w:r>
                <w:r>
                  <w:rPr>
                    <w:noProof/>
                    <w:sz w:val="17"/>
                  </w:rPr>
                  <w:fldChar w:fldCharType="separate"/>
                </w:r>
                <w:r w:rsidR="000F7A4E">
                  <w:rPr>
                    <w:noProof/>
                    <w:sz w:val="17"/>
                  </w:rPr>
                  <w:t>6-1</w:t>
                </w:r>
                <w:r>
                  <w:rPr>
                    <w:noProof/>
                    <w:sz w:val="17"/>
                  </w:rPr>
                  <w:fldChar w:fldCharType="end"/>
                </w:r>
              </w:p>
            </w:txbxContent>
          </v:textbox>
          <w10:wrap anchorx="margin"/>
        </v:shape>
      </w:pict>
    </w:r>
  </w:p>
  <w:tbl>
    <w:tblPr>
      <w:tblW w:w="0" w:type="auto"/>
      <w:tblLayout w:type="fixed"/>
      <w:tblCellMar>
        <w:left w:w="0" w:type="dxa"/>
        <w:right w:w="0" w:type="dxa"/>
      </w:tblCellMar>
      <w:tblLook w:val="0000"/>
    </w:tblPr>
    <w:tblGrid>
      <w:gridCol w:w="6804"/>
    </w:tblGrid>
    <w:tr w:rsidR="006B0FAE" w:rsidRPr="004C2206" w:rsidTr="004768CC">
      <w:tc>
        <w:tcPr>
          <w:tcW w:w="6804" w:type="dxa"/>
          <w:shd w:val="clear" w:color="auto" w:fill="auto"/>
        </w:tcPr>
        <w:bookmarkStart w:id="67" w:name="bmVoettekstBijlage" w:colFirst="0" w:colLast="0"/>
        <w:p w:rsidR="006B0FAE" w:rsidRPr="004C2206" w:rsidRDefault="006B0FAE" w:rsidP="001220C3">
          <w:pPr>
            <w:pStyle w:val="Huisstijl-Koptekst"/>
          </w:pPr>
          <w:r>
            <w:fldChar w:fldCharType="begin"/>
          </w:r>
          <w:r>
            <w:instrText xml:space="preserve"> DOCVARIABLE VoettekstBijlage \* MERGEFORMAT </w:instrText>
          </w:r>
          <w:r>
            <w:fldChar w:fldCharType="separate"/>
          </w:r>
          <w:r>
            <w:t>Development of a shared data and information system between the EU and the Regional Sea Conventions - Regional Sea Conventions data flows for eutrophication and hazardous substances</w:t>
          </w:r>
          <w:r>
            <w:fldChar w:fldCharType="end"/>
          </w:r>
          <w:bookmarkEnd w:id="67"/>
        </w:p>
      </w:tc>
    </w:tr>
  </w:tbl>
  <w:p w:rsidR="006B0FAE" w:rsidRPr="00EB7C9E" w:rsidRDefault="006B0FAE" w:rsidP="009416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E43C26">
    <w:pPr>
      <w:pStyle w:val="Footer"/>
    </w:pPr>
  </w:p>
  <w:p w:rsidR="006B0FAE" w:rsidRDefault="006B0FAE" w:rsidP="00E43C26">
    <w:pPr>
      <w:pStyle w:val="Footer"/>
    </w:pPr>
  </w:p>
  <w:p w:rsidR="006B0FAE" w:rsidRDefault="006B0FAE" w:rsidP="00E43C26">
    <w:pPr>
      <w:pStyle w:val="Footer"/>
    </w:pPr>
  </w:p>
  <w:p w:rsidR="006B0FAE" w:rsidRDefault="006B0FAE" w:rsidP="00E43C26">
    <w:pPr>
      <w:pStyle w:val="Footer"/>
    </w:pPr>
  </w:p>
  <w:p w:rsidR="006B0FAE" w:rsidRPr="00E43C26" w:rsidRDefault="006B0FAE" w:rsidP="00E43C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6A0A14">
    <w:pPr>
      <w:pStyle w:val="Footer"/>
      <w:ind w:right="360"/>
    </w:pPr>
  </w:p>
  <w:tbl>
    <w:tblPr>
      <w:tblW w:w="0" w:type="auto"/>
      <w:tblLayout w:type="fixed"/>
      <w:tblCellMar>
        <w:left w:w="0" w:type="dxa"/>
        <w:right w:w="0" w:type="dxa"/>
      </w:tblCellMar>
      <w:tblLook w:val="0000"/>
    </w:tblPr>
    <w:tblGrid>
      <w:gridCol w:w="7656"/>
      <w:gridCol w:w="766"/>
    </w:tblGrid>
    <w:tr w:rsidR="006B0FAE" w:rsidRPr="004C2206">
      <w:tc>
        <w:tcPr>
          <w:tcW w:w="7656" w:type="dxa"/>
          <w:shd w:val="clear" w:color="auto" w:fill="auto"/>
        </w:tcPr>
        <w:p w:rsidR="006B0FAE" w:rsidRPr="004C2206" w:rsidRDefault="006B0FAE" w:rsidP="00A22DA3">
          <w:pPr>
            <w:pStyle w:val="Huisstijl-Koptekst"/>
          </w:pPr>
          <w:bookmarkStart w:id="17" w:name="bmVoettekstSectie2_2" w:colFirst="0" w:colLast="0"/>
          <w:r>
            <w:t>Development of a shared data and information system between the EU and the Regional Sea Conventions - Regional Sea Conventions data flows for eutrophication and hazardous substances</w:t>
          </w:r>
          <w:bookmarkEnd w:id="17"/>
        </w:p>
      </w:tc>
      <w:tc>
        <w:tcPr>
          <w:tcW w:w="766" w:type="dxa"/>
        </w:tcPr>
        <w:p w:rsidR="006B0FAE" w:rsidRPr="00B32B0E" w:rsidRDefault="006B0FAE" w:rsidP="00A22DA3">
          <w:pPr>
            <w:pStyle w:val="Huisstijl-Pagina"/>
          </w:pPr>
        </w:p>
      </w:tc>
    </w:tr>
  </w:tbl>
  <w:p w:rsidR="006B0FAE" w:rsidRPr="00A22DA3" w:rsidRDefault="006B0FAE" w:rsidP="00A22D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6A0A14">
    <w:pPr>
      <w:pStyle w:val="Footer"/>
      <w:ind w:right="360"/>
    </w:pPr>
  </w:p>
  <w:tbl>
    <w:tblPr>
      <w:tblW w:w="0" w:type="auto"/>
      <w:tblLayout w:type="fixed"/>
      <w:tblCellMar>
        <w:left w:w="0" w:type="dxa"/>
        <w:right w:w="0" w:type="dxa"/>
      </w:tblCellMar>
      <w:tblLook w:val="0000"/>
    </w:tblPr>
    <w:tblGrid>
      <w:gridCol w:w="7656"/>
      <w:gridCol w:w="766"/>
    </w:tblGrid>
    <w:tr w:rsidR="006B0FAE" w:rsidRPr="004C2206">
      <w:tc>
        <w:tcPr>
          <w:tcW w:w="7656" w:type="dxa"/>
          <w:shd w:val="clear" w:color="auto" w:fill="auto"/>
        </w:tcPr>
        <w:p w:rsidR="006B0FAE" w:rsidRPr="004C2206" w:rsidRDefault="006B0FAE" w:rsidP="00E43C26">
          <w:pPr>
            <w:pStyle w:val="Huisstijl-Koptekst"/>
          </w:pPr>
          <w:bookmarkStart w:id="18" w:name="bmVoettekstSectie2_1" w:colFirst="0" w:colLast="0"/>
          <w:r>
            <w:t>Development of a shared data and information system between the EU and the Regional Sea Conventions - Regional Sea Conventions data flows for eutrophication and hazardous substances</w:t>
          </w:r>
          <w:bookmarkEnd w:id="18"/>
        </w:p>
      </w:tc>
      <w:tc>
        <w:tcPr>
          <w:tcW w:w="766" w:type="dxa"/>
        </w:tcPr>
        <w:p w:rsidR="006B0FAE" w:rsidRPr="00B32B0E" w:rsidRDefault="006B0FAE" w:rsidP="00E43C26">
          <w:pPr>
            <w:pStyle w:val="Huisstijl-Pagina"/>
          </w:pPr>
        </w:p>
      </w:tc>
    </w:tr>
  </w:tbl>
  <w:p w:rsidR="006B0FAE" w:rsidRPr="00EB7C9E" w:rsidRDefault="006B0FAE" w:rsidP="00E43C26">
    <w:pPr>
      <w:pStyle w:val="Footer"/>
    </w:pPr>
    <w:r w:rsidRPr="000E1715">
      <w:fldChar w:fldCharType="begin"/>
    </w:r>
    <w:r w:rsidRPr="000E1715">
      <w:instrText xml:space="preserve"> set Seq</w:instrText>
    </w:r>
    <w:r>
      <w:instrText>2</w:instrText>
    </w:r>
    <w:r w:rsidRPr="000E1715">
      <w:instrText xml:space="preserve"> "</w:instrText>
    </w:r>
    <w:fldSimple w:instr=" SECTIONPAGES  ">
      <w:r w:rsidR="000F7A4E">
        <w:rPr>
          <w:noProof/>
        </w:rPr>
        <w:instrText>1</w:instrText>
      </w:r>
    </w:fldSimple>
    <w:r w:rsidRPr="000E1715">
      <w:instrText>"</w:instrText>
    </w:r>
    <w:r w:rsidRPr="000E1715">
      <w:fldChar w:fldCharType="separate"/>
    </w:r>
    <w:bookmarkStart w:id="19" w:name="Seq2"/>
    <w:r w:rsidR="000F7A4E">
      <w:rPr>
        <w:noProof/>
      </w:rPr>
      <w:t>1</w:t>
    </w:r>
    <w:bookmarkEnd w:id="19"/>
    <w:r w:rsidRPr="000E1715">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E43C26">
    <w:pPr>
      <w:pStyle w:val="Footer"/>
    </w:pPr>
  </w:p>
  <w:tbl>
    <w:tblPr>
      <w:tblW w:w="0" w:type="auto"/>
      <w:tblLayout w:type="fixed"/>
      <w:tblCellMar>
        <w:left w:w="0" w:type="dxa"/>
        <w:right w:w="0" w:type="dxa"/>
      </w:tblCellMar>
      <w:tblLook w:val="0000"/>
    </w:tblPr>
    <w:tblGrid>
      <w:gridCol w:w="7656"/>
      <w:gridCol w:w="766"/>
    </w:tblGrid>
    <w:tr w:rsidR="006B0FAE" w:rsidRPr="004C2206">
      <w:tc>
        <w:tcPr>
          <w:tcW w:w="7656" w:type="dxa"/>
          <w:shd w:val="clear" w:color="auto" w:fill="auto"/>
        </w:tcPr>
        <w:p w:rsidR="006B0FAE" w:rsidRPr="004C2206" w:rsidRDefault="006B0FAE" w:rsidP="00E43C26">
          <w:pPr>
            <w:pStyle w:val="Huisstijl-Koptekst"/>
          </w:pPr>
        </w:p>
      </w:tc>
      <w:tc>
        <w:tcPr>
          <w:tcW w:w="766" w:type="dxa"/>
        </w:tcPr>
        <w:p w:rsidR="006B0FAE" w:rsidRPr="00B32B0E" w:rsidRDefault="006B0FAE" w:rsidP="00E43C26">
          <w:pPr>
            <w:pStyle w:val="Huisstijl-Pagina"/>
          </w:pPr>
        </w:p>
      </w:tc>
    </w:tr>
  </w:tbl>
  <w:p w:rsidR="006B0FAE" w:rsidRPr="00EB7C9E" w:rsidRDefault="006B0FAE" w:rsidP="00E43C2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4E27A9">
    <w:pPr>
      <w:pStyle w:val="Footer"/>
      <w:ind w:right="360"/>
    </w:pPr>
    <w:r w:rsidRPr="008135ED">
      <w:rPr>
        <w:noProof/>
        <w:lang w:eastAsia="en-GB"/>
      </w:rPr>
      <w:pict>
        <v:shapetype id="_x0000_t202" coordsize="21600,21600" o:spt="202" path="m,l,21600r21600,l21600,xe">
          <v:stroke joinstyle="miter"/>
          <v:path gradientshapeok="t" o:connecttype="rect"/>
        </v:shapetype>
        <v:shape id="Text Box 43" o:spid="_x0000_s4105" type="#_x0000_t202" style="position:absolute;left:0;text-align:left;margin-left:44.8pt;margin-top:9.35pt;width:392.35pt;height:21.5pt;z-index:2516643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c7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" filled="f" stroked="f">
          <v:textbox>
            <w:txbxContent>
              <w:tbl>
                <w:tblPr>
                  <w:tblW w:w="7784" w:type="dxa"/>
                  <w:tblInd w:w="-84" w:type="dxa"/>
                  <w:tblLayout w:type="fixed"/>
                  <w:tblCellMar>
                    <w:left w:w="0" w:type="dxa"/>
                    <w:right w:w="0" w:type="dxa"/>
                  </w:tblCellMar>
                  <w:tblLook w:val="0000"/>
                </w:tblPr>
                <w:tblGrid>
                  <w:gridCol w:w="7784"/>
                </w:tblGrid>
                <w:tr w:rsidR="006B0FAE">
                  <w:tc>
                    <w:tcPr>
                      <w:tcW w:w="7784" w:type="dxa"/>
                      <w:shd w:val="clear" w:color="auto" w:fill="auto"/>
                    </w:tcPr>
                    <w:p w:rsidR="006B0FAE" w:rsidRDefault="006B0FAE" w:rsidP="001220C3">
                      <w:pPr>
                        <w:pStyle w:val="Huisstijl-Koptekst"/>
                        <w:jc w:val="right"/>
                      </w:pPr>
                      <w:bookmarkStart w:id="26" w:name="bmVoettekstSectie3_2" w:colFirst="0" w:colLast="0"/>
                      <w:r>
                        <w:t>Development of a shared data and information system between the EU and the Regional Sea Conventions - Regional Sea Conventions data flows for eutrophication and hazardous substances</w:t>
                      </w:r>
                    </w:p>
                  </w:tc>
                </w:tr>
                <w:bookmarkEnd w:id="26"/>
              </w:tbl>
              <w:p w:rsidR="006B0FAE" w:rsidRDefault="006B0FAE" w:rsidP="00A45B92"/>
            </w:txbxContent>
          </v:textbox>
          <w10:wrap anchorx="margin"/>
        </v:shape>
      </w:pict>
    </w:r>
  </w:p>
  <w:tbl>
    <w:tblPr>
      <w:tblW w:w="0" w:type="auto"/>
      <w:tblLayout w:type="fixed"/>
      <w:tblCellMar>
        <w:left w:w="0" w:type="dxa"/>
        <w:right w:w="0" w:type="dxa"/>
      </w:tblCellMar>
      <w:tblLook w:val="0000"/>
    </w:tblPr>
    <w:tblGrid>
      <w:gridCol w:w="854"/>
    </w:tblGrid>
    <w:tr w:rsidR="006B0FAE" w:rsidRPr="004C2206">
      <w:tc>
        <w:tcPr>
          <w:tcW w:w="854" w:type="dxa"/>
        </w:tcPr>
        <w:p w:rsidR="006B0FAE" w:rsidRPr="00A21DE8" w:rsidRDefault="006B0FAE" w:rsidP="00A45B92">
          <w:pPr>
            <w:pStyle w:val="Huisstijl-Pagina"/>
            <w:jc w:val="left"/>
          </w:pPr>
          <w:fldSimple w:instr=" PAGE">
            <w:r>
              <w:t>ii</w:t>
            </w:r>
          </w:fldSimple>
        </w:p>
      </w:tc>
    </w:tr>
  </w:tbl>
  <w:p w:rsidR="006B0FAE" w:rsidRPr="00B24026" w:rsidRDefault="006B0FAE" w:rsidP="00A45B92">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8B1324">
    <w:pPr>
      <w:pStyle w:val="Footer"/>
      <w:ind w:right="360"/>
    </w:pPr>
    <w:r w:rsidRPr="008135ED">
      <w:rPr>
        <w:noProof/>
        <w:lang w:eastAsia="en-GB"/>
      </w:rPr>
      <w:pict>
        <v:shapetype id="_x0000_t202" coordsize="21600,21600" o:spt="202" path="m,l,21600r21600,l21600,xe">
          <v:stroke joinstyle="miter"/>
          <v:path gradientshapeok="t" o:connecttype="rect"/>
        </v:shapetype>
        <v:shape id="Text Box 42" o:spid="_x0000_s4104" type="#_x0000_t202" style="position:absolute;left:0;text-align:left;margin-left:133.7pt;margin-top:9.05pt;width:64.15pt;height:20.5pt;z-index:251663360;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byyuAIAAL8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" filled="f" stroked="f">
          <v:textbox>
            <w:txbxContent>
              <w:tbl>
                <w:tblPr>
                  <w:tblW w:w="1094" w:type="dxa"/>
                  <w:tblInd w:w="-14" w:type="dxa"/>
                  <w:tblLayout w:type="fixed"/>
                  <w:tblCellMar>
                    <w:left w:w="0" w:type="dxa"/>
                    <w:right w:w="0" w:type="dxa"/>
                  </w:tblCellMar>
                  <w:tblLook w:val="0000"/>
                </w:tblPr>
                <w:tblGrid>
                  <w:gridCol w:w="1094"/>
                </w:tblGrid>
                <w:tr w:rsidR="006B0FAE">
                  <w:tc>
                    <w:tcPr>
                      <w:tcW w:w="1094" w:type="dxa"/>
                      <w:shd w:val="clear" w:color="auto" w:fill="auto"/>
                      <w:tcMar>
                        <w:right w:w="85" w:type="dxa"/>
                      </w:tcMar>
                    </w:tcPr>
                    <w:p w:rsidR="006B0FAE" w:rsidRPr="007D5040" w:rsidRDefault="006B0FAE" w:rsidP="004E27A9">
                      <w:pPr>
                        <w:pStyle w:val="Huisstijl-Pagina"/>
                      </w:pPr>
                      <w:fldSimple w:instr=" PAGE">
                        <w:r w:rsidR="000F7A4E">
                          <w:t>i</w:t>
                        </w:r>
                      </w:fldSimple>
                    </w:p>
                  </w:tc>
                </w:tr>
              </w:tbl>
              <w:p w:rsidR="006B0FAE" w:rsidRDefault="006B0FAE" w:rsidP="006A0A14"/>
            </w:txbxContent>
          </v:textbox>
          <w10:wrap anchorx="margin"/>
        </v:shape>
      </w:pict>
    </w:r>
  </w:p>
  <w:tbl>
    <w:tblPr>
      <w:tblW w:w="0" w:type="auto"/>
      <w:tblLayout w:type="fixed"/>
      <w:tblCellMar>
        <w:left w:w="0" w:type="dxa"/>
        <w:right w:w="0" w:type="dxa"/>
      </w:tblCellMar>
      <w:tblLook w:val="0000"/>
    </w:tblPr>
    <w:tblGrid>
      <w:gridCol w:w="7371"/>
    </w:tblGrid>
    <w:tr w:rsidR="006B0FAE" w:rsidRPr="004C2206">
      <w:tc>
        <w:tcPr>
          <w:tcW w:w="7371" w:type="dxa"/>
          <w:shd w:val="clear" w:color="auto" w:fill="auto"/>
        </w:tcPr>
        <w:p w:rsidR="006B0FAE" w:rsidRPr="004C2206" w:rsidRDefault="006B0FAE" w:rsidP="006A0A14">
          <w:pPr>
            <w:pStyle w:val="Huisstijl-Koptekst"/>
          </w:pPr>
          <w:bookmarkStart w:id="27" w:name="bmVoettekstSectie3_1" w:colFirst="0" w:colLast="0"/>
          <w:r>
            <w:t>Development of a shared data and information system between the EU and the Regional Sea Conventions - Regional Sea Conventions data flows for eutrophication and hazardous substances</w:t>
          </w:r>
          <w:bookmarkEnd w:id="27"/>
        </w:p>
      </w:tc>
    </w:tr>
  </w:tbl>
  <w:p w:rsidR="006B0FAE" w:rsidRPr="000E1715" w:rsidRDefault="006B0FAE" w:rsidP="001220C3">
    <w:pPr>
      <w:pStyle w:val="Footer"/>
    </w:pPr>
    <w:r w:rsidRPr="000E1715">
      <w:fldChar w:fldCharType="begin"/>
    </w:r>
    <w:r w:rsidRPr="000E1715">
      <w:instrText xml:space="preserve"> set Seq</w:instrText>
    </w:r>
    <w:r>
      <w:instrText>3</w:instrText>
    </w:r>
    <w:r w:rsidRPr="000E1715">
      <w:instrText xml:space="preserve"> "</w:instrText>
    </w:r>
    <w:fldSimple w:instr=" SECTIONPAGES  ">
      <w:r w:rsidR="000F7A4E">
        <w:rPr>
          <w:noProof/>
        </w:rPr>
        <w:instrText>1</w:instrText>
      </w:r>
    </w:fldSimple>
    <w:r w:rsidRPr="000E1715">
      <w:instrText>"</w:instrText>
    </w:r>
    <w:r w:rsidRPr="000E1715">
      <w:fldChar w:fldCharType="separate"/>
    </w:r>
    <w:bookmarkStart w:id="28" w:name="Seq3"/>
    <w:r w:rsidR="000F7A4E">
      <w:rPr>
        <w:noProof/>
      </w:rPr>
      <w:t>1</w:t>
    </w:r>
    <w:bookmarkEnd w:id="28"/>
    <w:r w:rsidRPr="000E1715">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6C06A2">
    <w:pPr>
      <w:pStyle w:val="Footer"/>
    </w:pPr>
    <w:r w:rsidRPr="008135ED">
      <w:rPr>
        <w:noProof/>
        <w:lang w:eastAsia="en-GB"/>
      </w:rPr>
      <w:pict>
        <v:shapetype id="_x0000_t202" coordsize="21600,21600" o:spt="202" path="m,l,21600r21600,l21600,xe">
          <v:stroke joinstyle="miter"/>
          <v:path gradientshapeok="t" o:connecttype="rect"/>
        </v:shapetype>
        <v:shape id="Text Box 44" o:spid="_x0000_s4100" type="#_x0000_t202" style="position:absolute;left:0;text-align:left;margin-left:-10.1pt;margin-top:9.05pt;width:90pt;height:21.5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" filled="f" stroked="f">
          <v:textbox>
            <w:txbxContent>
              <w:tbl>
                <w:tblPr>
                  <w:tblW w:w="0" w:type="auto"/>
                  <w:tblInd w:w="60" w:type="dxa"/>
                  <w:tblLayout w:type="fixed"/>
                  <w:tblCellMar>
                    <w:left w:w="0" w:type="dxa"/>
                    <w:right w:w="0" w:type="dxa"/>
                  </w:tblCellMar>
                  <w:tblLook w:val="0000"/>
                </w:tblPr>
                <w:tblGrid>
                  <w:gridCol w:w="1176"/>
                </w:tblGrid>
                <w:tr w:rsidR="006B0FAE" w:rsidRPr="004C2206" w:rsidTr="00426356">
                  <w:tc>
                    <w:tcPr>
                      <w:tcW w:w="1176" w:type="dxa"/>
                    </w:tcPr>
                    <w:bookmarkStart w:id="39" w:name="bmPagina2" w:colFirst="0" w:colLast="0"/>
                    <w:p w:rsidR="006B0FAE" w:rsidRPr="00A21DE8" w:rsidRDefault="006B0FAE" w:rsidP="00987279">
                      <w:pPr>
                        <w:pStyle w:val="Huisstijl-Pagina"/>
                        <w:jc w:val="left"/>
                      </w:pPr>
                      <w:r>
                        <w:fldChar w:fldCharType="begin"/>
                      </w:r>
                      <w:r>
                        <w:instrText xml:space="preserve"> PAGE  \* MERGEFORMAT </w:instrText>
                      </w:r>
                      <w:r>
                        <w:fldChar w:fldCharType="separate"/>
                      </w:r>
                      <w:r w:rsidR="000F7A4E">
                        <w:t>82</w:t>
                      </w:r>
                      <w:r>
                        <w:fldChar w:fldCharType="end"/>
                      </w:r>
                    </w:p>
                  </w:tc>
                </w:tr>
                <w:bookmarkEnd w:id="39"/>
              </w:tbl>
              <w:p w:rsidR="006B0FAE" w:rsidRDefault="006B0FAE" w:rsidP="006C06A2"/>
            </w:txbxContent>
          </v:textbox>
          <w10:wrap anchorx="margin"/>
        </v:shape>
      </w:pict>
    </w:r>
  </w:p>
  <w:tbl>
    <w:tblPr>
      <w:tblW w:w="8949" w:type="dxa"/>
      <w:tblInd w:w="1683" w:type="dxa"/>
      <w:tblLayout w:type="fixed"/>
      <w:tblCellMar>
        <w:left w:w="0" w:type="dxa"/>
        <w:right w:w="0" w:type="dxa"/>
      </w:tblCellMar>
      <w:tblLook w:val="0000"/>
    </w:tblPr>
    <w:tblGrid>
      <w:gridCol w:w="8949"/>
    </w:tblGrid>
    <w:tr w:rsidR="006B0FAE" w:rsidRPr="004C2206" w:rsidTr="004B48B8">
      <w:tc>
        <w:tcPr>
          <w:tcW w:w="8949" w:type="dxa"/>
          <w:shd w:val="clear" w:color="auto" w:fill="auto"/>
          <w:tcMar>
            <w:right w:w="28" w:type="dxa"/>
          </w:tcMar>
        </w:tcPr>
        <w:p w:rsidR="006B0FAE" w:rsidRPr="004C2206" w:rsidRDefault="006B0FAE" w:rsidP="006F2D89">
          <w:pPr>
            <w:pStyle w:val="Huisstijl-Koptekst"/>
            <w:ind w:right="2949"/>
          </w:pPr>
          <w:bookmarkStart w:id="40" w:name="bmVoettekstSectie4_2" w:colFirst="0" w:colLast="0"/>
          <w:r>
            <w:t>Development of a shared data and information system between the EU and the Regional Sea Conventions - Regional Sea Conventions data flows for eutrophication and hazardous substances</w:t>
          </w:r>
          <w:bookmarkEnd w:id="40"/>
        </w:p>
      </w:tc>
    </w:tr>
  </w:tbl>
  <w:p w:rsidR="006B0FAE" w:rsidRPr="006C06A2" w:rsidRDefault="006B0FAE" w:rsidP="006C06A2">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1220C3">
    <w:pPr>
      <w:pStyle w:val="Footer"/>
    </w:pPr>
    <w:r w:rsidRPr="008135ED">
      <w:rPr>
        <w:noProof/>
        <w:lang w:eastAsia="en-GB"/>
      </w:rPr>
      <w:pict>
        <v:shapetype id="_x0000_t202" coordsize="21600,21600" o:spt="202" path="m,l,21600r21600,l21600,xe">
          <v:stroke joinstyle="miter"/>
          <v:path gradientshapeok="t" o:connecttype="rect"/>
        </v:shapetype>
        <v:shape id="Text Box 37" o:spid="_x0000_s4099" type="#_x0000_t202" style="position:absolute;left:0;text-align:left;margin-left:133.7pt;margin-top:9.05pt;width:64.15pt;height:20.5pt;z-index:251660288;visibility:visible;mso-wrap-style:non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twIAAL8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" filled="f" stroked="f">
          <v:textbox>
            <w:txbxContent>
              <w:tbl>
                <w:tblPr>
                  <w:tblW w:w="1094" w:type="dxa"/>
                  <w:tblInd w:w="-14" w:type="dxa"/>
                  <w:tblLayout w:type="fixed"/>
                  <w:tblCellMar>
                    <w:left w:w="0" w:type="dxa"/>
                    <w:right w:w="0" w:type="dxa"/>
                  </w:tblCellMar>
                  <w:tblLook w:val="0000"/>
                </w:tblPr>
                <w:tblGrid>
                  <w:gridCol w:w="1094"/>
                </w:tblGrid>
                <w:tr w:rsidR="006B0FAE">
                  <w:trPr>
                    <w:trHeight w:val="568"/>
                  </w:trPr>
                  <w:tc>
                    <w:tcPr>
                      <w:tcW w:w="1094" w:type="dxa"/>
                      <w:shd w:val="clear" w:color="auto" w:fill="auto"/>
                      <w:tcMar>
                        <w:right w:w="85" w:type="dxa"/>
                      </w:tcMar>
                    </w:tcPr>
                    <w:bookmarkStart w:id="41" w:name="bmPagina1" w:colFirst="0" w:colLast="0"/>
                    <w:p w:rsidR="006B0FAE" w:rsidRPr="007D5040" w:rsidRDefault="006B0FAE" w:rsidP="00987279">
                      <w:pPr>
                        <w:pStyle w:val="Huisstijl-Pagina"/>
                      </w:pPr>
                      <w:r>
                        <w:fldChar w:fldCharType="begin"/>
                      </w:r>
                      <w:r>
                        <w:instrText xml:space="preserve"> PAGE  \* MERGEFORMAT </w:instrText>
                      </w:r>
                      <w:r>
                        <w:fldChar w:fldCharType="separate"/>
                      </w:r>
                      <w:r w:rsidR="000F7A4E">
                        <w:t>81</w:t>
                      </w:r>
                      <w:r>
                        <w:fldChar w:fldCharType="end"/>
                      </w:r>
                    </w:p>
                  </w:tc>
                </w:tr>
                <w:bookmarkEnd w:id="41"/>
              </w:tbl>
              <w:p w:rsidR="006B0FAE" w:rsidRDefault="006B0FAE" w:rsidP="001220C3"/>
            </w:txbxContent>
          </v:textbox>
          <w10:wrap anchorx="margin"/>
        </v:shape>
      </w:pict>
    </w:r>
  </w:p>
  <w:tbl>
    <w:tblPr>
      <w:tblW w:w="0" w:type="auto"/>
      <w:tblLayout w:type="fixed"/>
      <w:tblCellMar>
        <w:left w:w="0" w:type="dxa"/>
        <w:right w:w="0" w:type="dxa"/>
      </w:tblCellMar>
      <w:tblLook w:val="0000"/>
    </w:tblPr>
    <w:tblGrid>
      <w:gridCol w:w="6379"/>
    </w:tblGrid>
    <w:tr w:rsidR="006B0FAE" w:rsidRPr="004C2206" w:rsidTr="006F2D89">
      <w:tc>
        <w:tcPr>
          <w:tcW w:w="6379" w:type="dxa"/>
          <w:shd w:val="clear" w:color="auto" w:fill="auto"/>
        </w:tcPr>
        <w:p w:rsidR="006B0FAE" w:rsidRPr="004C2206" w:rsidRDefault="006B0FAE" w:rsidP="001220C3">
          <w:pPr>
            <w:pStyle w:val="Huisstijl-Koptekst"/>
          </w:pPr>
          <w:bookmarkStart w:id="42" w:name="bmVoettekstSectie4_1" w:colFirst="0" w:colLast="0"/>
          <w:r>
            <w:t>Development of a shared data and information system between the EU and the Regional Sea Conventions - Regional Sea Conventions data flows for eutrophication and hazardous substances</w:t>
          </w:r>
          <w:bookmarkEnd w:id="42"/>
        </w:p>
      </w:tc>
    </w:tr>
  </w:tbl>
  <w:p w:rsidR="006B0FAE" w:rsidRPr="00EB7C9E" w:rsidRDefault="006B0FAE" w:rsidP="009416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74CE" w:rsidRDefault="002F74CE">
      <w:r>
        <w:separator/>
      </w:r>
    </w:p>
  </w:footnote>
  <w:footnote w:type="continuationSeparator" w:id="1">
    <w:p w:rsidR="002F74CE" w:rsidRDefault="002F74CE">
      <w:r>
        <w:continuationSeparator/>
      </w:r>
    </w:p>
  </w:footnote>
  <w:footnote w:id="2">
    <w:p w:rsidR="006B0FAE" w:rsidRPr="00731E4D" w:rsidRDefault="006B0FAE" w:rsidP="007B0777">
      <w:pPr>
        <w:pStyle w:val="FootnoteText"/>
      </w:pPr>
      <w:r>
        <w:rPr>
          <w:rStyle w:val="FootnoteReference"/>
        </w:rPr>
        <w:footnoteRef/>
      </w:r>
      <w:r>
        <w:t xml:space="preserve"> </w:t>
      </w:r>
      <w:bookmarkStart w:id="45" w:name="OLE_LINK3"/>
      <w:r>
        <w:t>Common Procedure for the Identification of the Eutrophication Status of the OSPAR Maritime Area(Reference number: 2013-8)</w:t>
      </w:r>
      <w:bookmarkEnd w:id="45"/>
    </w:p>
  </w:footnote>
  <w:footnote w:id="3">
    <w:p w:rsidR="006B0FAE" w:rsidRPr="004907EC" w:rsidRDefault="006B0FAE" w:rsidP="007B0777">
      <w:pPr>
        <w:pStyle w:val="FootnoteText"/>
        <w:rPr>
          <w:lang w:val="en-US"/>
        </w:rPr>
      </w:pPr>
      <w:r>
        <w:rPr>
          <w:rStyle w:val="FootnoteReference"/>
        </w:rPr>
        <w:footnoteRef/>
      </w:r>
      <w:r>
        <w:rPr>
          <w:rFonts w:cs="Calibri"/>
          <w:bCs/>
        </w:rPr>
        <w:t xml:space="preserve">MRAG/UNEP-WCMC/URS </w:t>
      </w:r>
      <w:r w:rsidRPr="0033075F">
        <w:rPr>
          <w:rFonts w:cs="Calibri"/>
        </w:rPr>
        <w:t xml:space="preserve">to European Commission for contract on </w:t>
      </w:r>
      <w:r w:rsidRPr="0033075F">
        <w:rPr>
          <w:rFonts w:cs="Calibri"/>
          <w:bCs/>
        </w:rPr>
        <w:t>Development of WISE-Marine for the Marine Strategy Framework Directive 2008/56/EC</w:t>
      </w:r>
      <w:r w:rsidRPr="0033075F">
        <w:rPr>
          <w:rFonts w:cs="Calibri"/>
        </w:rPr>
        <w:t xml:space="preserve"> (</w:t>
      </w:r>
      <w:r>
        <w:rPr>
          <w:rFonts w:cs="Calibri"/>
        </w:rPr>
        <w:t>070307/2011/610594/ENV.D.2/SER).</w:t>
      </w:r>
    </w:p>
  </w:footnote>
  <w:footnote w:id="4">
    <w:p w:rsidR="006B0FAE" w:rsidRPr="00704AA3" w:rsidRDefault="006B0FAE">
      <w:pPr>
        <w:pStyle w:val="FootnoteText"/>
      </w:pPr>
      <w:r>
        <w:rPr>
          <w:rStyle w:val="FootnoteReference"/>
        </w:rPr>
        <w:footnoteRef/>
      </w:r>
      <w:r>
        <w:t xml:space="preserve"> </w:t>
      </w:r>
      <w:r w:rsidRPr="00704AA3">
        <w:t>Integrated Regional monitoring Implementation Strategy in the South European Seas IRIS-SES</w:t>
      </w:r>
    </w:p>
  </w:footnote>
  <w:footnote w:id="5">
    <w:p w:rsidR="006B0FAE" w:rsidRDefault="006B0FAE" w:rsidP="00CB6F07">
      <w:pPr>
        <w:pStyle w:val="FootnoteText"/>
      </w:pPr>
      <w:r>
        <w:rPr>
          <w:rStyle w:val="FootnoteReference"/>
        </w:rPr>
        <w:footnoteRef/>
      </w:r>
      <w:r>
        <w:t xml:space="preserve">OSPAR, 2009: CEMP 2008/2009 Assessment of trends and concentrations of selected hazardous </w:t>
      </w:r>
    </w:p>
    <w:p w:rsidR="006B0FAE" w:rsidRPr="00AA7327" w:rsidRDefault="006B0FAE" w:rsidP="00CB6F07">
      <w:pPr>
        <w:pStyle w:val="FootnoteText"/>
        <w:rPr>
          <w:lang w:val="en-US"/>
        </w:rPr>
      </w:pPr>
      <w:r>
        <w:t>substances in sediments and biota. OSPAR Publication Number: 390/2009. ISBN 978-1-906840-30-3.</w:t>
      </w:r>
    </w:p>
  </w:footnote>
  <w:footnote w:id="6">
    <w:p w:rsidR="006B0FAE" w:rsidRPr="00AA7327" w:rsidRDefault="006B0FAE" w:rsidP="00CB6F07">
      <w:pPr>
        <w:pStyle w:val="FootnoteText"/>
        <w:rPr>
          <w:lang w:val="en-US"/>
        </w:rPr>
      </w:pPr>
      <w:r>
        <w:rPr>
          <w:rStyle w:val="FootnoteReference"/>
        </w:rPr>
        <w:footnoteRef/>
      </w:r>
      <w:r w:rsidRPr="00AA7327">
        <w:t>Hazardous Substances in European waters - Analysis of the data on hazardous substances in groundwater, rivers, transitional, coastal and marine waters reported to the European Environment Agency from 1998 - 2010</w:t>
      </w:r>
    </w:p>
  </w:footnote>
  <w:footnote w:id="7">
    <w:p w:rsidR="006B0FAE" w:rsidRPr="009B51C0" w:rsidRDefault="006B0FAE" w:rsidP="0026180A">
      <w:pPr>
        <w:pStyle w:val="FootnoteText"/>
        <w:rPr>
          <w:lang w:val="en-US"/>
        </w:rPr>
      </w:pPr>
      <w:r>
        <w:rPr>
          <w:rStyle w:val="FootnoteReference"/>
        </w:rPr>
        <w:footnoteRef/>
      </w:r>
      <w:r>
        <w:t>. Co-ordinated Environmental Monitoring Programme Assessment Manual for contaminants in sediment and biota. Monitoring and Assessment Series.OSPAR 2008, London.</w:t>
      </w:r>
      <w:r>
        <w:cr/>
      </w:r>
      <w:r w:rsidRPr="001D0CAA">
        <w:rPr>
          <w:sz w:val="18"/>
        </w:rPr>
        <w:t>http://www.ospar.org/documents/dbase/publications/p00379/p00379_cemp_assessment_manual.pdf</w:t>
      </w:r>
    </w:p>
  </w:footnote>
  <w:footnote w:id="8">
    <w:p w:rsidR="006B0FAE" w:rsidRPr="00704AA3" w:rsidRDefault="006B0FAE" w:rsidP="00863CA7">
      <w:pPr>
        <w:pStyle w:val="FootnoteText"/>
      </w:pPr>
      <w:r>
        <w:rPr>
          <w:rStyle w:val="FootnoteReference"/>
        </w:rPr>
        <w:t>1</w:t>
      </w:r>
      <w:r>
        <w:t xml:space="preserve"> </w:t>
      </w:r>
      <w:r w:rsidRPr="00704AA3">
        <w:t>Integrated Regional monitoring Implementation Strategy in the South European Seas IRIS-SES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580167">
    <w:r w:rsidRPr="008135ED">
      <w:rPr>
        <w:noProof/>
        <w:lang w:eastAsia="en-GB"/>
      </w:rPr>
      <w:pict>
        <v:shapetype id="_x0000_t202" coordsize="21600,21600" o:spt="202" path="m,l,21600r21600,l21600,xe">
          <v:stroke joinstyle="miter"/>
          <v:path gradientshapeok="t" o:connecttype="rect"/>
        </v:shapetype>
        <v:shape id="Text Box 27" o:spid="_x0000_s4114" type="#_x0000_t202" style="position:absolute;left:0;text-align:left;margin-left:126.45pt;margin-top:394.75pt;width:377pt;height:162.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" filled="f" stroked="f">
          <v:textbox>
            <w:txbxContent>
              <w:tbl>
                <w:tblPr>
                  <w:tblW w:w="0" w:type="auto"/>
                  <w:tblLayout w:type="fixed"/>
                  <w:tblCellMar>
                    <w:left w:w="0" w:type="dxa"/>
                    <w:right w:w="0" w:type="dxa"/>
                  </w:tblCellMar>
                  <w:tblLook w:val="0000"/>
                </w:tblPr>
                <w:tblGrid>
                  <w:gridCol w:w="6237"/>
                </w:tblGrid>
                <w:tr w:rsidR="006B0FAE" w:rsidRPr="00F15E0D">
                  <w:tc>
                    <w:tcPr>
                      <w:tcW w:w="6237" w:type="dxa"/>
                      <w:shd w:val="clear" w:color="auto" w:fill="auto"/>
                    </w:tcPr>
                    <w:p w:rsidR="006B0FAE" w:rsidRDefault="006B0FAE" w:rsidP="00564E53">
                      <w:pPr>
                        <w:pStyle w:val="Huisstijl-Gegeven"/>
                        <w:rPr>
                          <w:lang w:val="nl-NL"/>
                        </w:rPr>
                      </w:pPr>
                      <w:bookmarkStart w:id="0" w:name="bmAuteurs1" w:colFirst="0" w:colLast="0"/>
                      <w:r>
                        <w:rPr>
                          <w:lang w:val="nl-NL"/>
                        </w:rPr>
                        <w:t>Catherine Tsangaris (HCMR)</w:t>
                      </w:r>
                    </w:p>
                    <w:p w:rsidR="006B0FAE" w:rsidRDefault="006B0FAE" w:rsidP="00564E53">
                      <w:pPr>
                        <w:pStyle w:val="Huisstijl-Gegeven"/>
                        <w:rPr>
                          <w:lang w:val="nl-NL"/>
                        </w:rPr>
                      </w:pPr>
                      <w:r>
                        <w:rPr>
                          <w:lang w:val="nl-NL"/>
                        </w:rPr>
                        <w:t>Willem Stolte (DELTARES)</w:t>
                      </w:r>
                    </w:p>
                    <w:p w:rsidR="006B0FAE" w:rsidRDefault="006B0FAE" w:rsidP="00564E53">
                      <w:pPr>
                        <w:pStyle w:val="Huisstijl-Gegeven"/>
                        <w:rPr>
                          <w:lang w:val="nl-NL"/>
                        </w:rPr>
                      </w:pPr>
                      <w:r>
                        <w:rPr>
                          <w:lang w:val="nl-NL"/>
                        </w:rPr>
                        <w:t>Hermanni Kaartokalio (SYKE)</w:t>
                      </w:r>
                    </w:p>
                    <w:p w:rsidR="006B0FAE" w:rsidRDefault="006B0FAE" w:rsidP="00564E53">
                      <w:pPr>
                        <w:pStyle w:val="Huisstijl-Gegeven"/>
                        <w:rPr>
                          <w:lang w:val="nl-NL"/>
                        </w:rPr>
                      </w:pPr>
                      <w:r>
                        <w:rPr>
                          <w:lang w:val="nl-NL"/>
                        </w:rPr>
                        <w:t>Athanassia Iona (HCMR)</w:t>
                      </w:r>
                    </w:p>
                    <w:p w:rsidR="006B0FAE" w:rsidRDefault="006B0FAE" w:rsidP="008254DE">
                      <w:pPr>
                        <w:pStyle w:val="Huisstijl-Gegeven"/>
                        <w:rPr>
                          <w:lang w:val="nl-NL"/>
                        </w:rPr>
                      </w:pPr>
                      <w:r>
                        <w:rPr>
                          <w:lang w:val="nl-NL"/>
                        </w:rPr>
                        <w:t>Nicky Villars (DELTARES)</w:t>
                      </w:r>
                    </w:p>
                    <w:p w:rsidR="006B0FAE" w:rsidRPr="005028DE" w:rsidRDefault="006B0FAE" w:rsidP="00564E53">
                      <w:pPr>
                        <w:pStyle w:val="Huisstijl-Gegeven"/>
                        <w:rPr>
                          <w:lang w:val="nl-NL"/>
                        </w:rPr>
                      </w:pPr>
                      <w:r>
                        <w:rPr>
                          <w:lang w:val="nl-NL"/>
                        </w:rPr>
                        <w:t>Myra van der Meulen (DELTARES)</w:t>
                      </w:r>
                    </w:p>
                  </w:tc>
                </w:tr>
                <w:bookmarkEnd w:id="0"/>
              </w:tbl>
              <w:p w:rsidR="006B0FAE" w:rsidRPr="005028DE" w:rsidRDefault="006B0FAE" w:rsidP="000369FA">
                <w:pPr>
                  <w:pStyle w:val="Header"/>
                  <w:rPr>
                    <w:lang w:val="nl-NL"/>
                  </w:rPr>
                </w:pPr>
              </w:p>
              <w:p w:rsidR="006B0FAE" w:rsidRPr="005028DE" w:rsidRDefault="006B0FAE">
                <w:pPr>
                  <w:rPr>
                    <w:lang w:val="nl-NL"/>
                  </w:rPr>
                </w:pPr>
              </w:p>
            </w:txbxContent>
          </v:textbox>
          <w10:wrap anchorx="page" anchory="page"/>
        </v:shape>
      </w:pict>
    </w:r>
    <w:r w:rsidRPr="008135ED">
      <w:rPr>
        <w:noProof/>
        <w:lang w:eastAsia="en-GB"/>
      </w:rPr>
      <w:pict>
        <v:shape id="Text Box 9" o:spid="_x0000_s4113" type="#_x0000_t202" style="position:absolute;left:0;text-align:left;margin-left:331.7pt;margin-top:36.85pt;width:255.1pt;height:99.2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Xosw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jc w:val="right"/>
                      </w:pPr>
                      <w:bookmarkStart w:id="1" w:name="bmLogoSectie1_1" w:colFirst="0" w:colLast="0"/>
                      <w:r>
                        <w:rPr>
                          <w:noProof/>
                          <w:lang w:val="el-GR" w:eastAsia="el-GR"/>
                        </w:rPr>
                        <w:drawing>
                          <wp:inline distT="0" distB="0" distL="0" distR="0">
                            <wp:extent cx="1225296" cy="352044"/>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
              </w:tbl>
              <w:p w:rsidR="006B0FAE" w:rsidRDefault="006B0FAE" w:rsidP="00580167"/>
            </w:txbxContent>
          </v:textbox>
          <w10:wrap anchorx="page" anchory="page"/>
        </v:shape>
      </w:pict>
    </w:r>
  </w:p>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p w:rsidR="006B0FAE" w:rsidRDefault="006B0FAE" w:rsidP="00580167"/>
  <w:tbl>
    <w:tblPr>
      <w:tblW w:w="0" w:type="auto"/>
      <w:tblInd w:w="284" w:type="dxa"/>
      <w:tblLayout w:type="fixed"/>
      <w:tblCellMar>
        <w:left w:w="0" w:type="dxa"/>
        <w:right w:w="0" w:type="dxa"/>
      </w:tblCellMar>
      <w:tblLook w:val="0000"/>
    </w:tblPr>
    <w:tblGrid>
      <w:gridCol w:w="6804"/>
    </w:tblGrid>
    <w:tr w:rsidR="006B0FAE" w:rsidRPr="004C2206" w:rsidTr="00BE6D89">
      <w:trPr>
        <w:trHeight w:hRule="exact" w:val="2041"/>
      </w:trPr>
      <w:tc>
        <w:tcPr>
          <w:tcW w:w="6804" w:type="dxa"/>
          <w:shd w:val="clear" w:color="auto" w:fill="auto"/>
        </w:tcPr>
        <w:p w:rsidR="006B0FAE" w:rsidRDefault="006B0FAE" w:rsidP="005C1993">
          <w:pPr>
            <w:pStyle w:val="Huisstijl-Titel"/>
          </w:pPr>
          <w:bookmarkStart w:id="2" w:name="bmTitel1" w:colFirst="0" w:colLast="0"/>
          <w:r>
            <w:t>Development of a shared data and information system between the EU and the Regional Sea Conventions</w:t>
          </w:r>
        </w:p>
        <w:p w:rsidR="006B0FAE" w:rsidRDefault="006B0FAE" w:rsidP="005C1993">
          <w:pPr>
            <w:pStyle w:val="Huisstijl-Subtitel"/>
          </w:pPr>
          <w:r>
            <w:t>Regional Sea Conventions data flows for eutrophication and hazardous substances</w:t>
          </w:r>
          <w:bookmarkEnd w:id="2"/>
        </w:p>
      </w:tc>
    </w:tr>
  </w:tbl>
  <w:p w:rsidR="006B0FAE" w:rsidRDefault="006B0FAE" w:rsidP="00580167">
    <w:pPr>
      <w:rPr>
        <w:lang w:val="en-US"/>
      </w:rPr>
    </w:pPr>
  </w:p>
  <w:p w:rsidR="006B0FAE" w:rsidRDefault="006B0FAE" w:rsidP="00580167">
    <w:pPr>
      <w:rPr>
        <w:lang w:val="en-US"/>
      </w:rPr>
    </w:pPr>
  </w:p>
  <w:p w:rsidR="006B0FAE" w:rsidRDefault="006B0FAE" w:rsidP="00580167">
    <w:pPr>
      <w:rPr>
        <w:lang w:val="en-US"/>
      </w:rPr>
    </w:pPr>
  </w:p>
  <w:p w:rsidR="006B0FAE" w:rsidRPr="00580167" w:rsidRDefault="006B0FAE" w:rsidP="005801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4C2206">
    <w:r w:rsidRPr="008135ED">
      <w:rPr>
        <w:noProof/>
        <w:lang w:eastAsia="en-GB"/>
      </w:rPr>
      <w:pict>
        <v:shapetype id="_x0000_t202" coordsize="21600,21600" o:spt="202" path="m,l,21600r21600,l21600,xe">
          <v:stroke joinstyle="miter"/>
          <v:path gradientshapeok="t" o:connecttype="rect"/>
        </v:shapetype>
        <v:shape id="Text Box 24" o:spid="_x0000_s4112" type="#_x0000_t202" style="position:absolute;left:0;text-align:left;margin-left:2pt;margin-top:2pt;width:591pt;height:84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77iAIAABo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" stroked="f">
          <v:textbox>
            <w:txbxContent>
              <w:tbl>
                <w:tblPr>
                  <w:tblW w:w="0" w:type="auto"/>
                  <w:tblLook w:val="01E0"/>
                </w:tblPr>
                <w:tblGrid>
                  <w:gridCol w:w="11748"/>
                </w:tblGrid>
                <w:tr w:rsidR="006B0FAE" w:rsidTr="00426356">
                  <w:tc>
                    <w:tcPr>
                      <w:tcW w:w="11732" w:type="dxa"/>
                    </w:tcPr>
                    <w:p w:rsidR="006B0FAE" w:rsidRDefault="006B0FAE" w:rsidP="00BE6D89">
                      <w:pPr>
                        <w:spacing w:line="240" w:lineRule="auto"/>
                      </w:pPr>
                      <w:bookmarkStart w:id="7" w:name="bmLogo0" w:colFirst="0" w:colLast="0"/>
                      <w:r>
                        <w:rPr>
                          <w:noProof/>
                          <w:lang w:val="el-GR" w:eastAsia="el-GR"/>
                        </w:rPr>
                        <w:drawing>
                          <wp:inline distT="0" distB="0" distL="0" distR="0">
                            <wp:extent cx="7322820" cy="1035177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22820" cy="10351770"/>
                                    </a:xfrm>
                                    <a:prstGeom prst="rect">
                                      <a:avLst/>
                                    </a:prstGeom>
                                  </pic:spPr>
                                </pic:pic>
                              </a:graphicData>
                            </a:graphic>
                          </wp:inline>
                        </w:drawing>
                      </w:r>
                    </w:p>
                  </w:tc>
                </w:tr>
                <w:bookmarkEnd w:id="7"/>
              </w:tbl>
              <w:p w:rsidR="006B0FAE" w:rsidRDefault="006B0FAE"/>
            </w:txbxContent>
          </v:textbox>
          <w10:wrap anchorx="page" anchory="page"/>
        </v:shape>
      </w:pict>
    </w:r>
  </w:p>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p w:rsidR="006B0FAE" w:rsidRDefault="006B0FAE" w:rsidP="004C2206"/>
  <w:tbl>
    <w:tblPr>
      <w:tblW w:w="6662" w:type="dxa"/>
      <w:tblInd w:w="284" w:type="dxa"/>
      <w:tblLayout w:type="fixed"/>
      <w:tblCellMar>
        <w:left w:w="0" w:type="dxa"/>
        <w:right w:w="0" w:type="dxa"/>
      </w:tblCellMar>
      <w:tblLook w:val="0000"/>
    </w:tblPr>
    <w:tblGrid>
      <w:gridCol w:w="6662"/>
    </w:tblGrid>
    <w:tr w:rsidR="006B0FAE" w:rsidRPr="004C2206" w:rsidTr="00356B28">
      <w:trPr>
        <w:trHeight w:hRule="exact" w:val="2041"/>
      </w:trPr>
      <w:tc>
        <w:tcPr>
          <w:tcW w:w="6662" w:type="dxa"/>
          <w:shd w:val="clear" w:color="auto" w:fill="auto"/>
        </w:tcPr>
        <w:p w:rsidR="006B0FAE" w:rsidRDefault="006B0FAE" w:rsidP="005C1993">
          <w:pPr>
            <w:pStyle w:val="Huisstijl-Titel"/>
          </w:pPr>
          <w:bookmarkStart w:id="8" w:name="bmTitel0" w:colFirst="0" w:colLast="0"/>
          <w:r>
            <w:t>Development of a shared data and information system between the EU and the Regional Sea Conventions</w:t>
          </w:r>
        </w:p>
        <w:p w:rsidR="006B0FAE" w:rsidRDefault="006B0FAE" w:rsidP="005C1993">
          <w:pPr>
            <w:pStyle w:val="Huisstijl-Subtitel"/>
          </w:pPr>
          <w:r>
            <w:t>Regional Sea Conventions data flows for eutrophication and hazardous substances</w:t>
          </w:r>
          <w:bookmarkEnd w:id="8"/>
        </w:p>
      </w:tc>
    </w:tr>
  </w:tbl>
  <w:p w:rsidR="006B0FAE" w:rsidRDefault="006B0FAE" w:rsidP="00A1473F">
    <w:pPr>
      <w:rPr>
        <w:lang w:val="en-US"/>
      </w:rPr>
    </w:pPr>
  </w:p>
  <w:p w:rsidR="006B0FAE" w:rsidRDefault="006B0FAE" w:rsidP="00A1473F">
    <w:pPr>
      <w:rPr>
        <w:lang w:val="en-US"/>
      </w:rPr>
    </w:pPr>
  </w:p>
  <w:p w:rsidR="006B0FAE" w:rsidRDefault="006B0FAE" w:rsidP="00A1473F">
    <w:pPr>
      <w:rPr>
        <w:lang w:val="en-US"/>
      </w:rPr>
    </w:pPr>
  </w:p>
  <w:p w:rsidR="006B0FAE" w:rsidRDefault="006B0FAE" w:rsidP="00A1473F">
    <w:pPr>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672ACD">
    <w:pPr>
      <w:pStyle w:val="Header"/>
    </w:pPr>
  </w:p>
  <w:p w:rsidR="006B0FAE" w:rsidRDefault="006B0FAE" w:rsidP="00672ACD">
    <w:pPr>
      <w:pStyle w:val="Header"/>
    </w:pPr>
  </w:p>
  <w:p w:rsidR="006B0FAE" w:rsidRDefault="006B0FAE" w:rsidP="00672ACD">
    <w:pPr>
      <w:pStyle w:val="Header"/>
    </w:pPr>
  </w:p>
  <w:p w:rsidR="006B0FAE" w:rsidRDefault="006B0FAE" w:rsidP="00672ACD">
    <w:pPr>
      <w:pStyle w:val="Header"/>
    </w:pPr>
  </w:p>
  <w:tbl>
    <w:tblPr>
      <w:tblW w:w="8749" w:type="dxa"/>
      <w:tblLayout w:type="fixed"/>
      <w:tblCellMar>
        <w:left w:w="0" w:type="dxa"/>
        <w:right w:w="0" w:type="dxa"/>
      </w:tblCellMar>
      <w:tblLook w:val="0000"/>
    </w:tblPr>
    <w:tblGrid>
      <w:gridCol w:w="2694"/>
      <w:gridCol w:w="1310"/>
      <w:gridCol w:w="1242"/>
      <w:gridCol w:w="2552"/>
      <w:gridCol w:w="951"/>
    </w:tblGrid>
    <w:tr w:rsidR="006B0FAE" w:rsidRPr="004C2206">
      <w:tc>
        <w:tcPr>
          <w:tcW w:w="4004" w:type="dxa"/>
          <w:gridSpan w:val="2"/>
          <w:shd w:val="clear" w:color="auto" w:fill="auto"/>
        </w:tcPr>
        <w:p w:rsidR="006B0FAE" w:rsidRPr="00EF1CDD" w:rsidRDefault="006B0FAE" w:rsidP="005C1993">
          <w:pPr>
            <w:pStyle w:val="Huisstijl-Gegeven"/>
          </w:pPr>
          <w:bookmarkStart w:id="13" w:name="tblGegevensSectie2b" w:colFirst="0" w:colLast="3"/>
        </w:p>
      </w:tc>
      <w:tc>
        <w:tcPr>
          <w:tcW w:w="4745" w:type="dxa"/>
          <w:gridSpan w:val="3"/>
          <w:tcBorders>
            <w:left w:val="nil"/>
          </w:tcBorders>
          <w:shd w:val="clear" w:color="auto" w:fill="auto"/>
        </w:tcPr>
        <w:p w:rsidR="006B0FAE" w:rsidRDefault="006B0FAE" w:rsidP="005C1993">
          <w:pPr>
            <w:pStyle w:val="Huisstijl-Kopje"/>
          </w:pPr>
          <w:r>
            <w:t>Title</w:t>
          </w:r>
        </w:p>
        <w:p w:rsidR="006B0FAE" w:rsidRPr="00EF1CDD" w:rsidRDefault="006B0FAE" w:rsidP="005C1993">
          <w:pPr>
            <w:pStyle w:val="Huisstijl-Gegeven"/>
          </w:pPr>
          <w:r>
            <w:t>Development of a shared data and information system between the EU and the Regional Sea Conventions</w:t>
          </w:r>
        </w:p>
      </w:tc>
    </w:tr>
    <w:tr w:rsidR="006B0FAE" w:rsidRPr="004C2206">
      <w:tc>
        <w:tcPr>
          <w:tcW w:w="5246" w:type="dxa"/>
          <w:gridSpan w:val="3"/>
          <w:shd w:val="clear" w:color="auto" w:fill="auto"/>
        </w:tcPr>
        <w:p w:rsidR="006B0FAE" w:rsidRPr="004C2206" w:rsidRDefault="006B0FAE" w:rsidP="005C1993">
          <w:pPr>
            <w:pStyle w:val="Huisstijl-Gegeven"/>
          </w:pPr>
        </w:p>
      </w:tc>
      <w:tc>
        <w:tcPr>
          <w:tcW w:w="3503" w:type="dxa"/>
          <w:gridSpan w:val="2"/>
        </w:tcPr>
        <w:p w:rsidR="006B0FAE" w:rsidRPr="004C2206" w:rsidRDefault="006B0FAE" w:rsidP="005C1993">
          <w:pPr>
            <w:pStyle w:val="Huisstijl-Gegeven"/>
          </w:pPr>
        </w:p>
      </w:tc>
    </w:tr>
    <w:tr w:rsidR="006B0FAE" w:rsidRPr="004C2206">
      <w:tc>
        <w:tcPr>
          <w:tcW w:w="2694" w:type="dxa"/>
          <w:shd w:val="clear" w:color="auto" w:fill="auto"/>
        </w:tcPr>
        <w:p w:rsidR="006B0FAE" w:rsidRDefault="006B0FAE" w:rsidP="005C1993">
          <w:pPr>
            <w:pStyle w:val="Huisstijl-Kopje"/>
          </w:pPr>
          <w:r>
            <w:t>Project</w:t>
          </w:r>
        </w:p>
        <w:p w:rsidR="006B0FAE" w:rsidRPr="004C2206" w:rsidRDefault="006B0FAE" w:rsidP="005C1993">
          <w:pPr>
            <w:pStyle w:val="Huisstijl-Gegeven"/>
          </w:pPr>
          <w:r>
            <w:t>1208955-002</w:t>
          </w:r>
        </w:p>
      </w:tc>
      <w:tc>
        <w:tcPr>
          <w:tcW w:w="2552" w:type="dxa"/>
          <w:gridSpan w:val="2"/>
          <w:shd w:val="clear" w:color="auto" w:fill="auto"/>
        </w:tcPr>
        <w:p w:rsidR="006B0FAE" w:rsidRDefault="006B0FAE" w:rsidP="005C1993">
          <w:pPr>
            <w:pStyle w:val="Huisstijl-Kopje"/>
          </w:pPr>
          <w:r>
            <w:t>Reference</w:t>
          </w:r>
        </w:p>
        <w:p w:rsidR="006B0FAE" w:rsidRPr="004C2206" w:rsidRDefault="006B0FAE" w:rsidP="005C1993">
          <w:pPr>
            <w:pStyle w:val="Huisstijl-Gegeven"/>
          </w:pPr>
          <w:r>
            <w:t>1208955-002-ZKS-0001</w:t>
          </w:r>
        </w:p>
      </w:tc>
      <w:tc>
        <w:tcPr>
          <w:tcW w:w="2552" w:type="dxa"/>
        </w:tcPr>
        <w:p w:rsidR="006B0FAE" w:rsidRDefault="006B0FAE" w:rsidP="005C1993">
          <w:pPr>
            <w:pStyle w:val="Huisstijl-Kopje"/>
          </w:pPr>
          <w:r>
            <w:t>Pages</w:t>
          </w:r>
        </w:p>
        <w:p w:rsidR="006B0FAE" w:rsidRPr="004C2206" w:rsidRDefault="006B0FAE" w:rsidP="005C1993">
          <w:pPr>
            <w:pStyle w:val="Huisstijl-Gegeven"/>
          </w:pPr>
          <w:fldSimple w:instr=" DOCVARIABLE  TotAantalPag  \* MERGEFORMAT ">
            <w:r>
              <w:t>1</w:t>
            </w:r>
          </w:fldSimple>
          <w:bookmarkEnd w:id="13"/>
        </w:p>
      </w:tc>
      <w:tc>
        <w:tcPr>
          <w:tcW w:w="951" w:type="dxa"/>
        </w:tcPr>
        <w:p w:rsidR="006B0FAE" w:rsidRPr="004C2206" w:rsidRDefault="006B0FAE" w:rsidP="00A22DA3">
          <w:pPr>
            <w:pStyle w:val="Huisstijl-Gegeven"/>
            <w:tabs>
              <w:tab w:val="left" w:pos="2552"/>
            </w:tabs>
          </w:pPr>
        </w:p>
      </w:tc>
    </w:tr>
    <w:tr w:rsidR="006B0FAE" w:rsidRPr="004C2206">
      <w:tc>
        <w:tcPr>
          <w:tcW w:w="8749" w:type="dxa"/>
          <w:gridSpan w:val="5"/>
          <w:shd w:val="clear" w:color="auto" w:fill="auto"/>
        </w:tcPr>
        <w:p w:rsidR="006B0FAE" w:rsidRPr="004C2206" w:rsidRDefault="006B0FAE" w:rsidP="00A22DA3">
          <w:pPr>
            <w:pStyle w:val="Huisstijl-Gegeven"/>
            <w:tabs>
              <w:tab w:val="left" w:pos="2552"/>
            </w:tabs>
          </w:pPr>
        </w:p>
      </w:tc>
    </w:tr>
  </w:tbl>
  <w:p w:rsidR="006B0FAE" w:rsidRPr="00672ACD" w:rsidRDefault="006B0FAE" w:rsidP="00672ACD">
    <w:pPr>
      <w:pStyle w:val="Header"/>
    </w:pPr>
    <w:r w:rsidRPr="008135ED">
      <w:rPr>
        <w:noProof/>
        <w:lang w:eastAsia="en-GB"/>
      </w:rPr>
      <w:pict>
        <v:shapetype id="_x0000_t202" coordsize="21600,21600" o:spt="202" path="m,l,21600r21600,l21600,xe">
          <v:stroke joinstyle="miter"/>
          <v:path gradientshapeok="t" o:connecttype="rect"/>
        </v:shapetype>
        <v:shape id="Text Box 32" o:spid="_x0000_s4111" type="#_x0000_t202" style="position:absolute;left:0;text-align:left;margin-left:0;margin-top:36pt;width:264pt;height:99.2pt;z-index:-251659264;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gJtgIAALM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pPr>
                      <w:bookmarkStart w:id="14" w:name="bmLogoSectie2_2" w:colFirst="0" w:colLast="0"/>
                      <w:r>
                        <w:rPr>
                          <w:noProof/>
                          <w:lang w:val="el-GR" w:eastAsia="el-GR"/>
                        </w:rPr>
                        <w:drawing>
                          <wp:inline distT="0" distB="0" distL="0" distR="0">
                            <wp:extent cx="1225296" cy="352044"/>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4"/>
              </w:tbl>
              <w:p w:rsidR="006B0FAE" w:rsidRDefault="006B0FAE" w:rsidP="00672ACD"/>
            </w:txbxContent>
          </v:textbox>
          <w10:wrap anchorx="margin"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5C6157">
    <w:pPr>
      <w:pStyle w:val="Header"/>
    </w:pPr>
    <w:r w:rsidRPr="008135ED">
      <w:rPr>
        <w:noProof/>
        <w:lang w:eastAsia="en-GB"/>
      </w:rPr>
      <w:pict>
        <v:shapetype id="_x0000_t202" coordsize="21600,21600" o:spt="202" path="m,l,21600r21600,l21600,xe">
          <v:stroke joinstyle="miter"/>
          <v:path gradientshapeok="t" o:connecttype="rect"/>
        </v:shapetype>
        <v:shape id="Text Box 18" o:spid="_x0000_s4110" type="#_x0000_t202" style="position:absolute;left:0;text-align:left;margin-left:1332.8pt;margin-top:36.1pt;width:264pt;height:99.2pt;z-index:-251664384;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CStQ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jc w:val="right"/>
                      </w:pPr>
                      <w:bookmarkStart w:id="15" w:name="bmLogoSectie2_1" w:colFirst="0" w:colLast="0"/>
                      <w:r>
                        <w:rPr>
                          <w:noProof/>
                          <w:lang w:val="el-GR" w:eastAsia="el-GR"/>
                        </w:rPr>
                        <w:drawing>
                          <wp:inline distT="0" distB="0" distL="0" distR="0">
                            <wp:extent cx="1225296" cy="352044"/>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15"/>
              </w:tbl>
              <w:p w:rsidR="006B0FAE" w:rsidRDefault="006B0FAE" w:rsidP="001A6A5C"/>
            </w:txbxContent>
          </v:textbox>
          <w10:wrap anchorx="page" anchory="page"/>
          <w10:anchorlock/>
        </v:shape>
      </w:pict>
    </w:r>
  </w:p>
  <w:p w:rsidR="006B0FAE" w:rsidRDefault="006B0FAE" w:rsidP="005C6157">
    <w:pPr>
      <w:pStyle w:val="Header"/>
    </w:pPr>
  </w:p>
  <w:p w:rsidR="006B0FAE" w:rsidRDefault="006B0FAE" w:rsidP="005C6157">
    <w:pPr>
      <w:pStyle w:val="Header"/>
    </w:pPr>
  </w:p>
  <w:p w:rsidR="006B0FAE" w:rsidRDefault="006B0FAE" w:rsidP="005C6157">
    <w:pPr>
      <w:pStyle w:val="Header"/>
    </w:pPr>
  </w:p>
  <w:tbl>
    <w:tblPr>
      <w:tblW w:w="8749" w:type="dxa"/>
      <w:tblLayout w:type="fixed"/>
      <w:tblCellMar>
        <w:left w:w="0" w:type="dxa"/>
        <w:right w:w="0" w:type="dxa"/>
      </w:tblCellMar>
      <w:tblLook w:val="0000"/>
    </w:tblPr>
    <w:tblGrid>
      <w:gridCol w:w="2694"/>
      <w:gridCol w:w="2552"/>
      <w:gridCol w:w="2552"/>
      <w:gridCol w:w="951"/>
    </w:tblGrid>
    <w:tr w:rsidR="006B0FAE" w:rsidRPr="004C2206">
      <w:tc>
        <w:tcPr>
          <w:tcW w:w="8749" w:type="dxa"/>
          <w:gridSpan w:val="4"/>
          <w:shd w:val="clear" w:color="auto" w:fill="auto"/>
        </w:tcPr>
        <w:p w:rsidR="006B0FAE" w:rsidRDefault="006B0FAE" w:rsidP="005C1993">
          <w:pPr>
            <w:pStyle w:val="Huisstijl-Kopje"/>
          </w:pPr>
          <w:bookmarkStart w:id="16" w:name="tblGegevensSectie2a" w:colFirst="0" w:colLast="3"/>
          <w:r>
            <w:t>Title</w:t>
          </w:r>
        </w:p>
        <w:p w:rsidR="006B0FAE" w:rsidRPr="00EF1CDD" w:rsidRDefault="006B0FAE" w:rsidP="005C1993">
          <w:pPr>
            <w:pStyle w:val="Huisstijl-Gegeven"/>
          </w:pPr>
          <w:r>
            <w:t>Development of a shared data and information system between the EU and the Regional Sea Conventions</w:t>
          </w:r>
        </w:p>
      </w:tc>
    </w:tr>
    <w:tr w:rsidR="006B0FAE" w:rsidRPr="004C2206">
      <w:tc>
        <w:tcPr>
          <w:tcW w:w="5246" w:type="dxa"/>
          <w:gridSpan w:val="2"/>
          <w:shd w:val="clear" w:color="auto" w:fill="auto"/>
        </w:tcPr>
        <w:p w:rsidR="006B0FAE" w:rsidRPr="004C2206" w:rsidRDefault="006B0FAE" w:rsidP="005C1993">
          <w:pPr>
            <w:pStyle w:val="Huisstijl-Gegeven"/>
          </w:pPr>
        </w:p>
      </w:tc>
      <w:tc>
        <w:tcPr>
          <w:tcW w:w="3503" w:type="dxa"/>
          <w:gridSpan w:val="2"/>
        </w:tcPr>
        <w:p w:rsidR="006B0FAE" w:rsidRPr="004C2206" w:rsidRDefault="006B0FAE" w:rsidP="005C1993">
          <w:pPr>
            <w:pStyle w:val="Huisstijl-Gegeven"/>
          </w:pPr>
        </w:p>
      </w:tc>
    </w:tr>
    <w:tr w:rsidR="006B0FAE" w:rsidRPr="004C2206">
      <w:tc>
        <w:tcPr>
          <w:tcW w:w="2694" w:type="dxa"/>
          <w:shd w:val="clear" w:color="auto" w:fill="auto"/>
        </w:tcPr>
        <w:p w:rsidR="006B0FAE" w:rsidRDefault="006B0FAE" w:rsidP="005C1993">
          <w:pPr>
            <w:pStyle w:val="Huisstijl-Kopje"/>
          </w:pPr>
          <w:r>
            <w:t>Project</w:t>
          </w:r>
        </w:p>
        <w:p w:rsidR="006B0FAE" w:rsidRPr="004C2206" w:rsidRDefault="006B0FAE" w:rsidP="005C1993">
          <w:pPr>
            <w:pStyle w:val="Huisstijl-Gegeven"/>
          </w:pPr>
          <w:r>
            <w:t>1208955-002</w:t>
          </w:r>
        </w:p>
      </w:tc>
      <w:tc>
        <w:tcPr>
          <w:tcW w:w="2552" w:type="dxa"/>
          <w:shd w:val="clear" w:color="auto" w:fill="auto"/>
        </w:tcPr>
        <w:p w:rsidR="006B0FAE" w:rsidRDefault="006B0FAE" w:rsidP="005C1993">
          <w:pPr>
            <w:pStyle w:val="Huisstijl-Kopje"/>
          </w:pPr>
          <w:r>
            <w:t>Reference</w:t>
          </w:r>
        </w:p>
        <w:p w:rsidR="006B0FAE" w:rsidRPr="004C2206" w:rsidRDefault="006B0FAE" w:rsidP="005C1993">
          <w:pPr>
            <w:pStyle w:val="Huisstijl-Gegeven"/>
          </w:pPr>
          <w:r>
            <w:t>1208955-002-ZKS-0001</w:t>
          </w:r>
        </w:p>
      </w:tc>
      <w:tc>
        <w:tcPr>
          <w:tcW w:w="2552" w:type="dxa"/>
        </w:tcPr>
        <w:p w:rsidR="006B0FAE" w:rsidRDefault="006B0FAE" w:rsidP="005C1993">
          <w:pPr>
            <w:pStyle w:val="Huisstijl-Kopje"/>
          </w:pPr>
          <w:r>
            <w:t>Pages</w:t>
          </w:r>
        </w:p>
        <w:p w:rsidR="006B0FAE" w:rsidRPr="004C2206" w:rsidRDefault="006B0FAE" w:rsidP="005C1993">
          <w:pPr>
            <w:pStyle w:val="Huisstijl-Gegeven"/>
          </w:pPr>
          <w:r>
            <w:t>70</w:t>
          </w:r>
          <w:bookmarkEnd w:id="16"/>
        </w:p>
      </w:tc>
      <w:tc>
        <w:tcPr>
          <w:tcW w:w="951" w:type="dxa"/>
        </w:tcPr>
        <w:p w:rsidR="006B0FAE" w:rsidRPr="004C2206" w:rsidRDefault="006B0FAE" w:rsidP="005C6157">
          <w:pPr>
            <w:pStyle w:val="Huisstijl-Gegeven"/>
            <w:tabs>
              <w:tab w:val="left" w:pos="2552"/>
            </w:tabs>
          </w:pPr>
        </w:p>
      </w:tc>
    </w:tr>
    <w:tr w:rsidR="006B0FAE" w:rsidRPr="004C2206">
      <w:tc>
        <w:tcPr>
          <w:tcW w:w="8749" w:type="dxa"/>
          <w:gridSpan w:val="4"/>
          <w:shd w:val="clear" w:color="auto" w:fill="auto"/>
        </w:tcPr>
        <w:p w:rsidR="006B0FAE" w:rsidRPr="004C2206" w:rsidRDefault="006B0FAE" w:rsidP="005C6157">
          <w:pPr>
            <w:pStyle w:val="Huisstijl-Gegeven"/>
            <w:tabs>
              <w:tab w:val="left" w:pos="2552"/>
            </w:tabs>
          </w:pPr>
        </w:p>
      </w:tc>
    </w:tr>
  </w:tbl>
  <w:p w:rsidR="006B0FAE" w:rsidRPr="005C6157" w:rsidRDefault="006B0FAE" w:rsidP="005C615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5C6157">
    <w:pPr>
      <w:pStyle w:val="Header"/>
    </w:pPr>
    <w:r w:rsidRPr="008135ED">
      <w:rPr>
        <w:noProof/>
        <w:lang w:eastAsia="en-GB"/>
      </w:rPr>
      <w:pict>
        <v:shapetype id="_x0000_t202" coordsize="21600,21600" o:spt="202" path="m,l,21600r21600,l21600,xe">
          <v:stroke joinstyle="miter"/>
          <v:path gradientshapeok="t" o:connecttype="rect"/>
        </v:shapetype>
        <v:shape id="Text Box 10" o:spid="_x0000_s4109" type="#_x0000_t202" style="position:absolute;left:0;text-align:left;margin-left:0;margin-top:36.85pt;width:255.1pt;height:99.2pt;z-index:-251665408;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aOtQ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" filled="f" stroked="f">
          <v:textbox inset="0,0,0,0">
            <w:txbxContent>
              <w:tbl>
                <w:tblPr>
                  <w:tblW w:w="0" w:type="auto"/>
                  <w:tblLayout w:type="fixed"/>
                  <w:tblCellMar>
                    <w:left w:w="0" w:type="dxa"/>
                    <w:right w:w="0" w:type="dxa"/>
                  </w:tblCellMar>
                  <w:tblLook w:val="0000"/>
                </w:tblPr>
                <w:tblGrid>
                  <w:gridCol w:w="5103"/>
                </w:tblGrid>
                <w:tr w:rsidR="006B0FAE">
                  <w:trPr>
                    <w:trHeight w:val="1701"/>
                  </w:trPr>
                  <w:tc>
                    <w:tcPr>
                      <w:tcW w:w="5103" w:type="dxa"/>
                      <w:shd w:val="clear" w:color="auto" w:fill="auto"/>
                    </w:tcPr>
                    <w:p w:rsidR="006B0FAE" w:rsidRDefault="006B0FAE" w:rsidP="00A2242F"/>
                  </w:tc>
                </w:tr>
              </w:tbl>
              <w:p w:rsidR="006B0FAE" w:rsidRDefault="006B0FAE" w:rsidP="005C6157"/>
            </w:txbxContent>
          </v:textbox>
          <w10:wrap anchorx="margin" anchory="page"/>
        </v:shape>
      </w:pict>
    </w:r>
  </w:p>
  <w:p w:rsidR="006B0FAE" w:rsidRDefault="006B0FAE" w:rsidP="005C6157">
    <w:pPr>
      <w:pStyle w:val="Header"/>
    </w:pPr>
  </w:p>
  <w:p w:rsidR="006B0FAE" w:rsidRDefault="006B0FAE" w:rsidP="005C6157">
    <w:pPr>
      <w:pStyle w:val="Header"/>
    </w:pPr>
  </w:p>
  <w:p w:rsidR="006B0FAE" w:rsidRDefault="006B0FAE" w:rsidP="005C6157">
    <w:pPr>
      <w:pStyle w:val="Header"/>
    </w:pPr>
  </w:p>
  <w:tbl>
    <w:tblPr>
      <w:tblW w:w="8735" w:type="dxa"/>
      <w:tblLayout w:type="fixed"/>
      <w:tblCellMar>
        <w:left w:w="0" w:type="dxa"/>
        <w:right w:w="0" w:type="dxa"/>
      </w:tblCellMar>
      <w:tblLook w:val="0000"/>
    </w:tblPr>
    <w:tblGrid>
      <w:gridCol w:w="2552"/>
      <w:gridCol w:w="2552"/>
      <w:gridCol w:w="2552"/>
      <w:gridCol w:w="1079"/>
    </w:tblGrid>
    <w:tr w:rsidR="006B0FAE" w:rsidRPr="004C2206">
      <w:tc>
        <w:tcPr>
          <w:tcW w:w="8735" w:type="dxa"/>
          <w:gridSpan w:val="4"/>
          <w:shd w:val="clear" w:color="auto" w:fill="auto"/>
        </w:tcPr>
        <w:p w:rsidR="006B0FAE" w:rsidRPr="00EF1CDD" w:rsidRDefault="006B0FAE" w:rsidP="005C6157">
          <w:pPr>
            <w:pStyle w:val="Huisstijl-Gegeven"/>
          </w:pPr>
        </w:p>
      </w:tc>
    </w:tr>
    <w:tr w:rsidR="006B0FAE" w:rsidRPr="004C2206">
      <w:tc>
        <w:tcPr>
          <w:tcW w:w="5104" w:type="dxa"/>
          <w:gridSpan w:val="2"/>
          <w:shd w:val="clear" w:color="auto" w:fill="auto"/>
        </w:tcPr>
        <w:p w:rsidR="006B0FAE" w:rsidRPr="004C2206" w:rsidRDefault="006B0FAE" w:rsidP="005C6157">
          <w:pPr>
            <w:tabs>
              <w:tab w:val="left" w:pos="1680"/>
            </w:tabs>
            <w:ind w:left="1680" w:hanging="1680"/>
          </w:pPr>
        </w:p>
      </w:tc>
      <w:tc>
        <w:tcPr>
          <w:tcW w:w="3631" w:type="dxa"/>
          <w:gridSpan w:val="2"/>
        </w:tcPr>
        <w:p w:rsidR="006B0FAE" w:rsidRPr="004C2206" w:rsidRDefault="006B0FAE" w:rsidP="005C6157">
          <w:pPr>
            <w:pStyle w:val="Huisstijl-Gegeven"/>
            <w:tabs>
              <w:tab w:val="left" w:pos="2552"/>
            </w:tabs>
          </w:pPr>
        </w:p>
      </w:tc>
    </w:tr>
    <w:tr w:rsidR="006B0FAE" w:rsidRPr="004C2206">
      <w:tc>
        <w:tcPr>
          <w:tcW w:w="2552" w:type="dxa"/>
          <w:shd w:val="clear" w:color="auto" w:fill="auto"/>
        </w:tcPr>
        <w:p w:rsidR="006B0FAE" w:rsidRPr="004C2206" w:rsidRDefault="006B0FAE" w:rsidP="005C6157">
          <w:pPr>
            <w:pStyle w:val="Huisstijl-Gegeven"/>
          </w:pPr>
        </w:p>
      </w:tc>
      <w:tc>
        <w:tcPr>
          <w:tcW w:w="2552" w:type="dxa"/>
          <w:shd w:val="clear" w:color="auto" w:fill="auto"/>
        </w:tcPr>
        <w:p w:rsidR="006B0FAE" w:rsidRPr="004C2206" w:rsidRDefault="006B0FAE" w:rsidP="005C6157">
          <w:pPr>
            <w:tabs>
              <w:tab w:val="left" w:pos="1680"/>
            </w:tabs>
            <w:ind w:left="1680" w:hanging="1680"/>
          </w:pPr>
        </w:p>
      </w:tc>
      <w:tc>
        <w:tcPr>
          <w:tcW w:w="2552" w:type="dxa"/>
        </w:tcPr>
        <w:p w:rsidR="006B0FAE" w:rsidRPr="004C2206" w:rsidRDefault="006B0FAE" w:rsidP="005C6157">
          <w:pPr>
            <w:pStyle w:val="Huisstijl-Gegeven"/>
            <w:tabs>
              <w:tab w:val="left" w:pos="2552"/>
            </w:tabs>
          </w:pPr>
        </w:p>
      </w:tc>
      <w:tc>
        <w:tcPr>
          <w:tcW w:w="1079" w:type="dxa"/>
        </w:tcPr>
        <w:p w:rsidR="006B0FAE" w:rsidRPr="004C2206" w:rsidRDefault="006B0FAE" w:rsidP="005C6157">
          <w:pPr>
            <w:pStyle w:val="Huisstijl-Gegeven"/>
            <w:tabs>
              <w:tab w:val="left" w:pos="2552"/>
            </w:tabs>
          </w:pPr>
        </w:p>
      </w:tc>
    </w:tr>
  </w:tbl>
  <w:p w:rsidR="006B0FAE" w:rsidRPr="00B170CC" w:rsidRDefault="006B0FAE" w:rsidP="005C615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B24026">
    <w:pPr>
      <w:pStyle w:val="Header"/>
    </w:pPr>
    <w:r w:rsidRPr="008135ED">
      <w:rPr>
        <w:noProof/>
        <w:lang w:eastAsia="en-GB"/>
      </w:rPr>
      <w:pict>
        <v:shapetype id="_x0000_t202" coordsize="21600,21600" o:spt="202" path="m,l,21600r21600,l21600,xe">
          <v:stroke joinstyle="miter"/>
          <v:path gradientshapeok="t" o:connecttype="rect"/>
        </v:shapetype>
        <v:shape id="Text Box 41" o:spid="_x0000_s4108" type="#_x0000_t202" style="position:absolute;left:0;text-align:left;margin-left:1512.8pt;margin-top:10.6pt;width:294pt;height:22pt;z-index:2516623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zl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" filled="f" stroked="f">
          <v:textbox>
            <w:txbxContent>
              <w:tbl>
                <w:tblPr>
                  <w:tblW w:w="5501" w:type="dxa"/>
                  <w:tblInd w:w="252" w:type="dxa"/>
                  <w:tblLayout w:type="fixed"/>
                  <w:tblCellMar>
                    <w:left w:w="0" w:type="dxa"/>
                    <w:right w:w="0" w:type="dxa"/>
                  </w:tblCellMar>
                  <w:tblLook w:val="0000"/>
                </w:tblPr>
                <w:tblGrid>
                  <w:gridCol w:w="5501"/>
                </w:tblGrid>
                <w:tr w:rsidR="006B0FAE">
                  <w:tc>
                    <w:tcPr>
                      <w:tcW w:w="5501" w:type="dxa"/>
                      <w:shd w:val="clear" w:color="auto" w:fill="auto"/>
                    </w:tcPr>
                    <w:p w:rsidR="006B0FAE" w:rsidRDefault="006B0FAE" w:rsidP="001220C3">
                      <w:pPr>
                        <w:pStyle w:val="Huisstijl-Koptekst"/>
                        <w:jc w:val="right"/>
                      </w:pPr>
                      <w:bookmarkStart w:id="22" w:name="bmKoptekstSectie3_2" w:colFirst="0" w:colLast="0"/>
                      <w:r>
                        <w:t>1208955-002-ZKS-0001, 9 April 2014, draft</w:t>
                      </w:r>
                    </w:p>
                  </w:tc>
                </w:tr>
                <w:bookmarkEnd w:id="22"/>
              </w:tbl>
              <w:p w:rsidR="006B0FAE" w:rsidRDefault="006B0FAE" w:rsidP="001220C3"/>
            </w:txbxContent>
          </v:textbox>
          <w10:wrap anchorx="margin"/>
        </v:shape>
      </w:pict>
    </w:r>
  </w:p>
  <w:p w:rsidR="006B0FAE" w:rsidRPr="00982765" w:rsidRDefault="006B0FAE" w:rsidP="00B24026">
    <w:pPr>
      <w:pStyle w:val="Header"/>
    </w:pPr>
    <w:r w:rsidRPr="008135ED">
      <w:rPr>
        <w:noProof/>
        <w:lang w:eastAsia="en-GB"/>
      </w:rPr>
      <w:pict>
        <v:shape id="Text Box 34" o:spid="_x0000_s4107" type="#_x0000_t202" style="position:absolute;left:0;text-align:left;margin-left:0;margin-top:36pt;width:264pt;height:99.2pt;z-index:-251658240;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t5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pPr>
                      <w:bookmarkStart w:id="23" w:name="bmLogoSectie3_2" w:colFirst="0" w:colLast="0"/>
                      <w:r>
                        <w:rPr>
                          <w:noProof/>
                          <w:lang w:val="el-GR" w:eastAsia="el-GR"/>
                        </w:rPr>
                        <w:drawing>
                          <wp:inline distT="0" distB="0" distL="0" distR="0">
                            <wp:extent cx="1225296" cy="352044"/>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3"/>
              </w:tbl>
              <w:p w:rsidR="006B0FAE" w:rsidRDefault="006B0FAE" w:rsidP="00B24026"/>
            </w:txbxContent>
          </v:textbox>
          <w10:wrap anchorx="margin" anchory="page"/>
          <w10:anchorlock/>
        </v:shape>
      </w:pict>
    </w:r>
  </w:p>
  <w:p w:rsidR="006B0FAE" w:rsidRPr="00672ACD" w:rsidRDefault="006B0FAE" w:rsidP="00B24026">
    <w:pPr>
      <w:pStyle w:val="Header"/>
    </w:pPr>
  </w:p>
  <w:p w:rsidR="006B0FAE" w:rsidRPr="00B24026" w:rsidRDefault="006B0FAE" w:rsidP="00B2402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982765">
    <w:pPr>
      <w:pStyle w:val="Header"/>
    </w:pPr>
  </w:p>
  <w:tbl>
    <w:tblPr>
      <w:tblW w:w="0" w:type="auto"/>
      <w:tblLayout w:type="fixed"/>
      <w:tblCellMar>
        <w:left w:w="0" w:type="dxa"/>
        <w:right w:w="0" w:type="dxa"/>
      </w:tblCellMar>
      <w:tblLook w:val="0000"/>
    </w:tblPr>
    <w:tblGrid>
      <w:gridCol w:w="5529"/>
    </w:tblGrid>
    <w:tr w:rsidR="006B0FAE" w:rsidRPr="004C2206">
      <w:tc>
        <w:tcPr>
          <w:tcW w:w="5529" w:type="dxa"/>
          <w:shd w:val="clear" w:color="auto" w:fill="auto"/>
        </w:tcPr>
        <w:p w:rsidR="006B0FAE" w:rsidRPr="004C2206" w:rsidRDefault="006B0FAE" w:rsidP="00A00A21">
          <w:pPr>
            <w:pStyle w:val="Huisstijl-Koptekst"/>
          </w:pPr>
          <w:bookmarkStart w:id="24" w:name="bmKoptekstSectie3_1" w:colFirst="0" w:colLast="0"/>
          <w:r>
            <w:t>1208955-002-ZKS-0001, 9 April 2014, draft</w:t>
          </w:r>
          <w:bookmarkEnd w:id="24"/>
        </w:p>
      </w:tc>
    </w:tr>
  </w:tbl>
  <w:p w:rsidR="006B0FAE" w:rsidRPr="00982765" w:rsidRDefault="006B0FAE" w:rsidP="00A00A21">
    <w:pPr>
      <w:pStyle w:val="Header"/>
    </w:pPr>
    <w:r w:rsidRPr="008135ED">
      <w:rPr>
        <w:noProof/>
        <w:lang w:eastAsia="en-GB"/>
      </w:rPr>
      <w:pict>
        <v:shapetype id="_x0000_t202" coordsize="21600,21600" o:spt="202" path="m,l,21600r21600,l21600,xe">
          <v:stroke joinstyle="miter"/>
          <v:path gradientshapeok="t" o:connecttype="rect"/>
        </v:shapetype>
        <v:shape id="Text Box 20" o:spid="_x0000_s4106" type="#_x0000_t202" style="position:absolute;left:0;text-align:left;margin-left:1332.8pt;margin-top:36pt;width:264pt;height:99.2pt;z-index:-251663360;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jc w:val="right"/>
                      </w:pPr>
                      <w:bookmarkStart w:id="25" w:name="bmLogoSectie3_1" w:colFirst="0" w:colLast="0"/>
                      <w:r>
                        <w:rPr>
                          <w:noProof/>
                          <w:lang w:val="el-GR" w:eastAsia="el-GR"/>
                        </w:rPr>
                        <w:drawing>
                          <wp:inline distT="0" distB="0" distL="0" distR="0">
                            <wp:extent cx="1225296" cy="352044"/>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25"/>
              </w:tbl>
              <w:p w:rsidR="006B0FAE" w:rsidRDefault="006B0FAE" w:rsidP="001A6A5C"/>
            </w:txbxContent>
          </v:textbox>
          <w10:wrap anchorx="page" anchory="page"/>
          <w10:anchorlock/>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B24026">
    <w:pPr>
      <w:pStyle w:val="Header"/>
    </w:pPr>
    <w:r w:rsidRPr="008135ED">
      <w:rPr>
        <w:noProof/>
        <w:lang w:eastAsia="en-GB"/>
      </w:rPr>
      <w:pict>
        <v:shapetype id="_x0000_t202" coordsize="21600,21600" o:spt="202" path="m,l,21600r21600,l21600,xe">
          <v:stroke joinstyle="miter"/>
          <v:path gradientshapeok="t" o:connecttype="rect"/>
        </v:shapetype>
        <v:shape id="Text Box 40" o:spid="_x0000_s4103" type="#_x0000_t202" style="position:absolute;left:0;text-align:left;margin-left:1512.8pt;margin-top:11.35pt;width:294pt;height:22pt;z-index:2516613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" filled="f" stroked="f">
          <v:textbox>
            <w:txbxContent>
              <w:tbl>
                <w:tblPr>
                  <w:tblW w:w="5501" w:type="dxa"/>
                  <w:tblInd w:w="252" w:type="dxa"/>
                  <w:tblLayout w:type="fixed"/>
                  <w:tblCellMar>
                    <w:left w:w="0" w:type="dxa"/>
                    <w:right w:w="0" w:type="dxa"/>
                  </w:tblCellMar>
                  <w:tblLook w:val="0000"/>
                </w:tblPr>
                <w:tblGrid>
                  <w:gridCol w:w="5501"/>
                </w:tblGrid>
                <w:tr w:rsidR="006B0FAE">
                  <w:tc>
                    <w:tcPr>
                      <w:tcW w:w="5501" w:type="dxa"/>
                      <w:shd w:val="clear" w:color="auto" w:fill="auto"/>
                      <w:tcMar>
                        <w:right w:w="85" w:type="dxa"/>
                      </w:tcMar>
                    </w:tcPr>
                    <w:p w:rsidR="006B0FAE" w:rsidRDefault="006B0FAE" w:rsidP="001220C3">
                      <w:pPr>
                        <w:pStyle w:val="Huisstijl-Koptekst"/>
                        <w:jc w:val="right"/>
                      </w:pPr>
                      <w:bookmarkStart w:id="35" w:name="bmKoptekstSectie4_2" w:colFirst="0" w:colLast="0"/>
                      <w:r>
                        <w:t>1208955-002-ZKS-0001, 9 April 2014, draft</w:t>
                      </w:r>
                    </w:p>
                  </w:tc>
                </w:tr>
                <w:bookmarkEnd w:id="35"/>
              </w:tbl>
              <w:p w:rsidR="006B0FAE" w:rsidRDefault="006B0FAE" w:rsidP="001220C3"/>
            </w:txbxContent>
          </v:textbox>
          <w10:wrap anchorx="margin"/>
        </v:shape>
      </w:pict>
    </w:r>
  </w:p>
  <w:p w:rsidR="006B0FAE" w:rsidRPr="00982765" w:rsidRDefault="006B0FAE" w:rsidP="00B24026">
    <w:pPr>
      <w:pStyle w:val="Header"/>
    </w:pPr>
    <w:r w:rsidRPr="008135ED">
      <w:rPr>
        <w:noProof/>
        <w:lang w:eastAsia="en-GB"/>
      </w:rPr>
      <w:pict>
        <v:shape id="Text Box 36" o:spid="_x0000_s4102" type="#_x0000_t202" style="position:absolute;left:0;text-align:left;margin-left:0;margin-top:36pt;width:264pt;height:99.2pt;z-index:-251657216;visibility:visible;mso-position-horizontal:lef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pPr>
                      <w:bookmarkStart w:id="36" w:name="bmLogoSectie4_2" w:colFirst="0" w:colLast="0"/>
                      <w:r>
                        <w:rPr>
                          <w:noProof/>
                          <w:lang w:val="el-GR" w:eastAsia="el-GR"/>
                        </w:rPr>
                        <w:drawing>
                          <wp:inline distT="0" distB="0" distL="0" distR="0">
                            <wp:extent cx="1225296" cy="352044"/>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6"/>
              </w:tbl>
              <w:p w:rsidR="006B0FAE" w:rsidRDefault="006B0FAE" w:rsidP="00B24026"/>
            </w:txbxContent>
          </v:textbox>
          <w10:wrap anchorx="margin" anchory="page"/>
          <w10:anchorlock/>
        </v:shape>
      </w:pict>
    </w:r>
  </w:p>
  <w:p w:rsidR="006B0FAE" w:rsidRPr="00672ACD" w:rsidRDefault="006B0FAE" w:rsidP="00B24026">
    <w:pPr>
      <w:pStyle w:val="Header"/>
    </w:pPr>
  </w:p>
  <w:p w:rsidR="006B0FAE" w:rsidRPr="00B24026" w:rsidRDefault="006B0FAE" w:rsidP="00B24026">
    <w:pPr>
      <w:pStyle w:val="Header"/>
    </w:pPr>
  </w:p>
  <w:p w:rsidR="006B0FAE" w:rsidRPr="00B24026" w:rsidRDefault="006B0FAE" w:rsidP="00B2402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E" w:rsidRDefault="006B0FAE" w:rsidP="00982765">
    <w:pPr>
      <w:pStyle w:val="Header"/>
    </w:pPr>
    <w:r w:rsidRPr="008135ED">
      <w:rPr>
        <w:noProof/>
        <w:lang w:eastAsia="en-GB"/>
      </w:rPr>
      <w:pict>
        <v:shapetype id="_x0000_t202" coordsize="21600,21600" o:spt="202" path="m,l,21600r21600,l21600,xe">
          <v:stroke joinstyle="miter"/>
          <v:path gradientshapeok="t" o:connecttype="rect"/>
        </v:shapetype>
        <v:shape id="Text Box 21" o:spid="_x0000_s4101" type="#_x0000_t202" style="position:absolute;left:0;text-align:left;margin-left:1332.8pt;margin-top:36pt;width:264pt;height:99.2pt;z-index:-251662336;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PbtQIAALM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" filled="f" stroked="f">
          <v:textbox inset="0,0,0,0">
            <w:txbxContent>
              <w:tbl>
                <w:tblPr>
                  <w:tblW w:w="0" w:type="auto"/>
                  <w:tblLayout w:type="fixed"/>
                  <w:tblCellMar>
                    <w:left w:w="0" w:type="dxa"/>
                    <w:right w:w="0" w:type="dxa"/>
                  </w:tblCellMar>
                  <w:tblLook w:val="0000"/>
                </w:tblPr>
                <w:tblGrid>
                  <w:gridCol w:w="4560"/>
                </w:tblGrid>
                <w:tr w:rsidR="006B0FAE">
                  <w:trPr>
                    <w:trHeight w:val="1701"/>
                  </w:trPr>
                  <w:tc>
                    <w:tcPr>
                      <w:tcW w:w="4560" w:type="dxa"/>
                      <w:shd w:val="clear" w:color="auto" w:fill="auto"/>
                    </w:tcPr>
                    <w:p w:rsidR="006B0FAE" w:rsidRDefault="006B0FAE" w:rsidP="005C1993">
                      <w:pPr>
                        <w:spacing w:line="240" w:lineRule="auto"/>
                        <w:jc w:val="right"/>
                      </w:pPr>
                      <w:bookmarkStart w:id="37" w:name="bmLogoSectie4_1" w:colFirst="0" w:colLast="0"/>
                      <w:r>
                        <w:rPr>
                          <w:noProof/>
                          <w:lang w:val="el-GR" w:eastAsia="el-GR"/>
                        </w:rPr>
                        <w:drawing>
                          <wp:inline distT="0" distB="0" distL="0" distR="0">
                            <wp:extent cx="1225296" cy="352044"/>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25296" cy="352044"/>
                                    </a:xfrm>
                                    <a:prstGeom prst="rect">
                                      <a:avLst/>
                                    </a:prstGeom>
                                  </pic:spPr>
                                </pic:pic>
                              </a:graphicData>
                            </a:graphic>
                          </wp:inline>
                        </w:drawing>
                      </w:r>
                    </w:p>
                  </w:tc>
                </w:tr>
                <w:bookmarkEnd w:id="37"/>
              </w:tbl>
              <w:p w:rsidR="006B0FAE" w:rsidRDefault="006B0FAE" w:rsidP="00E84D1E"/>
            </w:txbxContent>
          </v:textbox>
          <w10:wrap anchorx="page" anchory="page"/>
          <w10:anchorlock/>
        </v:shape>
      </w:pict>
    </w:r>
  </w:p>
  <w:tbl>
    <w:tblPr>
      <w:tblW w:w="0" w:type="auto"/>
      <w:tblLayout w:type="fixed"/>
      <w:tblCellMar>
        <w:left w:w="0" w:type="dxa"/>
        <w:right w:w="0" w:type="dxa"/>
      </w:tblCellMar>
      <w:tblLook w:val="0000"/>
    </w:tblPr>
    <w:tblGrid>
      <w:gridCol w:w="5812"/>
    </w:tblGrid>
    <w:tr w:rsidR="006B0FAE" w:rsidRPr="004C2206">
      <w:tc>
        <w:tcPr>
          <w:tcW w:w="5812" w:type="dxa"/>
          <w:shd w:val="clear" w:color="auto" w:fill="auto"/>
        </w:tcPr>
        <w:p w:rsidR="006B0FAE" w:rsidRPr="004C2206" w:rsidRDefault="006B0FAE" w:rsidP="00A00A21">
          <w:pPr>
            <w:pStyle w:val="Huisstijl-Koptekst"/>
          </w:pPr>
          <w:bookmarkStart w:id="38" w:name="bmKoptekstSectie4_1" w:colFirst="0" w:colLast="0"/>
          <w:r>
            <w:t>1208955-002-ZKS-0001, 9 April 2014, draft</w:t>
          </w:r>
          <w:bookmarkEnd w:id="38"/>
        </w:p>
      </w:tc>
    </w:tr>
  </w:tbl>
  <w:p w:rsidR="006B0FAE" w:rsidRPr="00982765" w:rsidRDefault="006B0FAE" w:rsidP="00A00A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77C8E9E"/>
    <w:lvl w:ilvl="0">
      <w:start w:val="1"/>
      <w:numFmt w:val="decimal"/>
      <w:lvlText w:val="%1."/>
      <w:lvlJc w:val="left"/>
      <w:pPr>
        <w:tabs>
          <w:tab w:val="num" w:pos="1492"/>
        </w:tabs>
        <w:ind w:left="1492" w:hanging="360"/>
      </w:pPr>
    </w:lvl>
  </w:abstractNum>
  <w:abstractNum w:abstractNumId="1">
    <w:nsid w:val="FFFFFF7D"/>
    <w:multiLevelType w:val="singleLevel"/>
    <w:tmpl w:val="8F623248"/>
    <w:lvl w:ilvl="0">
      <w:start w:val="1"/>
      <w:numFmt w:val="decimal"/>
      <w:lvlText w:val="%1."/>
      <w:lvlJc w:val="left"/>
      <w:pPr>
        <w:tabs>
          <w:tab w:val="num" w:pos="1209"/>
        </w:tabs>
        <w:ind w:left="1209" w:hanging="360"/>
      </w:pPr>
    </w:lvl>
  </w:abstractNum>
  <w:abstractNum w:abstractNumId="2">
    <w:nsid w:val="FFFFFF7E"/>
    <w:multiLevelType w:val="singleLevel"/>
    <w:tmpl w:val="D882A57E"/>
    <w:lvl w:ilvl="0">
      <w:start w:val="1"/>
      <w:numFmt w:val="decimal"/>
      <w:lvlText w:val="%1."/>
      <w:lvlJc w:val="left"/>
      <w:pPr>
        <w:tabs>
          <w:tab w:val="num" w:pos="926"/>
        </w:tabs>
        <w:ind w:left="926" w:hanging="360"/>
      </w:pPr>
    </w:lvl>
  </w:abstractNum>
  <w:abstractNum w:abstractNumId="3">
    <w:nsid w:val="FFFFFF7F"/>
    <w:multiLevelType w:val="singleLevel"/>
    <w:tmpl w:val="B1188482"/>
    <w:lvl w:ilvl="0">
      <w:start w:val="1"/>
      <w:numFmt w:val="decimal"/>
      <w:lvlText w:val="%1."/>
      <w:lvlJc w:val="left"/>
      <w:pPr>
        <w:tabs>
          <w:tab w:val="num" w:pos="643"/>
        </w:tabs>
        <w:ind w:left="643" w:hanging="360"/>
      </w:pPr>
    </w:lvl>
  </w:abstractNum>
  <w:abstractNum w:abstractNumId="4">
    <w:nsid w:val="FFFFFF88"/>
    <w:multiLevelType w:val="singleLevel"/>
    <w:tmpl w:val="FE26C492"/>
    <w:lvl w:ilvl="0">
      <w:start w:val="1"/>
      <w:numFmt w:val="decimal"/>
      <w:lvlText w:val="%1."/>
      <w:lvlJc w:val="left"/>
      <w:pPr>
        <w:tabs>
          <w:tab w:val="num" w:pos="360"/>
        </w:tabs>
        <w:ind w:left="360" w:hanging="360"/>
      </w:pPr>
    </w:lvl>
  </w:abstractNum>
  <w:abstractNum w:abstractNumId="5">
    <w:nsid w:val="0AF47152"/>
    <w:multiLevelType w:val="hybridMultilevel"/>
    <w:tmpl w:val="2A58D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057DC5"/>
    <w:multiLevelType w:val="multilevel"/>
    <w:tmpl w:val="0409001D"/>
    <w:name w:val="dBulleted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EC55D2C"/>
    <w:multiLevelType w:val="multilevel"/>
    <w:tmpl w:val="6298F500"/>
    <w:name w:val="DelNummering"/>
    <w:styleLink w:val="Huisstijl-LijstNummering"/>
    <w:lvl w:ilvl="0">
      <w:start w:val="1"/>
      <w:numFmt w:val="decimal"/>
      <w:lvlRestart w:val="0"/>
      <w:pStyle w:val="ListNumber"/>
      <w:lvlText w:val="%1"/>
      <w:lvlJc w:val="left"/>
      <w:pPr>
        <w:tabs>
          <w:tab w:val="num" w:pos="510"/>
        </w:tabs>
        <w:ind w:left="510" w:hanging="510"/>
      </w:pPr>
      <w:rPr>
        <w:rFonts w:hint="default"/>
      </w:rPr>
    </w:lvl>
    <w:lvl w:ilvl="1">
      <w:start w:val="1"/>
      <w:numFmt w:val="decimal"/>
      <w:pStyle w:val="ListNumber2"/>
      <w:lvlText w:val="%1.%2"/>
      <w:lvlJc w:val="left"/>
      <w:pPr>
        <w:tabs>
          <w:tab w:val="num" w:pos="510"/>
        </w:tabs>
        <w:ind w:left="510" w:hanging="510"/>
      </w:pPr>
      <w:rPr>
        <w:rFonts w:hint="default"/>
      </w:rPr>
    </w:lvl>
    <w:lvl w:ilvl="2">
      <w:start w:val="1"/>
      <w:numFmt w:val="decimal"/>
      <w:pStyle w:val="ListNumber3"/>
      <w:lvlText w:val="%1.%2.%3"/>
      <w:lvlJc w:val="left"/>
      <w:pPr>
        <w:tabs>
          <w:tab w:val="num" w:pos="737"/>
        </w:tabs>
        <w:ind w:left="737" w:hanging="737"/>
      </w:pPr>
      <w:rPr>
        <w:rFonts w:hint="default"/>
      </w:rPr>
    </w:lvl>
    <w:lvl w:ilvl="3">
      <w:start w:val="1"/>
      <w:numFmt w:val="none"/>
      <w:lvlText w:val=""/>
      <w:lvlJc w:val="left"/>
      <w:pPr>
        <w:tabs>
          <w:tab w:val="num" w:pos="737"/>
        </w:tabs>
        <w:ind w:left="737" w:firstLine="0"/>
      </w:pPr>
      <w:rPr>
        <w:rFonts w:hint="default"/>
      </w:rPr>
    </w:lvl>
    <w:lvl w:ilvl="4">
      <w:start w:val="1"/>
      <w:numFmt w:val="none"/>
      <w:suff w:val="nothing"/>
      <w:lvlText w:val=""/>
      <w:lvlJc w:val="left"/>
      <w:pPr>
        <w:ind w:left="737" w:firstLine="0"/>
      </w:pPr>
      <w:rPr>
        <w:rFonts w:hint="default"/>
      </w:rPr>
    </w:lvl>
    <w:lvl w:ilvl="5">
      <w:start w:val="1"/>
      <w:numFmt w:val="none"/>
      <w:suff w:val="nothing"/>
      <w:lvlText w:val=""/>
      <w:lvlJc w:val="left"/>
      <w:pPr>
        <w:ind w:left="737" w:firstLine="0"/>
      </w:pPr>
      <w:rPr>
        <w:rFonts w:hint="default"/>
      </w:rPr>
    </w:lvl>
    <w:lvl w:ilvl="6">
      <w:start w:val="1"/>
      <w:numFmt w:val="none"/>
      <w:suff w:val="nothing"/>
      <w:lvlText w:val=""/>
      <w:lvlJc w:val="left"/>
      <w:pPr>
        <w:ind w:left="737" w:firstLine="0"/>
      </w:pPr>
      <w:rPr>
        <w:rFonts w:hint="default"/>
      </w:rPr>
    </w:lvl>
    <w:lvl w:ilvl="7">
      <w:start w:val="1"/>
      <w:numFmt w:val="none"/>
      <w:suff w:val="nothing"/>
      <w:lvlText w:val=""/>
      <w:lvlJc w:val="left"/>
      <w:pPr>
        <w:ind w:left="737" w:firstLine="0"/>
      </w:pPr>
      <w:rPr>
        <w:rFonts w:hint="default"/>
      </w:rPr>
    </w:lvl>
    <w:lvl w:ilvl="8">
      <w:start w:val="1"/>
      <w:numFmt w:val="none"/>
      <w:suff w:val="nothing"/>
      <w:lvlText w:val=""/>
      <w:lvlJc w:val="left"/>
      <w:pPr>
        <w:ind w:left="737" w:firstLine="0"/>
      </w:pPr>
      <w:rPr>
        <w:rFonts w:hint="default"/>
      </w:rPr>
    </w:lvl>
  </w:abstractNum>
  <w:abstractNum w:abstractNumId="8">
    <w:nsid w:val="0FC10F1B"/>
    <w:multiLevelType w:val="multilevel"/>
    <w:tmpl w:val="799CF24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7D2763A"/>
    <w:multiLevelType w:val="hybridMultilevel"/>
    <w:tmpl w:val="9F6802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CF47317"/>
    <w:multiLevelType w:val="multilevel"/>
    <w:tmpl w:val="EBF8156E"/>
    <w:styleLink w:val="Huisstijl-LijstOpsomming"/>
    <w:lvl w:ilvl="0">
      <w:start w:val="1"/>
      <w:numFmt w:val="bullet"/>
      <w:lvlRestart w:val="0"/>
      <w:pStyle w:val="ListBullet"/>
      <w:lvlText w:val="•"/>
      <w:lvlJc w:val="left"/>
      <w:pPr>
        <w:tabs>
          <w:tab w:val="num" w:pos="510"/>
        </w:tabs>
        <w:ind w:left="510" w:hanging="510"/>
      </w:pPr>
      <w:rPr>
        <w:rFonts w:hint="default"/>
      </w:rPr>
    </w:lvl>
    <w:lvl w:ilvl="1">
      <w:start w:val="1"/>
      <w:numFmt w:val="bullet"/>
      <w:pStyle w:val="ListBullet2"/>
      <w:lvlText w:val="–"/>
      <w:lvlJc w:val="left"/>
      <w:pPr>
        <w:tabs>
          <w:tab w:val="num" w:pos="1020"/>
        </w:tabs>
        <w:ind w:left="1020" w:hanging="510"/>
      </w:pPr>
      <w:rPr>
        <w:rFonts w:hint="default"/>
      </w:rPr>
    </w:lvl>
    <w:lvl w:ilvl="2">
      <w:start w:val="1"/>
      <w:numFmt w:val="bullet"/>
      <w:pStyle w:val="ListBullet3"/>
      <w:lvlText w:val="—"/>
      <w:lvlJc w:val="left"/>
      <w:pPr>
        <w:tabs>
          <w:tab w:val="num" w:pos="1020"/>
        </w:tabs>
        <w:ind w:left="1020" w:hanging="510"/>
      </w:pPr>
      <w:rPr>
        <w:rFonts w:hint="default"/>
      </w:rPr>
    </w:lvl>
    <w:lvl w:ilvl="3">
      <w:start w:val="1"/>
      <w:numFmt w:val="none"/>
      <w:lvlText w:val=""/>
      <w:lvlJc w:val="left"/>
      <w:pPr>
        <w:tabs>
          <w:tab w:val="num" w:pos="1020"/>
        </w:tabs>
        <w:ind w:left="1020" w:firstLine="0"/>
      </w:pPr>
      <w:rPr>
        <w:rFonts w:hint="default"/>
      </w:rPr>
    </w:lvl>
    <w:lvl w:ilvl="4">
      <w:start w:val="1"/>
      <w:numFmt w:val="none"/>
      <w:lvlText w:val=""/>
      <w:lvlJc w:val="left"/>
      <w:pPr>
        <w:tabs>
          <w:tab w:val="num" w:pos="1020"/>
        </w:tabs>
        <w:ind w:left="1020" w:firstLine="0"/>
      </w:pPr>
      <w:rPr>
        <w:rFonts w:hint="default"/>
      </w:rPr>
    </w:lvl>
    <w:lvl w:ilvl="5">
      <w:start w:val="1"/>
      <w:numFmt w:val="none"/>
      <w:lvlText w:val=""/>
      <w:lvlJc w:val="left"/>
      <w:pPr>
        <w:tabs>
          <w:tab w:val="num" w:pos="1020"/>
        </w:tabs>
        <w:ind w:left="1020" w:firstLine="0"/>
      </w:pPr>
      <w:rPr>
        <w:rFonts w:hint="default"/>
      </w:rPr>
    </w:lvl>
    <w:lvl w:ilvl="6">
      <w:start w:val="1"/>
      <w:numFmt w:val="none"/>
      <w:lvlText w:val=""/>
      <w:lvlJc w:val="left"/>
      <w:pPr>
        <w:tabs>
          <w:tab w:val="num" w:pos="1020"/>
        </w:tabs>
        <w:ind w:left="1020" w:firstLine="0"/>
      </w:pPr>
      <w:rPr>
        <w:rFonts w:hint="default"/>
      </w:rPr>
    </w:lvl>
    <w:lvl w:ilvl="7">
      <w:start w:val="1"/>
      <w:numFmt w:val="none"/>
      <w:lvlText w:val=""/>
      <w:lvlJc w:val="left"/>
      <w:pPr>
        <w:tabs>
          <w:tab w:val="num" w:pos="1020"/>
        </w:tabs>
        <w:ind w:left="1020" w:firstLine="0"/>
      </w:pPr>
      <w:rPr>
        <w:rFonts w:hint="default"/>
      </w:rPr>
    </w:lvl>
    <w:lvl w:ilvl="8">
      <w:start w:val="1"/>
      <w:numFmt w:val="none"/>
      <w:lvlText w:val=""/>
      <w:lvlJc w:val="left"/>
      <w:pPr>
        <w:tabs>
          <w:tab w:val="num" w:pos="1020"/>
        </w:tabs>
        <w:ind w:left="1020" w:firstLine="0"/>
      </w:pPr>
      <w:rPr>
        <w:rFonts w:hint="default"/>
      </w:rPr>
    </w:lvl>
  </w:abstractNum>
  <w:abstractNum w:abstractNumId="11">
    <w:nsid w:val="25A73318"/>
    <w:multiLevelType w:val="multilevel"/>
    <w:tmpl w:val="6298F500"/>
    <w:numStyleLink w:val="Huisstijl-LijstNummering"/>
  </w:abstractNum>
  <w:abstractNum w:abstractNumId="12">
    <w:nsid w:val="30334E1D"/>
    <w:multiLevelType w:val="hybridMultilevel"/>
    <w:tmpl w:val="D32277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5919F7"/>
    <w:multiLevelType w:val="multilevel"/>
    <w:tmpl w:val="0409001D"/>
    <w:name w:val="dBulletedList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DDB323B"/>
    <w:multiLevelType w:val="multilevel"/>
    <w:tmpl w:val="662E4AEA"/>
    <w:lvl w:ilvl="0">
      <w:start w:val="1"/>
      <w:numFmt w:val="decimal"/>
      <w:lvlRestart w:val="0"/>
      <w:lvlText w:val="%1"/>
      <w:lvlJc w:val="left"/>
      <w:pPr>
        <w:tabs>
          <w:tab w:val="num" w:pos="510"/>
        </w:tabs>
        <w:ind w:left="510" w:hanging="510"/>
      </w:pPr>
    </w:lvl>
    <w:lvl w:ilvl="1">
      <w:start w:val="1"/>
      <w:numFmt w:val="decimal"/>
      <w:lvlText w:val="%1.%2"/>
      <w:lvlJc w:val="left"/>
      <w:pPr>
        <w:tabs>
          <w:tab w:val="num" w:pos="510"/>
        </w:tabs>
        <w:ind w:left="510" w:hanging="510"/>
      </w:pPr>
    </w:lvl>
    <w:lvl w:ilvl="2">
      <w:start w:val="1"/>
      <w:numFmt w:val="lowerLetter"/>
      <w:lvlText w:val="%3"/>
      <w:lvlJc w:val="left"/>
      <w:pPr>
        <w:tabs>
          <w:tab w:val="num" w:pos="1020"/>
        </w:tabs>
        <w:ind w:left="1020" w:hanging="510"/>
      </w:pPr>
    </w:lvl>
    <w:lvl w:ilvl="3">
      <w:start w:val="1"/>
      <w:numFmt w:val="none"/>
      <w:lvlText w:val=""/>
      <w:lvlJc w:val="left"/>
      <w:pPr>
        <w:tabs>
          <w:tab w:val="num" w:pos="1020"/>
        </w:tabs>
        <w:ind w:left="1020" w:firstLine="0"/>
      </w:pPr>
    </w:lvl>
    <w:lvl w:ilvl="4">
      <w:start w:val="1"/>
      <w:numFmt w:val="none"/>
      <w:suff w:val="nothing"/>
      <w:lvlText w:val=""/>
      <w:lvlJc w:val="left"/>
      <w:pPr>
        <w:ind w:left="1020" w:firstLine="0"/>
      </w:pPr>
    </w:lvl>
    <w:lvl w:ilvl="5">
      <w:start w:val="1"/>
      <w:numFmt w:val="none"/>
      <w:suff w:val="nothing"/>
      <w:lvlText w:val=""/>
      <w:lvlJc w:val="left"/>
      <w:pPr>
        <w:ind w:left="1020" w:firstLine="0"/>
      </w:pPr>
    </w:lvl>
    <w:lvl w:ilvl="6">
      <w:start w:val="1"/>
      <w:numFmt w:val="none"/>
      <w:suff w:val="nothing"/>
      <w:lvlText w:val=""/>
      <w:lvlJc w:val="left"/>
      <w:pPr>
        <w:ind w:left="1020" w:firstLine="0"/>
      </w:pPr>
    </w:lvl>
    <w:lvl w:ilvl="7">
      <w:start w:val="1"/>
      <w:numFmt w:val="none"/>
      <w:suff w:val="nothing"/>
      <w:lvlText w:val=""/>
      <w:lvlJc w:val="left"/>
      <w:pPr>
        <w:ind w:left="1020" w:firstLine="0"/>
      </w:pPr>
    </w:lvl>
    <w:lvl w:ilvl="8">
      <w:start w:val="1"/>
      <w:numFmt w:val="none"/>
      <w:suff w:val="nothing"/>
      <w:lvlText w:val=""/>
      <w:lvlJc w:val="left"/>
      <w:pPr>
        <w:ind w:left="1020" w:firstLine="0"/>
      </w:pPr>
    </w:lvl>
  </w:abstractNum>
  <w:abstractNum w:abstractNumId="15">
    <w:nsid w:val="3FAC6859"/>
    <w:multiLevelType w:val="multilevel"/>
    <w:tmpl w:val="B978A7B0"/>
    <w:lvl w:ilvl="0">
      <w:start w:val="3"/>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3FF96BE7"/>
    <w:multiLevelType w:val="hybridMultilevel"/>
    <w:tmpl w:val="71A41B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04904A9"/>
    <w:multiLevelType w:val="hybridMultilevel"/>
    <w:tmpl w:val="FA5883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5713188"/>
    <w:multiLevelType w:val="hybridMultilevel"/>
    <w:tmpl w:val="16EA68D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620D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4CC15629"/>
    <w:multiLevelType w:val="multilevel"/>
    <w:tmpl w:val="9684E13E"/>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56234A30"/>
    <w:multiLevelType w:val="multilevel"/>
    <w:tmpl w:val="0409001D"/>
    <w:name w:val="dBulletedList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A373D11"/>
    <w:multiLevelType w:val="multilevel"/>
    <w:tmpl w:val="981030C2"/>
    <w:name w:val="dBulletedList4"/>
    <w:lvl w:ilvl="0">
      <w:start w:val="1"/>
      <w:numFmt w:val="bullet"/>
      <w:lvlRestart w:val="0"/>
      <w:lvlText w:val="•"/>
      <w:lvlJc w:val="left"/>
      <w:pPr>
        <w:tabs>
          <w:tab w:val="num" w:pos="510"/>
        </w:tabs>
        <w:ind w:left="510" w:hanging="510"/>
      </w:pPr>
      <w:rPr>
        <w:rFonts w:hint="default"/>
      </w:rPr>
    </w:lvl>
    <w:lvl w:ilvl="1">
      <w:start w:val="1"/>
      <w:numFmt w:val="bullet"/>
      <w:lvlText w:val="–"/>
      <w:lvlJc w:val="left"/>
      <w:pPr>
        <w:tabs>
          <w:tab w:val="num" w:pos="1020"/>
        </w:tabs>
        <w:ind w:left="1020" w:hanging="510"/>
      </w:pPr>
      <w:rPr>
        <w:rFonts w:ascii="Arial" w:hAnsi="Arial" w:hint="default"/>
      </w:rPr>
    </w:lvl>
    <w:lvl w:ilvl="2">
      <w:start w:val="1"/>
      <w:numFmt w:val="bullet"/>
      <w:lvlText w:val="—"/>
      <w:lvlJc w:val="left"/>
      <w:pPr>
        <w:tabs>
          <w:tab w:val="num" w:pos="1020"/>
        </w:tabs>
        <w:ind w:left="1020" w:hanging="510"/>
      </w:pPr>
      <w:rPr>
        <w:rFonts w:ascii="Arial" w:hAnsi="Arial" w:hint="default"/>
      </w:rPr>
    </w:lvl>
    <w:lvl w:ilvl="3">
      <w:start w:val="1"/>
      <w:numFmt w:val="none"/>
      <w:pStyle w:val="ListBullet4"/>
      <w:lvlText w:val=""/>
      <w:lvlJc w:val="left"/>
      <w:pPr>
        <w:tabs>
          <w:tab w:val="num" w:pos="1020"/>
        </w:tabs>
        <w:ind w:left="1020" w:firstLine="0"/>
      </w:pPr>
      <w:rPr>
        <w:rFonts w:hint="default"/>
      </w:rPr>
    </w:lvl>
    <w:lvl w:ilvl="4">
      <w:start w:val="1"/>
      <w:numFmt w:val="none"/>
      <w:pStyle w:val="ListBullet5"/>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abstractNum w:abstractNumId="23">
    <w:nsid w:val="5AE13F50"/>
    <w:multiLevelType w:val="multilevel"/>
    <w:tmpl w:val="A04AE4CA"/>
    <w:name w:val="Deltares_Numbering"/>
    <w:lvl w:ilvl="0">
      <w:start w:val="1"/>
      <w:numFmt w:val="decimal"/>
      <w:pStyle w:val="Heading1"/>
      <w:lvlText w:val="%1"/>
      <w:lvlJc w:val="right"/>
      <w:pPr>
        <w:tabs>
          <w:tab w:val="num" w:pos="0"/>
        </w:tabs>
        <w:ind w:left="0" w:hanging="255"/>
      </w:pPr>
      <w:rPr>
        <w:rFonts w:hint="default"/>
      </w:rPr>
    </w:lvl>
    <w:lvl w:ilvl="1">
      <w:start w:val="1"/>
      <w:numFmt w:val="decimal"/>
      <w:pStyle w:val="Heading2"/>
      <w:lvlText w:val="%1.%2"/>
      <w:lvlJc w:val="right"/>
      <w:pPr>
        <w:tabs>
          <w:tab w:val="num" w:pos="0"/>
        </w:tabs>
        <w:ind w:left="0" w:hanging="255"/>
      </w:pPr>
      <w:rPr>
        <w:rFonts w:hint="default"/>
      </w:rPr>
    </w:lvl>
    <w:lvl w:ilvl="2">
      <w:start w:val="1"/>
      <w:numFmt w:val="decimal"/>
      <w:pStyle w:val="Heading3"/>
      <w:lvlText w:val="%1.%2.%3"/>
      <w:lvlJc w:val="right"/>
      <w:pPr>
        <w:tabs>
          <w:tab w:val="num" w:pos="0"/>
        </w:tabs>
        <w:ind w:left="0" w:hanging="255"/>
      </w:pPr>
      <w:rPr>
        <w:rFonts w:hint="default"/>
      </w:rPr>
    </w:lvl>
    <w:lvl w:ilvl="3">
      <w:start w:val="1"/>
      <w:numFmt w:val="decimal"/>
      <w:pStyle w:val="Heading4"/>
      <w:lvlText w:val="%1.%2.%3.%4"/>
      <w:lvlJc w:val="right"/>
      <w:pPr>
        <w:tabs>
          <w:tab w:val="num" w:pos="0"/>
        </w:tabs>
        <w:ind w:left="0" w:hanging="255"/>
      </w:pPr>
      <w:rPr>
        <w:rFonts w:hint="default"/>
      </w:rPr>
    </w:lvl>
    <w:lvl w:ilvl="4">
      <w:start w:val="1"/>
      <w:numFmt w:val="none"/>
      <w:pStyle w:val="Heading5"/>
      <w:lvlText w:val="%1.%2.%3.%4.%5"/>
      <w:lvlJc w:val="right"/>
      <w:pPr>
        <w:tabs>
          <w:tab w:val="num" w:pos="0"/>
        </w:tabs>
        <w:ind w:left="0" w:hanging="255"/>
      </w:pPr>
      <w:rPr>
        <w:rFonts w:hint="default"/>
      </w:rPr>
    </w:lvl>
    <w:lvl w:ilvl="5">
      <w:start w:val="1"/>
      <w:numFmt w:val="upperLetter"/>
      <w:lvlRestart w:val="1"/>
      <w:pStyle w:val="Heading6"/>
      <w:lvlText w:val="%6"/>
      <w:lvlJc w:val="right"/>
      <w:pPr>
        <w:tabs>
          <w:tab w:val="num" w:pos="0"/>
        </w:tabs>
        <w:ind w:left="0" w:hanging="255"/>
      </w:pPr>
      <w:rPr>
        <w:rFonts w:hint="default"/>
      </w:rPr>
    </w:lvl>
    <w:lvl w:ilvl="6">
      <w:start w:val="1"/>
      <w:numFmt w:val="decimal"/>
      <w:pStyle w:val="Heading7"/>
      <w:lvlText w:val="%6.%7"/>
      <w:lvlJc w:val="right"/>
      <w:pPr>
        <w:tabs>
          <w:tab w:val="num" w:pos="0"/>
        </w:tabs>
        <w:ind w:left="0" w:hanging="255"/>
      </w:pPr>
      <w:rPr>
        <w:rFonts w:hint="default"/>
      </w:rPr>
    </w:lvl>
    <w:lvl w:ilvl="7">
      <w:start w:val="1"/>
      <w:numFmt w:val="decimal"/>
      <w:pStyle w:val="Heading8"/>
      <w:lvlText w:val="%6.%7.%8"/>
      <w:lvlJc w:val="right"/>
      <w:pPr>
        <w:tabs>
          <w:tab w:val="num" w:pos="0"/>
        </w:tabs>
        <w:ind w:left="0" w:hanging="255"/>
      </w:pPr>
      <w:rPr>
        <w:rFonts w:hint="default"/>
      </w:rPr>
    </w:lvl>
    <w:lvl w:ilvl="8">
      <w:start w:val="1"/>
      <w:numFmt w:val="decimal"/>
      <w:pStyle w:val="Heading9"/>
      <w:lvlText w:val="%6.%7.%8.%9"/>
      <w:lvlJc w:val="right"/>
      <w:pPr>
        <w:tabs>
          <w:tab w:val="num" w:pos="0"/>
        </w:tabs>
        <w:ind w:left="0" w:hanging="255"/>
      </w:pPr>
      <w:rPr>
        <w:rFonts w:hint="default"/>
      </w:rPr>
    </w:lvl>
  </w:abstractNum>
  <w:abstractNum w:abstractNumId="24">
    <w:nsid w:val="5D7528E8"/>
    <w:multiLevelType w:val="hybridMultilevel"/>
    <w:tmpl w:val="18F4B3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60D93172"/>
    <w:multiLevelType w:val="multilevel"/>
    <w:tmpl w:val="017C291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388372A"/>
    <w:multiLevelType w:val="multilevel"/>
    <w:tmpl w:val="0409001D"/>
    <w:name w:val="dBulletedList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7EF10C8"/>
    <w:multiLevelType w:val="hybridMultilevel"/>
    <w:tmpl w:val="559242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9A11C6E"/>
    <w:multiLevelType w:val="multilevel"/>
    <w:tmpl w:val="0409001D"/>
    <w:name w:val="Deltares_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19C3E1F"/>
    <w:multiLevelType w:val="multilevel"/>
    <w:tmpl w:val="3F225600"/>
    <w:lvl w:ilvl="0">
      <w:start w:val="1"/>
      <w:numFmt w:val="bullet"/>
      <w:lvlRestart w:val="0"/>
      <w:lvlText w:val="•"/>
      <w:lvlJc w:val="left"/>
      <w:pPr>
        <w:tabs>
          <w:tab w:val="num" w:pos="1076"/>
        </w:tabs>
        <w:ind w:left="1076" w:hanging="510"/>
      </w:pPr>
      <w:rPr>
        <w:rFonts w:ascii="Arial" w:hAnsi="Arial" w:hint="default"/>
        <w:b w:val="0"/>
        <w:i w:val="0"/>
        <w:sz w:val="22"/>
      </w:rPr>
    </w:lvl>
    <w:lvl w:ilvl="1">
      <w:start w:val="1"/>
      <w:numFmt w:val="bullet"/>
      <w:lvlText w:val="–"/>
      <w:lvlJc w:val="left"/>
      <w:pPr>
        <w:tabs>
          <w:tab w:val="num" w:pos="1586"/>
        </w:tabs>
        <w:ind w:left="1586" w:hanging="510"/>
      </w:pPr>
      <w:rPr>
        <w:rFonts w:ascii="Arial" w:hAnsi="Arial" w:hint="default"/>
        <w:b w:val="0"/>
        <w:i w:val="0"/>
        <w:sz w:val="22"/>
      </w:rPr>
    </w:lvl>
    <w:lvl w:ilvl="2">
      <w:start w:val="1"/>
      <w:numFmt w:val="bullet"/>
      <w:lvlText w:val="—"/>
      <w:lvlJc w:val="left"/>
      <w:pPr>
        <w:tabs>
          <w:tab w:val="num" w:pos="1586"/>
        </w:tabs>
        <w:ind w:left="1586" w:hanging="510"/>
      </w:pPr>
      <w:rPr>
        <w:rFonts w:ascii="Arial" w:hAnsi="Arial" w:hint="default"/>
        <w:b w:val="0"/>
        <w:i w:val="0"/>
        <w:sz w:val="22"/>
      </w:rPr>
    </w:lvl>
    <w:lvl w:ilvl="3">
      <w:start w:val="1"/>
      <w:numFmt w:val="none"/>
      <w:lvlText w:val=""/>
      <w:lvlJc w:val="left"/>
      <w:pPr>
        <w:tabs>
          <w:tab w:val="num" w:pos="1586"/>
        </w:tabs>
        <w:ind w:left="1586" w:firstLine="0"/>
      </w:pPr>
      <w:rPr>
        <w:rFonts w:hint="default"/>
      </w:rPr>
    </w:lvl>
    <w:lvl w:ilvl="4">
      <w:start w:val="1"/>
      <w:numFmt w:val="none"/>
      <w:suff w:val="nothing"/>
      <w:lvlText w:val=""/>
      <w:lvlJc w:val="left"/>
      <w:pPr>
        <w:ind w:left="1586" w:firstLine="0"/>
      </w:pPr>
      <w:rPr>
        <w:rFonts w:hint="default"/>
      </w:rPr>
    </w:lvl>
    <w:lvl w:ilvl="5">
      <w:start w:val="1"/>
      <w:numFmt w:val="none"/>
      <w:suff w:val="nothing"/>
      <w:lvlText w:val=""/>
      <w:lvlJc w:val="left"/>
      <w:pPr>
        <w:ind w:left="1586" w:firstLine="0"/>
      </w:pPr>
      <w:rPr>
        <w:rFonts w:hint="default"/>
      </w:rPr>
    </w:lvl>
    <w:lvl w:ilvl="6">
      <w:start w:val="1"/>
      <w:numFmt w:val="none"/>
      <w:suff w:val="nothing"/>
      <w:lvlText w:val=""/>
      <w:lvlJc w:val="left"/>
      <w:pPr>
        <w:ind w:left="1586" w:firstLine="0"/>
      </w:pPr>
      <w:rPr>
        <w:rFonts w:hint="default"/>
      </w:rPr>
    </w:lvl>
    <w:lvl w:ilvl="7">
      <w:start w:val="1"/>
      <w:numFmt w:val="none"/>
      <w:suff w:val="nothing"/>
      <w:lvlText w:val=""/>
      <w:lvlJc w:val="left"/>
      <w:pPr>
        <w:ind w:left="1586" w:firstLine="0"/>
      </w:pPr>
      <w:rPr>
        <w:rFonts w:hint="default"/>
      </w:rPr>
    </w:lvl>
    <w:lvl w:ilvl="8">
      <w:start w:val="1"/>
      <w:numFmt w:val="none"/>
      <w:suff w:val="nothing"/>
      <w:lvlText w:val=""/>
      <w:lvlJc w:val="left"/>
      <w:pPr>
        <w:ind w:left="1586" w:firstLine="0"/>
      </w:pPr>
      <w:rPr>
        <w:rFonts w:hint="default"/>
      </w:rPr>
    </w:lvl>
  </w:abstractNum>
  <w:abstractNum w:abstractNumId="30">
    <w:nsid w:val="79812AF5"/>
    <w:multiLevelType w:val="hybridMultilevel"/>
    <w:tmpl w:val="8CA8B4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262206"/>
    <w:multiLevelType w:val="hybridMultilevel"/>
    <w:tmpl w:val="16F88D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C632716"/>
    <w:multiLevelType w:val="hybridMultilevel"/>
    <w:tmpl w:val="ADCE6A62"/>
    <w:lvl w:ilvl="0" w:tplc="0602D5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E15488C"/>
    <w:multiLevelType w:val="multilevel"/>
    <w:tmpl w:val="929C03F8"/>
    <w:name w:val="dNumberedList"/>
    <w:lvl w:ilvl="0">
      <w:start w:val="1"/>
      <w:numFmt w:val="decimal"/>
      <w:lvlRestart w:val="0"/>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37"/>
        </w:tabs>
        <w:ind w:left="737" w:hanging="737"/>
      </w:pPr>
      <w:rPr>
        <w:rFonts w:hint="default"/>
      </w:rPr>
    </w:lvl>
    <w:lvl w:ilvl="3">
      <w:start w:val="1"/>
      <w:numFmt w:val="none"/>
      <w:pStyle w:val="ListNumber4"/>
      <w:lvlText w:val=""/>
      <w:lvlJc w:val="left"/>
      <w:pPr>
        <w:tabs>
          <w:tab w:val="num" w:pos="1020"/>
        </w:tabs>
        <w:ind w:left="1020" w:firstLine="0"/>
      </w:pPr>
      <w:rPr>
        <w:rFonts w:hint="default"/>
      </w:rPr>
    </w:lvl>
    <w:lvl w:ilvl="4">
      <w:start w:val="1"/>
      <w:numFmt w:val="none"/>
      <w:pStyle w:val="ListNumber5"/>
      <w:suff w:val="nothing"/>
      <w:lvlText w:val=""/>
      <w:lvlJc w:val="left"/>
      <w:pPr>
        <w:ind w:left="1020" w:firstLine="0"/>
      </w:pPr>
      <w:rPr>
        <w:rFonts w:hint="default"/>
      </w:rPr>
    </w:lvl>
    <w:lvl w:ilvl="5">
      <w:start w:val="1"/>
      <w:numFmt w:val="none"/>
      <w:suff w:val="nothing"/>
      <w:lvlText w:val=""/>
      <w:lvlJc w:val="left"/>
      <w:pPr>
        <w:ind w:left="1020" w:firstLine="0"/>
      </w:pPr>
      <w:rPr>
        <w:rFonts w:hint="default"/>
      </w:rPr>
    </w:lvl>
    <w:lvl w:ilvl="6">
      <w:start w:val="1"/>
      <w:numFmt w:val="none"/>
      <w:suff w:val="nothing"/>
      <w:lvlText w:val=""/>
      <w:lvlJc w:val="left"/>
      <w:pPr>
        <w:ind w:left="1020" w:firstLine="0"/>
      </w:pPr>
      <w:rPr>
        <w:rFonts w:hint="default"/>
      </w:rPr>
    </w:lvl>
    <w:lvl w:ilvl="7">
      <w:start w:val="1"/>
      <w:numFmt w:val="none"/>
      <w:suff w:val="nothing"/>
      <w:lvlText w:val=""/>
      <w:lvlJc w:val="left"/>
      <w:pPr>
        <w:ind w:left="1020" w:firstLine="0"/>
      </w:pPr>
      <w:rPr>
        <w:rFonts w:hint="default"/>
      </w:rPr>
    </w:lvl>
    <w:lvl w:ilvl="8">
      <w:start w:val="1"/>
      <w:numFmt w:val="none"/>
      <w:suff w:val="nothing"/>
      <w:lvlText w:val=""/>
      <w:lvlJc w:val="left"/>
      <w:pPr>
        <w:ind w:left="1020" w:firstLine="0"/>
      </w:pPr>
      <w:rPr>
        <w:rFonts w:hint="default"/>
      </w:rPr>
    </w:lvl>
  </w:abstractNum>
  <w:num w:numId="1">
    <w:abstractNumId w:val="23"/>
  </w:num>
  <w:num w:numId="2">
    <w:abstractNumId w:val="29"/>
  </w:num>
  <w:num w:numId="3">
    <w:abstractNumId w:val="3"/>
  </w:num>
  <w:num w:numId="4">
    <w:abstractNumId w:val="4"/>
  </w:num>
  <w:num w:numId="5">
    <w:abstractNumId w:val="2"/>
  </w:num>
  <w:num w:numId="6">
    <w:abstractNumId w:val="1"/>
  </w:num>
  <w:num w:numId="7">
    <w:abstractNumId w:val="0"/>
  </w:num>
  <w:num w:numId="8">
    <w:abstractNumId w:val="22"/>
  </w:num>
  <w:num w:numId="9">
    <w:abstractNumId w:val="21"/>
  </w:num>
  <w:num w:numId="10">
    <w:abstractNumId w:val="28"/>
  </w:num>
  <w:num w:numId="11">
    <w:abstractNumId w:val="33"/>
  </w:num>
  <w:num w:numId="12">
    <w:abstractNumId w:val="14"/>
  </w:num>
  <w:num w:numId="13">
    <w:abstractNumId w:val="10"/>
  </w:num>
  <w:num w:numId="14">
    <w:abstractNumId w:val="10"/>
  </w:num>
  <w:num w:numId="15">
    <w:abstractNumId w:val="10"/>
  </w:num>
  <w:num w:numId="16">
    <w:abstractNumId w:val="10"/>
  </w:num>
  <w:num w:numId="17">
    <w:abstractNumId w:val="7"/>
  </w:num>
  <w:num w:numId="18">
    <w:abstractNumId w:val="11"/>
  </w:num>
  <w:num w:numId="19">
    <w:abstractNumId w:val="11"/>
  </w:num>
  <w:num w:numId="20">
    <w:abstractNumId w:val="11"/>
  </w:num>
  <w:num w:numId="21">
    <w:abstractNumId w:val="32"/>
  </w:num>
  <w:num w:numId="22">
    <w:abstractNumId w:val="30"/>
  </w:num>
  <w:num w:numId="23">
    <w:abstractNumId w:val="12"/>
  </w:num>
  <w:num w:numId="24">
    <w:abstractNumId w:val="25"/>
  </w:num>
  <w:num w:numId="25">
    <w:abstractNumId w:val="8"/>
  </w:num>
  <w:num w:numId="26">
    <w:abstractNumId w:val="19"/>
  </w:num>
  <w:num w:numId="27">
    <w:abstractNumId w:val="18"/>
  </w:num>
  <w:num w:numId="28">
    <w:abstractNumId w:val="27"/>
  </w:num>
  <w:num w:numId="29">
    <w:abstractNumId w:val="17"/>
  </w:num>
  <w:num w:numId="30">
    <w:abstractNumId w:val="31"/>
  </w:num>
  <w:num w:numId="31">
    <w:abstractNumId w:val="5"/>
  </w:num>
  <w:num w:numId="32">
    <w:abstractNumId w:val="16"/>
  </w:num>
  <w:num w:numId="33">
    <w:abstractNumId w:val="9"/>
  </w:num>
  <w:num w:numId="34">
    <w:abstractNumId w:val="15"/>
  </w:num>
  <w:num w:numId="35">
    <w:abstractNumId w:val="24"/>
  </w:num>
  <w:num w:numId="36">
    <w:abstractNumId w:val="2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stylePaneFormatFilter w:val="3F04"/>
  <w:defaultTabStop w:val="720"/>
  <w:hyphenationZone w:val="425"/>
  <w:evenAndOddHeaders/>
  <w:drawingGridHorizontalSpacing w:val="105"/>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docVars>
    <w:docVar w:name="!ReportCmdVersion" w:val=", B"/>
    <w:docVar w:name="_AanmaakDatum" w:val="09-04-2014"/>
    <w:docVar w:name="_AanmaakGebruiker" w:val="jebbari"/>
    <w:docVar w:name="_KlantCode" w:val="Deltares"/>
    <w:docVar w:name="_LicCode" w:val="Deltares"/>
    <w:docVar w:name="_Versie" w:val="2012.2.8"/>
    <w:docVar w:name="Aanhef" w:val="Geachte heer, mevrouw"/>
    <w:docVar w:name="AfdelingID" w:val="0"/>
    <w:docVar w:name="Auteurs" w:val="Nicky Villars_x000D__x000A_Myra van der Meulen"/>
    <w:docVar w:name="Bedrijf" w:val="Deltares"/>
    <w:docVar w:name="BedrijfID" w:val="7"/>
    <w:docVar w:name="BedrijfStatutair" w:val="Stichting Deltares"/>
    <w:docVar w:name="BijlageCC" w:val="0"/>
    <w:docVar w:name="CapIndex" w:val="1"/>
    <w:docVar w:name="CapsInChap" w:val="-32765"/>
    <w:docVar w:name="Classificatie" w:val="none"/>
    <w:docVar w:name="ClassificatieIndex" w:val="0"/>
    <w:docVar w:name="Contactpersoon" w:val="jebbari"/>
    <w:docVar w:name="ContactpersoonID" w:val="1763"/>
    <w:docVar w:name="ContactpersoonVoluit" w:val="Viola Jebbari"/>
    <w:docVar w:name="Datum" w:val="09-04-2014"/>
    <w:docVar w:name="DatumRefOpgehaald" w:val="09-04-2014"/>
    <w:docVar w:name="DocID" w:val="{CF2ABE30-16C0-4919-AEE1-6329EE959A73}"/>
    <w:docVar w:name="DocPubliceerStatus" w:val="0"/>
    <w:docVar w:name="DocRegFileName" w:val="Projects\1208500\1208955\1208955-002-ZKS-0001-r-Development of a shared data and information system between the EU and the Regional Sea Conventions.docx"/>
    <w:docVar w:name="DocRootDocID" w:val="{8144637A-89E2-4834-9B9B-D50FAD52E13F}"/>
    <w:docVar w:name="Doorkiesfaxnummer" w:val="+31 (0)88 33 58 582"/>
    <w:docVar w:name="Doorkiesnummer" w:val="+088 335 765 9"/>
    <w:docVar w:name="DubbelzijdigPrinten" w:val="1"/>
    <w:docVar w:name="Email" w:val="viola.jebbari@deltares.nl"/>
    <w:docVar w:name="Expiratie" w:val="0"/>
    <w:docVar w:name="GebrDRContactID" w:val="7"/>
    <w:docVar w:name="InclBijlage" w:val="ja"/>
    <w:docVar w:name="Initialen" w:val="0"/>
    <w:docVar w:name="Kaft" w:val="1"/>
    <w:docVar w:name="KaftBedrijf" w:val="Deltares"/>
    <w:docVar w:name="KaftGeplaatst" w:val="1"/>
    <w:docVar w:name="MergeLayout" w:val="RelatieBeheer"/>
    <w:docVar w:name="MergeStatus" w:val="-1"/>
    <w:docVar w:name="Nummer" w:val="1"/>
    <w:docVar w:name="Ondertekenaar" w:val="jebbari"/>
    <w:docVar w:name="Onderwerp" w:val="Development of a shared data and information system between the EU and the Regional Sea Conventions"/>
    <w:docVar w:name="PaginaNaKaft" w:val="2"/>
    <w:docVar w:name="ProjDocRegDir" w:val="1208500\1208955"/>
    <w:docVar w:name="Project" w:val="1208955-002"/>
    <w:docVar w:name="ProjID" w:val="98843"/>
    <w:docVar w:name="ProjNaam" w:val="Development of a shared data between EU and the Regional Sea Conventions | EU Data &amp; info - Task 1&amp;2 RSC' s"/>
    <w:docVar w:name="ProjNr" w:val="1208955-002"/>
    <w:docVar w:name="Referentie" w:val="1208955-002-ZKS-0001"/>
    <w:docVar w:name="ReferentieGegenereerd" w:val="1208955-002-ZKS-0001"/>
    <w:docVar w:name="Sjabloon" w:val="Rapport"/>
    <w:docVar w:name="SjabloonID" w:val="35"/>
    <w:docVar w:name="SjabloonType" w:val="RAPPORT"/>
    <w:docVar w:name="Status" w:val="draft"/>
    <w:docVar w:name="Status_Disclamer" w:val="This is a draft report, intended for discussion purposes only. No part of this report may be relied upon by either principals or third parties."/>
    <w:docVar w:name="Status_Kaft" w:val="Kaft_Draft.jpg"/>
    <w:docVar w:name="Status_KaftGeplaatst" w:val="draft"/>
    <w:docVar w:name="SubTitel" w:val="Regional Sea Conventions data flows for eutrophication and hazardous substances"/>
    <w:docVar w:name="SubTitelPlaatsen" w:val="1"/>
    <w:docVar w:name="Taal" w:val="EN"/>
    <w:docVar w:name="TotAantalPag" w:val="1"/>
    <w:docVar w:name="TotNaderOrder" w:val="0"/>
    <w:docVar w:name="Verberg" w:val="1"/>
    <w:docVar w:name="Vestiging" w:val="Delft-Boussinesqweg 1"/>
    <w:docVar w:name="VestigingID" w:val="3"/>
    <w:docVar w:name="VestigingOmschr" w:val="Delft-Boussinesqweg 1"/>
    <w:docVar w:name="VoettekstBijlage" w:val="Development of a shared data and information system between the EU and the Regional Sea Conventions - Regional Sea Conventions data flows for eutrophication and hazardous substances"/>
    <w:docVar w:name="VoorAkkoordNaam_Status" w:val="0"/>
    <w:docVar w:name="Wijzig" w:val="1"/>
  </w:docVars>
  <w:rsids>
    <w:rsidRoot w:val="00465736"/>
    <w:rsid w:val="00000DFA"/>
    <w:rsid w:val="00001483"/>
    <w:rsid w:val="000048E5"/>
    <w:rsid w:val="00004A20"/>
    <w:rsid w:val="00013D53"/>
    <w:rsid w:val="00020A45"/>
    <w:rsid w:val="00024286"/>
    <w:rsid w:val="00030F5C"/>
    <w:rsid w:val="000369FA"/>
    <w:rsid w:val="00042E48"/>
    <w:rsid w:val="00044F95"/>
    <w:rsid w:val="0004754A"/>
    <w:rsid w:val="00055E5F"/>
    <w:rsid w:val="00060DFF"/>
    <w:rsid w:val="00066A7F"/>
    <w:rsid w:val="00066B50"/>
    <w:rsid w:val="00075442"/>
    <w:rsid w:val="00080512"/>
    <w:rsid w:val="00084901"/>
    <w:rsid w:val="00084F19"/>
    <w:rsid w:val="000A0227"/>
    <w:rsid w:val="000A0AEF"/>
    <w:rsid w:val="000A4EDE"/>
    <w:rsid w:val="000B39C6"/>
    <w:rsid w:val="000B5D5D"/>
    <w:rsid w:val="000B656E"/>
    <w:rsid w:val="000C47B4"/>
    <w:rsid w:val="000C6523"/>
    <w:rsid w:val="000D32A8"/>
    <w:rsid w:val="000D3C82"/>
    <w:rsid w:val="000D68B7"/>
    <w:rsid w:val="000D6C53"/>
    <w:rsid w:val="000D75E6"/>
    <w:rsid w:val="000E1715"/>
    <w:rsid w:val="000E2FAB"/>
    <w:rsid w:val="000F7572"/>
    <w:rsid w:val="000F7A4E"/>
    <w:rsid w:val="000F7BA6"/>
    <w:rsid w:val="000F7CB2"/>
    <w:rsid w:val="000F7DC4"/>
    <w:rsid w:val="001026AB"/>
    <w:rsid w:val="001131C0"/>
    <w:rsid w:val="001163BC"/>
    <w:rsid w:val="001220C3"/>
    <w:rsid w:val="001222CF"/>
    <w:rsid w:val="00126332"/>
    <w:rsid w:val="00127085"/>
    <w:rsid w:val="00127086"/>
    <w:rsid w:val="00127E17"/>
    <w:rsid w:val="001328AA"/>
    <w:rsid w:val="00134487"/>
    <w:rsid w:val="00137530"/>
    <w:rsid w:val="00151657"/>
    <w:rsid w:val="00151E27"/>
    <w:rsid w:val="00152764"/>
    <w:rsid w:val="001531CD"/>
    <w:rsid w:val="001614EA"/>
    <w:rsid w:val="001733F5"/>
    <w:rsid w:val="0017686D"/>
    <w:rsid w:val="00177A3F"/>
    <w:rsid w:val="00181100"/>
    <w:rsid w:val="00190628"/>
    <w:rsid w:val="00191AAD"/>
    <w:rsid w:val="0019563F"/>
    <w:rsid w:val="001963AF"/>
    <w:rsid w:val="001A0293"/>
    <w:rsid w:val="001A173D"/>
    <w:rsid w:val="001A6A5C"/>
    <w:rsid w:val="001B2D67"/>
    <w:rsid w:val="001B6DB4"/>
    <w:rsid w:val="001F0D75"/>
    <w:rsid w:val="001F4A39"/>
    <w:rsid w:val="001F7C1A"/>
    <w:rsid w:val="00214827"/>
    <w:rsid w:val="0021520E"/>
    <w:rsid w:val="002177F1"/>
    <w:rsid w:val="00226DA9"/>
    <w:rsid w:val="00230000"/>
    <w:rsid w:val="00234AE5"/>
    <w:rsid w:val="00250E5A"/>
    <w:rsid w:val="0026180A"/>
    <w:rsid w:val="00261D34"/>
    <w:rsid w:val="002739D4"/>
    <w:rsid w:val="00274DBE"/>
    <w:rsid w:val="002779CC"/>
    <w:rsid w:val="00290633"/>
    <w:rsid w:val="002A725F"/>
    <w:rsid w:val="002B05D3"/>
    <w:rsid w:val="002B659F"/>
    <w:rsid w:val="002C3E00"/>
    <w:rsid w:val="002D0105"/>
    <w:rsid w:val="002D3555"/>
    <w:rsid w:val="002D3969"/>
    <w:rsid w:val="002D554C"/>
    <w:rsid w:val="002E33F1"/>
    <w:rsid w:val="002F08C7"/>
    <w:rsid w:val="002F20E2"/>
    <w:rsid w:val="002F74CE"/>
    <w:rsid w:val="00301CB2"/>
    <w:rsid w:val="00302469"/>
    <w:rsid w:val="0030508C"/>
    <w:rsid w:val="00311581"/>
    <w:rsid w:val="003126C9"/>
    <w:rsid w:val="00322163"/>
    <w:rsid w:val="00322936"/>
    <w:rsid w:val="00334A78"/>
    <w:rsid w:val="00335622"/>
    <w:rsid w:val="00345581"/>
    <w:rsid w:val="00346078"/>
    <w:rsid w:val="003461A2"/>
    <w:rsid w:val="0034637D"/>
    <w:rsid w:val="0035275D"/>
    <w:rsid w:val="00353D3D"/>
    <w:rsid w:val="00354EC7"/>
    <w:rsid w:val="00356B28"/>
    <w:rsid w:val="0036457F"/>
    <w:rsid w:val="0037416E"/>
    <w:rsid w:val="0037613D"/>
    <w:rsid w:val="00380784"/>
    <w:rsid w:val="00386EDA"/>
    <w:rsid w:val="003A234F"/>
    <w:rsid w:val="003A4857"/>
    <w:rsid w:val="003A62D1"/>
    <w:rsid w:val="003A6419"/>
    <w:rsid w:val="003B0006"/>
    <w:rsid w:val="003B16D2"/>
    <w:rsid w:val="003B4B11"/>
    <w:rsid w:val="003C4FD0"/>
    <w:rsid w:val="003D22D1"/>
    <w:rsid w:val="003E50CA"/>
    <w:rsid w:val="003F3700"/>
    <w:rsid w:val="003F69D5"/>
    <w:rsid w:val="003F6EE6"/>
    <w:rsid w:val="003F7C0B"/>
    <w:rsid w:val="00403CE6"/>
    <w:rsid w:val="004131BF"/>
    <w:rsid w:val="00413E96"/>
    <w:rsid w:val="00426356"/>
    <w:rsid w:val="00427213"/>
    <w:rsid w:val="00440D67"/>
    <w:rsid w:val="00440D74"/>
    <w:rsid w:val="00450C44"/>
    <w:rsid w:val="00451CD8"/>
    <w:rsid w:val="0045650A"/>
    <w:rsid w:val="00462763"/>
    <w:rsid w:val="00462796"/>
    <w:rsid w:val="0046323E"/>
    <w:rsid w:val="00464739"/>
    <w:rsid w:val="00465736"/>
    <w:rsid w:val="00466842"/>
    <w:rsid w:val="00467FE2"/>
    <w:rsid w:val="00472C3F"/>
    <w:rsid w:val="004768CC"/>
    <w:rsid w:val="004842C6"/>
    <w:rsid w:val="0048627D"/>
    <w:rsid w:val="00486BDF"/>
    <w:rsid w:val="00495678"/>
    <w:rsid w:val="00497015"/>
    <w:rsid w:val="004B0852"/>
    <w:rsid w:val="004B48B8"/>
    <w:rsid w:val="004C00DD"/>
    <w:rsid w:val="004C2206"/>
    <w:rsid w:val="004C267F"/>
    <w:rsid w:val="004C33FD"/>
    <w:rsid w:val="004C437C"/>
    <w:rsid w:val="004D2970"/>
    <w:rsid w:val="004D3AE5"/>
    <w:rsid w:val="004E27A9"/>
    <w:rsid w:val="004E5D2E"/>
    <w:rsid w:val="004E75A6"/>
    <w:rsid w:val="004F347F"/>
    <w:rsid w:val="004F7BA0"/>
    <w:rsid w:val="005028DE"/>
    <w:rsid w:val="00503BBE"/>
    <w:rsid w:val="00504E55"/>
    <w:rsid w:val="00524402"/>
    <w:rsid w:val="00532742"/>
    <w:rsid w:val="00533AE9"/>
    <w:rsid w:val="005412DC"/>
    <w:rsid w:val="00543B00"/>
    <w:rsid w:val="0054650C"/>
    <w:rsid w:val="00547675"/>
    <w:rsid w:val="00561A7A"/>
    <w:rsid w:val="0056330A"/>
    <w:rsid w:val="00564E53"/>
    <w:rsid w:val="00580167"/>
    <w:rsid w:val="00580600"/>
    <w:rsid w:val="00585E95"/>
    <w:rsid w:val="005959AB"/>
    <w:rsid w:val="005A226E"/>
    <w:rsid w:val="005A4C3A"/>
    <w:rsid w:val="005A59EB"/>
    <w:rsid w:val="005A6455"/>
    <w:rsid w:val="005B259B"/>
    <w:rsid w:val="005B799C"/>
    <w:rsid w:val="005C0002"/>
    <w:rsid w:val="005C1993"/>
    <w:rsid w:val="005C6157"/>
    <w:rsid w:val="005D783A"/>
    <w:rsid w:val="005F0E58"/>
    <w:rsid w:val="005F18CA"/>
    <w:rsid w:val="005F3838"/>
    <w:rsid w:val="005F4F6C"/>
    <w:rsid w:val="00600772"/>
    <w:rsid w:val="0060280A"/>
    <w:rsid w:val="0060323D"/>
    <w:rsid w:val="00605CB6"/>
    <w:rsid w:val="00607A55"/>
    <w:rsid w:val="00612845"/>
    <w:rsid w:val="00615ED7"/>
    <w:rsid w:val="00634651"/>
    <w:rsid w:val="00642005"/>
    <w:rsid w:val="006437F3"/>
    <w:rsid w:val="00643B6B"/>
    <w:rsid w:val="00650E68"/>
    <w:rsid w:val="006517FF"/>
    <w:rsid w:val="006563B0"/>
    <w:rsid w:val="0065776D"/>
    <w:rsid w:val="006577E6"/>
    <w:rsid w:val="00660A7A"/>
    <w:rsid w:val="00661216"/>
    <w:rsid w:val="006666A7"/>
    <w:rsid w:val="00672ACD"/>
    <w:rsid w:val="0067431E"/>
    <w:rsid w:val="00676C59"/>
    <w:rsid w:val="00677F3C"/>
    <w:rsid w:val="00683377"/>
    <w:rsid w:val="0069001A"/>
    <w:rsid w:val="00693549"/>
    <w:rsid w:val="00694D36"/>
    <w:rsid w:val="00697E0F"/>
    <w:rsid w:val="006A0A14"/>
    <w:rsid w:val="006A0DD5"/>
    <w:rsid w:val="006B0FAE"/>
    <w:rsid w:val="006C06A2"/>
    <w:rsid w:val="006D352F"/>
    <w:rsid w:val="006D68DB"/>
    <w:rsid w:val="006E6FCC"/>
    <w:rsid w:val="006E7349"/>
    <w:rsid w:val="006F13CA"/>
    <w:rsid w:val="006F2D89"/>
    <w:rsid w:val="007023BD"/>
    <w:rsid w:val="00702DA1"/>
    <w:rsid w:val="00704AA3"/>
    <w:rsid w:val="00710CB9"/>
    <w:rsid w:val="00727A35"/>
    <w:rsid w:val="007322D6"/>
    <w:rsid w:val="00740BA3"/>
    <w:rsid w:val="00750606"/>
    <w:rsid w:val="00764EF6"/>
    <w:rsid w:val="007651C6"/>
    <w:rsid w:val="00767D0D"/>
    <w:rsid w:val="00780FFB"/>
    <w:rsid w:val="00781A2C"/>
    <w:rsid w:val="00790328"/>
    <w:rsid w:val="0079438C"/>
    <w:rsid w:val="007B0777"/>
    <w:rsid w:val="007B518E"/>
    <w:rsid w:val="007B5F9A"/>
    <w:rsid w:val="007C0AAB"/>
    <w:rsid w:val="007C234C"/>
    <w:rsid w:val="007C2623"/>
    <w:rsid w:val="007D5040"/>
    <w:rsid w:val="007D6712"/>
    <w:rsid w:val="007E3909"/>
    <w:rsid w:val="007E4D10"/>
    <w:rsid w:val="00803D16"/>
    <w:rsid w:val="008135ED"/>
    <w:rsid w:val="00817CCC"/>
    <w:rsid w:val="008254DE"/>
    <w:rsid w:val="008258F5"/>
    <w:rsid w:val="008323AA"/>
    <w:rsid w:val="00844C43"/>
    <w:rsid w:val="00845F81"/>
    <w:rsid w:val="00846680"/>
    <w:rsid w:val="008468BA"/>
    <w:rsid w:val="00852513"/>
    <w:rsid w:val="00852810"/>
    <w:rsid w:val="00854C84"/>
    <w:rsid w:val="008634BE"/>
    <w:rsid w:val="00863CA7"/>
    <w:rsid w:val="00864AB0"/>
    <w:rsid w:val="00864C9E"/>
    <w:rsid w:val="00864F21"/>
    <w:rsid w:val="008723CD"/>
    <w:rsid w:val="0087712B"/>
    <w:rsid w:val="0087724A"/>
    <w:rsid w:val="008779CF"/>
    <w:rsid w:val="00880F74"/>
    <w:rsid w:val="00884F59"/>
    <w:rsid w:val="0089205E"/>
    <w:rsid w:val="0089534E"/>
    <w:rsid w:val="008A157B"/>
    <w:rsid w:val="008A4FDE"/>
    <w:rsid w:val="008B1324"/>
    <w:rsid w:val="008B4A97"/>
    <w:rsid w:val="008C4282"/>
    <w:rsid w:val="008C44D1"/>
    <w:rsid w:val="008C4B63"/>
    <w:rsid w:val="008C7D8E"/>
    <w:rsid w:val="008D4822"/>
    <w:rsid w:val="008E4EE3"/>
    <w:rsid w:val="008F1625"/>
    <w:rsid w:val="008F1D52"/>
    <w:rsid w:val="008F2590"/>
    <w:rsid w:val="008F31AE"/>
    <w:rsid w:val="008F7B70"/>
    <w:rsid w:val="009008DF"/>
    <w:rsid w:val="009013F8"/>
    <w:rsid w:val="009068A3"/>
    <w:rsid w:val="00914CDA"/>
    <w:rsid w:val="00924DA3"/>
    <w:rsid w:val="00925A4D"/>
    <w:rsid w:val="00934A6B"/>
    <w:rsid w:val="009416E3"/>
    <w:rsid w:val="00943AF1"/>
    <w:rsid w:val="00956500"/>
    <w:rsid w:val="009578F4"/>
    <w:rsid w:val="0096070E"/>
    <w:rsid w:val="00962FFD"/>
    <w:rsid w:val="00964119"/>
    <w:rsid w:val="00967EB6"/>
    <w:rsid w:val="00970DED"/>
    <w:rsid w:val="00972803"/>
    <w:rsid w:val="00980780"/>
    <w:rsid w:val="00982765"/>
    <w:rsid w:val="00986AF0"/>
    <w:rsid w:val="00987279"/>
    <w:rsid w:val="00994211"/>
    <w:rsid w:val="009951BB"/>
    <w:rsid w:val="0099628C"/>
    <w:rsid w:val="00996EE8"/>
    <w:rsid w:val="009970A9"/>
    <w:rsid w:val="009973CC"/>
    <w:rsid w:val="009A0C6C"/>
    <w:rsid w:val="009A6B83"/>
    <w:rsid w:val="009A7268"/>
    <w:rsid w:val="009B2A47"/>
    <w:rsid w:val="009B6FA8"/>
    <w:rsid w:val="009C0A08"/>
    <w:rsid w:val="009C6702"/>
    <w:rsid w:val="009C7811"/>
    <w:rsid w:val="009D285C"/>
    <w:rsid w:val="009D498C"/>
    <w:rsid w:val="009D53DE"/>
    <w:rsid w:val="009D7D25"/>
    <w:rsid w:val="009E3CFF"/>
    <w:rsid w:val="009E4220"/>
    <w:rsid w:val="009E5515"/>
    <w:rsid w:val="009F1C66"/>
    <w:rsid w:val="009F3192"/>
    <w:rsid w:val="009F4534"/>
    <w:rsid w:val="00A00A21"/>
    <w:rsid w:val="00A03481"/>
    <w:rsid w:val="00A11D9F"/>
    <w:rsid w:val="00A1366F"/>
    <w:rsid w:val="00A1473F"/>
    <w:rsid w:val="00A16165"/>
    <w:rsid w:val="00A21DE8"/>
    <w:rsid w:val="00A2242F"/>
    <w:rsid w:val="00A22DA3"/>
    <w:rsid w:val="00A23B40"/>
    <w:rsid w:val="00A24E41"/>
    <w:rsid w:val="00A352A6"/>
    <w:rsid w:val="00A365E7"/>
    <w:rsid w:val="00A373CC"/>
    <w:rsid w:val="00A37D9C"/>
    <w:rsid w:val="00A4416E"/>
    <w:rsid w:val="00A45B92"/>
    <w:rsid w:val="00A537E1"/>
    <w:rsid w:val="00A54C9C"/>
    <w:rsid w:val="00A60C9C"/>
    <w:rsid w:val="00A65370"/>
    <w:rsid w:val="00A656EB"/>
    <w:rsid w:val="00A66FA6"/>
    <w:rsid w:val="00A673B7"/>
    <w:rsid w:val="00A730A0"/>
    <w:rsid w:val="00A73DC4"/>
    <w:rsid w:val="00A74B63"/>
    <w:rsid w:val="00A77411"/>
    <w:rsid w:val="00A82751"/>
    <w:rsid w:val="00A86CEE"/>
    <w:rsid w:val="00A92FC8"/>
    <w:rsid w:val="00A93DAF"/>
    <w:rsid w:val="00A96F2D"/>
    <w:rsid w:val="00AA055D"/>
    <w:rsid w:val="00AA20F1"/>
    <w:rsid w:val="00AA68D5"/>
    <w:rsid w:val="00AB5F4D"/>
    <w:rsid w:val="00AD0635"/>
    <w:rsid w:val="00AD076A"/>
    <w:rsid w:val="00AD1317"/>
    <w:rsid w:val="00AD27B5"/>
    <w:rsid w:val="00AD2B97"/>
    <w:rsid w:val="00AD6D29"/>
    <w:rsid w:val="00AD6D59"/>
    <w:rsid w:val="00AE1F10"/>
    <w:rsid w:val="00AE3062"/>
    <w:rsid w:val="00AF31F8"/>
    <w:rsid w:val="00AF57A5"/>
    <w:rsid w:val="00AF659F"/>
    <w:rsid w:val="00B011B1"/>
    <w:rsid w:val="00B04FA5"/>
    <w:rsid w:val="00B055A9"/>
    <w:rsid w:val="00B110F9"/>
    <w:rsid w:val="00B121FE"/>
    <w:rsid w:val="00B12272"/>
    <w:rsid w:val="00B13B75"/>
    <w:rsid w:val="00B170CC"/>
    <w:rsid w:val="00B2070D"/>
    <w:rsid w:val="00B2095E"/>
    <w:rsid w:val="00B21768"/>
    <w:rsid w:val="00B22563"/>
    <w:rsid w:val="00B24026"/>
    <w:rsid w:val="00B3216C"/>
    <w:rsid w:val="00B32B0E"/>
    <w:rsid w:val="00B338F0"/>
    <w:rsid w:val="00B4092B"/>
    <w:rsid w:val="00B41D16"/>
    <w:rsid w:val="00B4323C"/>
    <w:rsid w:val="00B54BCC"/>
    <w:rsid w:val="00B54FB5"/>
    <w:rsid w:val="00B67AE0"/>
    <w:rsid w:val="00B732AC"/>
    <w:rsid w:val="00B81B0E"/>
    <w:rsid w:val="00B86C64"/>
    <w:rsid w:val="00B91E8A"/>
    <w:rsid w:val="00BA307F"/>
    <w:rsid w:val="00BA628F"/>
    <w:rsid w:val="00BA6CF5"/>
    <w:rsid w:val="00BC3325"/>
    <w:rsid w:val="00BC4B4F"/>
    <w:rsid w:val="00BC6C1F"/>
    <w:rsid w:val="00BC7D41"/>
    <w:rsid w:val="00BD2B24"/>
    <w:rsid w:val="00BD3CC9"/>
    <w:rsid w:val="00BE09E8"/>
    <w:rsid w:val="00BE3CF5"/>
    <w:rsid w:val="00BE56F7"/>
    <w:rsid w:val="00BE65B5"/>
    <w:rsid w:val="00BE6D89"/>
    <w:rsid w:val="00BF0332"/>
    <w:rsid w:val="00BF0A14"/>
    <w:rsid w:val="00C044DA"/>
    <w:rsid w:val="00C10B15"/>
    <w:rsid w:val="00C12060"/>
    <w:rsid w:val="00C20E72"/>
    <w:rsid w:val="00C220C6"/>
    <w:rsid w:val="00C3092D"/>
    <w:rsid w:val="00C42E30"/>
    <w:rsid w:val="00C4554D"/>
    <w:rsid w:val="00C50CBA"/>
    <w:rsid w:val="00C512FB"/>
    <w:rsid w:val="00C52DA8"/>
    <w:rsid w:val="00C5403C"/>
    <w:rsid w:val="00C55BE8"/>
    <w:rsid w:val="00C60F1A"/>
    <w:rsid w:val="00C653A8"/>
    <w:rsid w:val="00C72885"/>
    <w:rsid w:val="00C72F8C"/>
    <w:rsid w:val="00C93C6D"/>
    <w:rsid w:val="00CA0E00"/>
    <w:rsid w:val="00CA2D32"/>
    <w:rsid w:val="00CA43AA"/>
    <w:rsid w:val="00CA7EE5"/>
    <w:rsid w:val="00CB073A"/>
    <w:rsid w:val="00CB6F07"/>
    <w:rsid w:val="00CC4573"/>
    <w:rsid w:val="00CC56DA"/>
    <w:rsid w:val="00CC657B"/>
    <w:rsid w:val="00CD2B70"/>
    <w:rsid w:val="00CD4F68"/>
    <w:rsid w:val="00CD5551"/>
    <w:rsid w:val="00CE50D7"/>
    <w:rsid w:val="00CF776E"/>
    <w:rsid w:val="00D026DC"/>
    <w:rsid w:val="00D02D06"/>
    <w:rsid w:val="00D07DFF"/>
    <w:rsid w:val="00D12E8B"/>
    <w:rsid w:val="00D20521"/>
    <w:rsid w:val="00D31B0A"/>
    <w:rsid w:val="00D33BDF"/>
    <w:rsid w:val="00D40B9B"/>
    <w:rsid w:val="00D41416"/>
    <w:rsid w:val="00D4409E"/>
    <w:rsid w:val="00D55936"/>
    <w:rsid w:val="00D616FB"/>
    <w:rsid w:val="00D617FD"/>
    <w:rsid w:val="00D656D3"/>
    <w:rsid w:val="00D861A8"/>
    <w:rsid w:val="00D9342E"/>
    <w:rsid w:val="00D96A86"/>
    <w:rsid w:val="00DA13B3"/>
    <w:rsid w:val="00DA4079"/>
    <w:rsid w:val="00DA6437"/>
    <w:rsid w:val="00DB2061"/>
    <w:rsid w:val="00DC0AE3"/>
    <w:rsid w:val="00DC2B92"/>
    <w:rsid w:val="00DC37D4"/>
    <w:rsid w:val="00DC3A00"/>
    <w:rsid w:val="00DC55D8"/>
    <w:rsid w:val="00DC705B"/>
    <w:rsid w:val="00DD70B9"/>
    <w:rsid w:val="00DE0FD5"/>
    <w:rsid w:val="00DE10C9"/>
    <w:rsid w:val="00DE21B0"/>
    <w:rsid w:val="00DE4870"/>
    <w:rsid w:val="00DE6E72"/>
    <w:rsid w:val="00E000C1"/>
    <w:rsid w:val="00E00681"/>
    <w:rsid w:val="00E04463"/>
    <w:rsid w:val="00E05966"/>
    <w:rsid w:val="00E12D88"/>
    <w:rsid w:val="00E13FCF"/>
    <w:rsid w:val="00E15E42"/>
    <w:rsid w:val="00E1693A"/>
    <w:rsid w:val="00E178EC"/>
    <w:rsid w:val="00E23841"/>
    <w:rsid w:val="00E266CF"/>
    <w:rsid w:val="00E32292"/>
    <w:rsid w:val="00E32690"/>
    <w:rsid w:val="00E41F11"/>
    <w:rsid w:val="00E43C26"/>
    <w:rsid w:val="00E5143D"/>
    <w:rsid w:val="00E51CF8"/>
    <w:rsid w:val="00E52236"/>
    <w:rsid w:val="00E62F84"/>
    <w:rsid w:val="00E67307"/>
    <w:rsid w:val="00E71C76"/>
    <w:rsid w:val="00E822F0"/>
    <w:rsid w:val="00E837A0"/>
    <w:rsid w:val="00E84D1E"/>
    <w:rsid w:val="00E850E3"/>
    <w:rsid w:val="00E86FE0"/>
    <w:rsid w:val="00E87D0D"/>
    <w:rsid w:val="00EA41C7"/>
    <w:rsid w:val="00EB2594"/>
    <w:rsid w:val="00EB4C48"/>
    <w:rsid w:val="00EB7AC6"/>
    <w:rsid w:val="00EB7C9E"/>
    <w:rsid w:val="00EC2F6D"/>
    <w:rsid w:val="00EC5066"/>
    <w:rsid w:val="00ED34E4"/>
    <w:rsid w:val="00EE1A48"/>
    <w:rsid w:val="00EE1B16"/>
    <w:rsid w:val="00EE234A"/>
    <w:rsid w:val="00EF05C1"/>
    <w:rsid w:val="00EF1CDD"/>
    <w:rsid w:val="00EF1EB4"/>
    <w:rsid w:val="00F03DB4"/>
    <w:rsid w:val="00F07219"/>
    <w:rsid w:val="00F15E0D"/>
    <w:rsid w:val="00F317B0"/>
    <w:rsid w:val="00F31B95"/>
    <w:rsid w:val="00F421FD"/>
    <w:rsid w:val="00F43BE9"/>
    <w:rsid w:val="00F464B3"/>
    <w:rsid w:val="00F56122"/>
    <w:rsid w:val="00F61547"/>
    <w:rsid w:val="00F620CB"/>
    <w:rsid w:val="00F7036A"/>
    <w:rsid w:val="00F71874"/>
    <w:rsid w:val="00F812C3"/>
    <w:rsid w:val="00F82B93"/>
    <w:rsid w:val="00F85264"/>
    <w:rsid w:val="00F96AF3"/>
    <w:rsid w:val="00FA11DE"/>
    <w:rsid w:val="00FB3C01"/>
    <w:rsid w:val="00FC64E6"/>
    <w:rsid w:val="00FD0F3F"/>
    <w:rsid w:val="00FD567B"/>
    <w:rsid w:val="00FE0E27"/>
    <w:rsid w:val="00FE3564"/>
    <w:rsid w:val="00FE3E69"/>
    <w:rsid w:val="00FE78B7"/>
    <w:rsid w:val="00FF3245"/>
    <w:rsid w:val="00FF3C93"/>
    <w:rsid w:val="00FF53BE"/>
    <w:rsid w:val="00FF589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6"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841"/>
    <w:pPr>
      <w:spacing w:line="255" w:lineRule="atLeast"/>
      <w:jc w:val="both"/>
    </w:pPr>
    <w:rPr>
      <w:rFonts w:ascii="Arial" w:hAnsi="Arial" w:cs="Arial"/>
      <w:sz w:val="21"/>
      <w:szCs w:val="24"/>
      <w:lang w:val="en-GB" w:eastAsia="en-US"/>
    </w:rPr>
  </w:style>
  <w:style w:type="paragraph" w:styleId="Heading1">
    <w:name w:val="heading 1"/>
    <w:basedOn w:val="Normal"/>
    <w:next w:val="Normal"/>
    <w:qFormat/>
    <w:rsid w:val="008468BA"/>
    <w:pPr>
      <w:keepNext/>
      <w:keepLines/>
      <w:numPr>
        <w:numId w:val="1"/>
      </w:numPr>
      <w:spacing w:before="255" w:after="510" w:line="240" w:lineRule="auto"/>
      <w:jc w:val="left"/>
      <w:outlineLvl w:val="0"/>
    </w:pPr>
    <w:rPr>
      <w:b/>
      <w:bCs/>
      <w:sz w:val="30"/>
      <w:szCs w:val="32"/>
    </w:rPr>
  </w:style>
  <w:style w:type="paragraph" w:styleId="Heading2">
    <w:name w:val="heading 2"/>
    <w:basedOn w:val="Heading1"/>
    <w:next w:val="Normal"/>
    <w:qFormat/>
    <w:rsid w:val="008468BA"/>
    <w:pPr>
      <w:numPr>
        <w:ilvl w:val="1"/>
      </w:numPr>
      <w:spacing w:after="0" w:line="255" w:lineRule="exact"/>
      <w:outlineLvl w:val="1"/>
    </w:pPr>
    <w:rPr>
      <w:bCs w:val="0"/>
      <w:iCs/>
      <w:sz w:val="21"/>
      <w:szCs w:val="28"/>
    </w:rPr>
  </w:style>
  <w:style w:type="paragraph" w:styleId="Heading3">
    <w:name w:val="heading 3"/>
    <w:basedOn w:val="Heading2"/>
    <w:next w:val="Normal"/>
    <w:qFormat/>
    <w:rsid w:val="008468BA"/>
    <w:pPr>
      <w:numPr>
        <w:ilvl w:val="2"/>
      </w:numPr>
      <w:outlineLvl w:val="2"/>
    </w:pPr>
    <w:rPr>
      <w:b w:val="0"/>
      <w:bCs/>
      <w:szCs w:val="26"/>
    </w:rPr>
  </w:style>
  <w:style w:type="paragraph" w:styleId="Heading4">
    <w:name w:val="heading 4"/>
    <w:basedOn w:val="Heading3"/>
    <w:next w:val="Normal"/>
    <w:qFormat/>
    <w:rsid w:val="008468BA"/>
    <w:pPr>
      <w:numPr>
        <w:ilvl w:val="3"/>
      </w:numPr>
      <w:outlineLvl w:val="3"/>
    </w:pPr>
    <w:rPr>
      <w:bCs w:val="0"/>
      <w:i/>
      <w:szCs w:val="28"/>
    </w:rPr>
  </w:style>
  <w:style w:type="paragraph" w:styleId="Heading5">
    <w:name w:val="heading 5"/>
    <w:basedOn w:val="Heading4"/>
    <w:next w:val="Normal"/>
    <w:qFormat/>
    <w:rsid w:val="008468BA"/>
    <w:pPr>
      <w:numPr>
        <w:ilvl w:val="4"/>
      </w:numPr>
      <w:outlineLvl w:val="4"/>
    </w:pPr>
    <w:rPr>
      <w:bCs/>
      <w:iCs w:val="0"/>
      <w:szCs w:val="26"/>
    </w:rPr>
  </w:style>
  <w:style w:type="paragraph" w:styleId="Heading6">
    <w:name w:val="heading 6"/>
    <w:basedOn w:val="Heading1"/>
    <w:next w:val="Normal"/>
    <w:qFormat/>
    <w:rsid w:val="008468BA"/>
    <w:pPr>
      <w:numPr>
        <w:ilvl w:val="5"/>
      </w:numPr>
      <w:outlineLvl w:val="5"/>
    </w:pPr>
    <w:rPr>
      <w:bCs w:val="0"/>
      <w:szCs w:val="22"/>
    </w:rPr>
  </w:style>
  <w:style w:type="paragraph" w:styleId="Heading7">
    <w:name w:val="heading 7"/>
    <w:basedOn w:val="Heading2"/>
    <w:next w:val="Normal"/>
    <w:qFormat/>
    <w:rsid w:val="008468BA"/>
    <w:pPr>
      <w:numPr>
        <w:ilvl w:val="6"/>
      </w:numPr>
      <w:outlineLvl w:val="6"/>
    </w:pPr>
  </w:style>
  <w:style w:type="paragraph" w:styleId="Heading8">
    <w:name w:val="heading 8"/>
    <w:basedOn w:val="Heading3"/>
    <w:next w:val="Normal"/>
    <w:qFormat/>
    <w:rsid w:val="008468BA"/>
    <w:pPr>
      <w:numPr>
        <w:ilvl w:val="7"/>
      </w:numPr>
      <w:outlineLvl w:val="7"/>
    </w:pPr>
    <w:rPr>
      <w:iCs w:val="0"/>
    </w:rPr>
  </w:style>
  <w:style w:type="paragraph" w:styleId="Heading9">
    <w:name w:val="heading 9"/>
    <w:basedOn w:val="Heading4"/>
    <w:next w:val="Normal"/>
    <w:qFormat/>
    <w:rsid w:val="008468BA"/>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473F"/>
    <w:pPr>
      <w:tabs>
        <w:tab w:val="center" w:pos="4153"/>
        <w:tab w:val="right" w:pos="8306"/>
      </w:tabs>
    </w:pPr>
  </w:style>
  <w:style w:type="paragraph" w:styleId="Footer">
    <w:name w:val="footer"/>
    <w:basedOn w:val="Normal"/>
    <w:link w:val="FooterChar"/>
    <w:rsid w:val="00A1473F"/>
    <w:pPr>
      <w:tabs>
        <w:tab w:val="center" w:pos="4153"/>
        <w:tab w:val="right" w:pos="8306"/>
      </w:tabs>
    </w:pPr>
  </w:style>
  <w:style w:type="paragraph" w:customStyle="1" w:styleId="Huisstijl-Sjabloonnaam">
    <w:name w:val="Huisstijl-Sjabloonnaam"/>
    <w:basedOn w:val="Huisstijl-Naw"/>
    <w:rsid w:val="00817CCC"/>
    <w:pPr>
      <w:spacing w:before="255" w:after="255" w:line="255" w:lineRule="exact"/>
      <w:jc w:val="left"/>
    </w:pPr>
    <w:rPr>
      <w:b/>
      <w:sz w:val="36"/>
    </w:rPr>
  </w:style>
  <w:style w:type="paragraph" w:customStyle="1" w:styleId="Huisstijl-Adres">
    <w:name w:val="Huisstijl-Adres"/>
    <w:basedOn w:val="Huisstijl-Naw"/>
    <w:rsid w:val="00C50CBA"/>
  </w:style>
  <w:style w:type="paragraph" w:styleId="ListBullet">
    <w:name w:val="List Bullet"/>
    <w:basedOn w:val="Normal"/>
    <w:rsid w:val="005412DC"/>
    <w:pPr>
      <w:numPr>
        <w:numId w:val="16"/>
      </w:numPr>
    </w:pPr>
  </w:style>
  <w:style w:type="paragraph" w:customStyle="1" w:styleId="Huisstijl-Naw">
    <w:name w:val="Huisstijl-Naw"/>
    <w:basedOn w:val="Normal"/>
    <w:rsid w:val="00972803"/>
    <w:rPr>
      <w:noProof/>
    </w:rPr>
  </w:style>
  <w:style w:type="paragraph" w:customStyle="1" w:styleId="Huisstijl-Kopje">
    <w:name w:val="Huisstijl-Kopje"/>
    <w:basedOn w:val="Huisstijl-Naw"/>
    <w:rsid w:val="00C50CBA"/>
    <w:rPr>
      <w:b/>
      <w:sz w:val="17"/>
    </w:rPr>
  </w:style>
  <w:style w:type="paragraph" w:customStyle="1" w:styleId="Huisstijl-Gegeven">
    <w:name w:val="Huisstijl-Gegeven"/>
    <w:basedOn w:val="Huisstijl-Naw"/>
    <w:rsid w:val="00042E48"/>
    <w:pPr>
      <w:jc w:val="left"/>
    </w:pPr>
  </w:style>
  <w:style w:type="paragraph" w:styleId="ListBullet2">
    <w:name w:val="List Bullet 2"/>
    <w:basedOn w:val="ListBullet"/>
    <w:rsid w:val="005412DC"/>
    <w:pPr>
      <w:numPr>
        <w:ilvl w:val="1"/>
      </w:numPr>
    </w:pPr>
  </w:style>
  <w:style w:type="paragraph" w:customStyle="1" w:styleId="Huisstijl-Voettekst">
    <w:name w:val="Huisstijl-Voettekst"/>
    <w:basedOn w:val="Huisstijl-Naw"/>
    <w:rsid w:val="00B170CC"/>
    <w:rPr>
      <w:sz w:val="17"/>
    </w:rPr>
  </w:style>
  <w:style w:type="paragraph" w:customStyle="1" w:styleId="Kop1zondernummer">
    <w:name w:val="Kop 1 zonder nummer"/>
    <w:basedOn w:val="Heading1"/>
    <w:next w:val="Normal"/>
    <w:rsid w:val="009D285C"/>
    <w:pPr>
      <w:numPr>
        <w:numId w:val="0"/>
      </w:numPr>
    </w:pPr>
  </w:style>
  <w:style w:type="paragraph" w:customStyle="1" w:styleId="Kop2zondernummer">
    <w:name w:val="Kop 2 zonder nummer"/>
    <w:basedOn w:val="Heading2"/>
    <w:next w:val="Normal"/>
    <w:rsid w:val="009D285C"/>
    <w:pPr>
      <w:numPr>
        <w:ilvl w:val="0"/>
        <w:numId w:val="0"/>
      </w:numPr>
    </w:pPr>
  </w:style>
  <w:style w:type="paragraph" w:customStyle="1" w:styleId="Kop3zondernummer">
    <w:name w:val="Kop 3 zonder nummer"/>
    <w:basedOn w:val="Heading3"/>
    <w:next w:val="Normal"/>
    <w:rsid w:val="009D285C"/>
    <w:pPr>
      <w:numPr>
        <w:ilvl w:val="0"/>
        <w:numId w:val="0"/>
      </w:numPr>
    </w:pPr>
  </w:style>
  <w:style w:type="paragraph" w:customStyle="1" w:styleId="Huisstijl-Titel">
    <w:name w:val="Huisstijl-Titel"/>
    <w:basedOn w:val="Huisstijl-Naw"/>
    <w:rsid w:val="00817CCC"/>
    <w:pPr>
      <w:spacing w:line="510" w:lineRule="atLeast"/>
      <w:jc w:val="left"/>
    </w:pPr>
    <w:rPr>
      <w:b/>
      <w:sz w:val="36"/>
    </w:rPr>
  </w:style>
  <w:style w:type="paragraph" w:customStyle="1" w:styleId="Kop4zondernummer">
    <w:name w:val="Kop 4 zonder nummer"/>
    <w:basedOn w:val="Heading4"/>
    <w:next w:val="Normal"/>
    <w:rsid w:val="00677F3C"/>
    <w:pPr>
      <w:numPr>
        <w:ilvl w:val="0"/>
        <w:numId w:val="0"/>
      </w:numPr>
    </w:pPr>
  </w:style>
  <w:style w:type="paragraph" w:styleId="TOC1">
    <w:name w:val="toc 1"/>
    <w:basedOn w:val="Normal"/>
    <w:next w:val="Normal"/>
    <w:uiPriority w:val="39"/>
    <w:rsid w:val="00C044DA"/>
    <w:pPr>
      <w:tabs>
        <w:tab w:val="right" w:pos="8419"/>
      </w:tabs>
      <w:spacing w:before="255"/>
      <w:ind w:hanging="255"/>
      <w:jc w:val="left"/>
    </w:pPr>
    <w:rPr>
      <w:b/>
    </w:rPr>
  </w:style>
  <w:style w:type="paragraph" w:styleId="TOC2">
    <w:name w:val="toc 2"/>
    <w:basedOn w:val="Normal"/>
    <w:next w:val="Normal"/>
    <w:uiPriority w:val="39"/>
    <w:rsid w:val="00677F3C"/>
    <w:pPr>
      <w:tabs>
        <w:tab w:val="right" w:pos="8419"/>
      </w:tabs>
      <w:ind w:left="510" w:hanging="510"/>
      <w:jc w:val="left"/>
    </w:pPr>
  </w:style>
  <w:style w:type="paragraph" w:styleId="TOC3">
    <w:name w:val="toc 3"/>
    <w:basedOn w:val="Normal"/>
    <w:next w:val="Normal"/>
    <w:semiHidden/>
    <w:rsid w:val="00677F3C"/>
    <w:pPr>
      <w:tabs>
        <w:tab w:val="right" w:pos="8419"/>
      </w:tabs>
      <w:ind w:left="1276" w:hanging="765"/>
      <w:jc w:val="left"/>
    </w:pPr>
  </w:style>
  <w:style w:type="paragraph" w:customStyle="1" w:styleId="Huisstijl-Koptekst">
    <w:name w:val="Huisstijl-Koptekst"/>
    <w:basedOn w:val="Huisstijl-Naw"/>
    <w:rsid w:val="00A00A21"/>
    <w:rPr>
      <w:i/>
      <w:sz w:val="17"/>
    </w:rPr>
  </w:style>
  <w:style w:type="paragraph" w:customStyle="1" w:styleId="Huisstijl-Pagina">
    <w:name w:val="Huisstijl-Pagina"/>
    <w:basedOn w:val="Huisstijl-Gegeven"/>
    <w:rsid w:val="00B32B0E"/>
    <w:pPr>
      <w:jc w:val="right"/>
    </w:pPr>
    <w:rPr>
      <w:sz w:val="17"/>
    </w:rPr>
  </w:style>
  <w:style w:type="character" w:styleId="PageNumber">
    <w:name w:val="page number"/>
    <w:basedOn w:val="DefaultParagraphFont"/>
    <w:rsid w:val="00B32B0E"/>
  </w:style>
  <w:style w:type="paragraph" w:customStyle="1" w:styleId="Huisstijl-Subtitel">
    <w:name w:val="Huisstijl-Subtitel"/>
    <w:basedOn w:val="Huisstijl-Naw"/>
    <w:rsid w:val="00042E48"/>
    <w:pPr>
      <w:jc w:val="left"/>
    </w:pPr>
    <w:rPr>
      <w:b/>
    </w:rPr>
  </w:style>
  <w:style w:type="table" w:customStyle="1" w:styleId="dTable">
    <w:name w:val="d_Table"/>
    <w:basedOn w:val="TableGrid"/>
    <w:rsid w:val="003A4857"/>
    <w:rPr>
      <w:rFonts w:ascii="Arial" w:hAnsi="Arial"/>
      <w:sz w:val="18"/>
      <w:lang w:val="en-GB"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7"/>
      </w:rPr>
      <w:tblPr/>
      <w:tcPr>
        <w:shd w:val="clear" w:color="auto" w:fill="D9D9D9"/>
      </w:tcPr>
    </w:tblStylePr>
  </w:style>
  <w:style w:type="table" w:styleId="TableGrid">
    <w:name w:val="Table Grid"/>
    <w:basedOn w:val="TableNormal"/>
    <w:uiPriority w:val="59"/>
    <w:rsid w:val="003A4857"/>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uiPriority w:val="39"/>
    <w:rsid w:val="00E178EC"/>
    <w:pPr>
      <w:tabs>
        <w:tab w:val="right" w:pos="8419"/>
      </w:tabs>
      <w:spacing w:before="255"/>
      <w:ind w:hanging="255"/>
      <w:jc w:val="left"/>
    </w:pPr>
    <w:rPr>
      <w:b/>
    </w:rPr>
  </w:style>
  <w:style w:type="paragraph" w:styleId="TOC7">
    <w:name w:val="toc 7"/>
    <w:basedOn w:val="Normal"/>
    <w:next w:val="Normal"/>
    <w:semiHidden/>
    <w:rsid w:val="00E178EC"/>
    <w:pPr>
      <w:tabs>
        <w:tab w:val="right" w:pos="8419"/>
      </w:tabs>
      <w:ind w:left="510" w:hanging="510"/>
      <w:jc w:val="left"/>
    </w:pPr>
  </w:style>
  <w:style w:type="paragraph" w:styleId="TOC8">
    <w:name w:val="toc 8"/>
    <w:basedOn w:val="Normal"/>
    <w:next w:val="Normal"/>
    <w:semiHidden/>
    <w:rsid w:val="00E178EC"/>
    <w:pPr>
      <w:tabs>
        <w:tab w:val="right" w:pos="8419"/>
      </w:tabs>
      <w:ind w:left="1276" w:hanging="765"/>
      <w:jc w:val="left"/>
    </w:pPr>
  </w:style>
  <w:style w:type="paragraph" w:styleId="Caption">
    <w:name w:val="caption"/>
    <w:basedOn w:val="Normal"/>
    <w:next w:val="Normal"/>
    <w:qFormat/>
    <w:rsid w:val="005A4C3A"/>
    <w:pPr>
      <w:tabs>
        <w:tab w:val="left" w:pos="907"/>
      </w:tabs>
      <w:ind w:left="567" w:hanging="567"/>
      <w:jc w:val="left"/>
    </w:pPr>
    <w:rPr>
      <w:bCs/>
      <w:i/>
      <w:sz w:val="17"/>
      <w:szCs w:val="20"/>
    </w:rPr>
  </w:style>
  <w:style w:type="paragraph" w:styleId="FootnoteText">
    <w:name w:val="footnote text"/>
    <w:basedOn w:val="Normal"/>
    <w:next w:val="FootnoteTextnormal"/>
    <w:link w:val="FootnoteTextChar"/>
    <w:rsid w:val="00A23B40"/>
    <w:pPr>
      <w:ind w:hanging="340"/>
      <w:jc w:val="left"/>
    </w:pPr>
    <w:rPr>
      <w:i/>
      <w:sz w:val="17"/>
      <w:szCs w:val="20"/>
    </w:rPr>
  </w:style>
  <w:style w:type="paragraph" w:customStyle="1" w:styleId="HeadNoTOC">
    <w:name w:val="HeadNoTOC"/>
    <w:basedOn w:val="Normal"/>
    <w:next w:val="Normal"/>
    <w:rsid w:val="00864C9E"/>
    <w:pPr>
      <w:spacing w:before="255" w:after="510"/>
      <w:jc w:val="left"/>
    </w:pPr>
    <w:rPr>
      <w:b/>
      <w:sz w:val="30"/>
    </w:rPr>
  </w:style>
  <w:style w:type="paragraph" w:customStyle="1" w:styleId="ListofReferences">
    <w:name w:val="List of References"/>
    <w:basedOn w:val="Normal"/>
    <w:next w:val="Normal"/>
    <w:rsid w:val="00864C9E"/>
    <w:pPr>
      <w:spacing w:after="255"/>
      <w:ind w:left="765" w:hanging="765"/>
    </w:pPr>
  </w:style>
  <w:style w:type="paragraph" w:customStyle="1" w:styleId="Heading10">
    <w:name w:val="Heading 10"/>
    <w:basedOn w:val="Heading6"/>
    <w:next w:val="Normal"/>
    <w:rsid w:val="00B2095E"/>
    <w:pPr>
      <w:numPr>
        <w:ilvl w:val="0"/>
        <w:numId w:val="0"/>
      </w:numPr>
    </w:pPr>
  </w:style>
  <w:style w:type="paragraph" w:customStyle="1" w:styleId="FootnoteTextnormal">
    <w:name w:val="Footnote Text normal"/>
    <w:basedOn w:val="FootnoteText"/>
    <w:rsid w:val="00D31B0A"/>
    <w:pPr>
      <w:ind w:firstLine="0"/>
    </w:pPr>
  </w:style>
  <w:style w:type="paragraph" w:styleId="ListBullet3">
    <w:name w:val="List Bullet 3"/>
    <w:basedOn w:val="ListNumber2"/>
    <w:rsid w:val="005412DC"/>
    <w:pPr>
      <w:numPr>
        <w:ilvl w:val="2"/>
        <w:numId w:val="16"/>
      </w:numPr>
    </w:pPr>
  </w:style>
  <w:style w:type="paragraph" w:styleId="ListBullet4">
    <w:name w:val="List Bullet 4"/>
    <w:basedOn w:val="Normal"/>
    <w:rsid w:val="005A226E"/>
    <w:pPr>
      <w:numPr>
        <w:ilvl w:val="3"/>
        <w:numId w:val="8"/>
      </w:numPr>
    </w:pPr>
  </w:style>
  <w:style w:type="paragraph" w:styleId="ListBullet5">
    <w:name w:val="List Bullet 5"/>
    <w:basedOn w:val="Normal"/>
    <w:rsid w:val="005A226E"/>
    <w:pPr>
      <w:numPr>
        <w:ilvl w:val="4"/>
        <w:numId w:val="8"/>
      </w:numPr>
    </w:pPr>
  </w:style>
  <w:style w:type="paragraph" w:customStyle="1" w:styleId="dTableBodytext">
    <w:name w:val="d_Table_Body_text"/>
    <w:basedOn w:val="BodyText"/>
    <w:next w:val="BodyText"/>
    <w:rsid w:val="00F7036A"/>
    <w:pPr>
      <w:spacing w:after="0"/>
      <w:jc w:val="left"/>
    </w:pPr>
    <w:rPr>
      <w:sz w:val="18"/>
    </w:rPr>
  </w:style>
  <w:style w:type="paragraph" w:styleId="ListNumber2">
    <w:name w:val="List Number 2"/>
    <w:basedOn w:val="Normal"/>
    <w:rsid w:val="00BA307F"/>
    <w:pPr>
      <w:numPr>
        <w:ilvl w:val="1"/>
        <w:numId w:val="17"/>
      </w:numPr>
    </w:pPr>
  </w:style>
  <w:style w:type="paragraph" w:styleId="TableofFigures">
    <w:name w:val="table of figures"/>
    <w:basedOn w:val="Normal"/>
    <w:next w:val="Normal"/>
    <w:rsid w:val="003D22D1"/>
    <w:pPr>
      <w:spacing w:after="120"/>
      <w:ind w:left="1276" w:hanging="1276"/>
    </w:pPr>
  </w:style>
  <w:style w:type="paragraph" w:styleId="BodyText">
    <w:name w:val="Body Text"/>
    <w:basedOn w:val="Normal"/>
    <w:rsid w:val="00F7036A"/>
    <w:pPr>
      <w:spacing w:after="120"/>
    </w:pPr>
  </w:style>
  <w:style w:type="paragraph" w:styleId="ListNumber">
    <w:name w:val="List Number"/>
    <w:basedOn w:val="Normal"/>
    <w:rsid w:val="00BA307F"/>
    <w:pPr>
      <w:numPr>
        <w:numId w:val="17"/>
      </w:numPr>
    </w:pPr>
  </w:style>
  <w:style w:type="paragraph" w:styleId="ListNumber3">
    <w:name w:val="List Number 3"/>
    <w:basedOn w:val="Normal"/>
    <w:rsid w:val="00BA307F"/>
    <w:pPr>
      <w:numPr>
        <w:ilvl w:val="2"/>
        <w:numId w:val="17"/>
      </w:numPr>
    </w:pPr>
  </w:style>
  <w:style w:type="paragraph" w:styleId="ListNumber4">
    <w:name w:val="List Number 4"/>
    <w:basedOn w:val="Normal"/>
    <w:rsid w:val="009C7811"/>
    <w:pPr>
      <w:numPr>
        <w:ilvl w:val="3"/>
        <w:numId w:val="11"/>
      </w:numPr>
    </w:pPr>
  </w:style>
  <w:style w:type="paragraph" w:styleId="ListNumber5">
    <w:name w:val="List Number 5"/>
    <w:basedOn w:val="Normal"/>
    <w:rsid w:val="009C7811"/>
    <w:pPr>
      <w:numPr>
        <w:ilvl w:val="4"/>
        <w:numId w:val="11"/>
      </w:numPr>
    </w:pPr>
  </w:style>
  <w:style w:type="character" w:customStyle="1" w:styleId="FooterChar">
    <w:name w:val="Footer Char"/>
    <w:link w:val="Footer"/>
    <w:rsid w:val="006C06A2"/>
    <w:rPr>
      <w:rFonts w:ascii="Arial" w:hAnsi="Arial" w:cs="Arial"/>
      <w:sz w:val="21"/>
      <w:szCs w:val="24"/>
      <w:lang w:eastAsia="en-US"/>
    </w:rPr>
  </w:style>
  <w:style w:type="numbering" w:customStyle="1" w:styleId="Huisstijl-LijstOpsomming">
    <w:name w:val="Huisstijl-LijstOpsomming"/>
    <w:uiPriority w:val="99"/>
    <w:rsid w:val="005412DC"/>
    <w:pPr>
      <w:numPr>
        <w:numId w:val="13"/>
      </w:numPr>
    </w:pPr>
  </w:style>
  <w:style w:type="numbering" w:customStyle="1" w:styleId="Huisstijl-LijstNummering">
    <w:name w:val="Huisstijl-LijstNummering"/>
    <w:uiPriority w:val="99"/>
    <w:rsid w:val="00BA307F"/>
    <w:pPr>
      <w:numPr>
        <w:numId w:val="17"/>
      </w:numPr>
    </w:pPr>
  </w:style>
  <w:style w:type="character" w:customStyle="1" w:styleId="Hidden">
    <w:name w:val="Hidden"/>
    <w:basedOn w:val="DefaultParagraphFont"/>
    <w:rsid w:val="00465736"/>
    <w:rPr>
      <w:rFonts w:ascii="Arial" w:hAnsi="Arial"/>
      <w:i/>
      <w:noProof/>
      <w:vanish/>
      <w:color w:val="FF0000"/>
      <w:sz w:val="21"/>
    </w:rPr>
  </w:style>
  <w:style w:type="paragraph" w:styleId="BalloonText">
    <w:name w:val="Balloon Text"/>
    <w:basedOn w:val="Normal"/>
    <w:link w:val="BalloonTextChar"/>
    <w:rsid w:val="0046573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65736"/>
    <w:rPr>
      <w:rFonts w:ascii="Tahoma" w:hAnsi="Tahoma" w:cs="Tahoma"/>
      <w:sz w:val="16"/>
      <w:szCs w:val="16"/>
      <w:lang w:eastAsia="en-US"/>
    </w:rPr>
  </w:style>
  <w:style w:type="paragraph" w:customStyle="1" w:styleId="Huisstijl-TabelStatus">
    <w:name w:val="Huisstijl-TabelStatus"/>
    <w:basedOn w:val="Normal"/>
    <w:next w:val="Normal"/>
    <w:rsid w:val="00465736"/>
    <w:pPr>
      <w:jc w:val="left"/>
    </w:pPr>
    <w:rPr>
      <w:sz w:val="18"/>
      <w:szCs w:val="18"/>
    </w:rPr>
  </w:style>
  <w:style w:type="paragraph" w:customStyle="1" w:styleId="Huisstijl-TitelInhoud">
    <w:name w:val="Huisstijl-TitelInhoud"/>
    <w:basedOn w:val="Normal"/>
    <w:qFormat/>
    <w:rsid w:val="00465736"/>
    <w:pPr>
      <w:spacing w:before="255" w:after="255" w:line="510" w:lineRule="exact"/>
      <w:jc w:val="left"/>
    </w:pPr>
    <w:rPr>
      <w:b/>
      <w:position w:val="20"/>
      <w:sz w:val="30"/>
      <w:szCs w:val="30"/>
    </w:rPr>
  </w:style>
  <w:style w:type="paragraph" w:styleId="ListParagraph">
    <w:name w:val="List Paragraph"/>
    <w:basedOn w:val="Normal"/>
    <w:uiPriority w:val="34"/>
    <w:qFormat/>
    <w:rsid w:val="000C47B4"/>
    <w:pPr>
      <w:ind w:left="720"/>
      <w:contextualSpacing/>
    </w:pPr>
  </w:style>
  <w:style w:type="character" w:customStyle="1" w:styleId="FootnoteTextChar">
    <w:name w:val="Footnote Text Char"/>
    <w:basedOn w:val="DefaultParagraphFont"/>
    <w:link w:val="FootnoteText"/>
    <w:rsid w:val="007B0777"/>
    <w:rPr>
      <w:rFonts w:ascii="Arial" w:hAnsi="Arial" w:cs="Arial"/>
      <w:i/>
      <w:sz w:val="17"/>
      <w:lang w:val="en-GB" w:eastAsia="en-US"/>
    </w:rPr>
  </w:style>
  <w:style w:type="character" w:styleId="FootnoteReference">
    <w:name w:val="footnote reference"/>
    <w:unhideWhenUsed/>
    <w:rsid w:val="007B0777"/>
    <w:rPr>
      <w:vertAlign w:val="superscript"/>
    </w:rPr>
  </w:style>
  <w:style w:type="paragraph" w:customStyle="1" w:styleId="Default">
    <w:name w:val="Default"/>
    <w:rsid w:val="009B2A47"/>
    <w:pPr>
      <w:autoSpaceDE w:val="0"/>
      <w:autoSpaceDN w:val="0"/>
      <w:adjustRightInd w:val="0"/>
    </w:pPr>
    <w:rPr>
      <w:rFonts w:ascii="Arial" w:eastAsiaTheme="minorEastAsia" w:hAnsi="Arial" w:cs="Arial"/>
      <w:color w:val="000000"/>
      <w:sz w:val="24"/>
      <w:szCs w:val="24"/>
      <w:lang w:val="en-GB" w:eastAsia="zh-CN"/>
    </w:rPr>
  </w:style>
  <w:style w:type="character" w:styleId="Hyperlink">
    <w:name w:val="Hyperlink"/>
    <w:basedOn w:val="DefaultParagraphFont"/>
    <w:uiPriority w:val="99"/>
    <w:rsid w:val="009B2A47"/>
    <w:rPr>
      <w:color w:val="0000FF"/>
      <w:u w:val="single"/>
    </w:rPr>
  </w:style>
  <w:style w:type="character" w:customStyle="1" w:styleId="apple-converted-space">
    <w:name w:val="apple-converted-space"/>
    <w:basedOn w:val="DefaultParagraphFont"/>
    <w:rsid w:val="00CB6F07"/>
  </w:style>
  <w:style w:type="paragraph" w:customStyle="1" w:styleId="AppendixTOC">
    <w:name w:val="AppendixTOC"/>
    <w:basedOn w:val="TOC1"/>
    <w:next w:val="TOC6"/>
    <w:rsid w:val="00987279"/>
    <w:pPr>
      <w:keepNext/>
      <w:keepLines/>
      <w:widowControl w:val="0"/>
      <w:tabs>
        <w:tab w:val="clear" w:pos="8419"/>
        <w:tab w:val="left" w:pos="720"/>
        <w:tab w:val="right" w:leader="dot" w:pos="8165"/>
      </w:tabs>
      <w:suppressAutoHyphens/>
      <w:spacing w:before="240" w:line="240" w:lineRule="auto"/>
      <w:ind w:left="720" w:right="539" w:hanging="720"/>
    </w:pPr>
    <w:rPr>
      <w:rFonts w:cs="Times New Roman"/>
      <w:noProof/>
      <w:kern w:val="22"/>
      <w:szCs w:val="21"/>
      <w:lang w:val="nl-NL"/>
    </w:rPr>
  </w:style>
  <w:style w:type="paragraph" w:styleId="NormalWeb">
    <w:name w:val="Normal (Web)"/>
    <w:basedOn w:val="Normal"/>
    <w:uiPriority w:val="99"/>
    <w:rsid w:val="00987279"/>
    <w:pPr>
      <w:spacing w:before="100" w:beforeAutospacing="1" w:after="100" w:afterAutospacing="1" w:line="240" w:lineRule="auto"/>
      <w:jc w:val="left"/>
    </w:pPr>
    <w:rPr>
      <w:rFonts w:ascii="Times New Roman" w:hAnsi="Times New Roman" w:cs="Times New Roman"/>
      <w:sz w:val="24"/>
      <w:lang w:val="en-US" w:eastAsia="zh-CN"/>
    </w:rPr>
  </w:style>
  <w:style w:type="character" w:styleId="CommentReference">
    <w:name w:val="annotation reference"/>
    <w:basedOn w:val="DefaultParagraphFont"/>
    <w:rsid w:val="00F15E0D"/>
    <w:rPr>
      <w:sz w:val="16"/>
      <w:szCs w:val="16"/>
    </w:rPr>
  </w:style>
  <w:style w:type="paragraph" w:styleId="CommentText">
    <w:name w:val="annotation text"/>
    <w:basedOn w:val="Normal"/>
    <w:link w:val="CommentTextChar"/>
    <w:rsid w:val="00F15E0D"/>
    <w:pPr>
      <w:spacing w:line="240" w:lineRule="auto"/>
    </w:pPr>
    <w:rPr>
      <w:sz w:val="20"/>
      <w:szCs w:val="20"/>
    </w:rPr>
  </w:style>
  <w:style w:type="character" w:customStyle="1" w:styleId="CommentTextChar">
    <w:name w:val="Comment Text Char"/>
    <w:basedOn w:val="DefaultParagraphFont"/>
    <w:link w:val="CommentText"/>
    <w:rsid w:val="00F15E0D"/>
    <w:rPr>
      <w:rFonts w:ascii="Arial" w:hAnsi="Arial" w:cs="Arial"/>
      <w:lang w:val="en-GB" w:eastAsia="en-US"/>
    </w:rPr>
  </w:style>
  <w:style w:type="paragraph" w:styleId="CommentSubject">
    <w:name w:val="annotation subject"/>
    <w:basedOn w:val="CommentText"/>
    <w:next w:val="CommentText"/>
    <w:link w:val="CommentSubjectChar"/>
    <w:rsid w:val="00F15E0D"/>
    <w:rPr>
      <w:b/>
      <w:bCs/>
    </w:rPr>
  </w:style>
  <w:style w:type="character" w:customStyle="1" w:styleId="CommentSubjectChar">
    <w:name w:val="Comment Subject Char"/>
    <w:basedOn w:val="CommentTextChar"/>
    <w:link w:val="CommentSubject"/>
    <w:rsid w:val="00F15E0D"/>
    <w:rPr>
      <w:rFonts w:ascii="Arial" w:hAnsi="Arial" w:cs="Arial"/>
      <w:b/>
      <w:bCs/>
      <w:lang w:val="en-GB" w:eastAsia="en-US"/>
    </w:rPr>
  </w:style>
  <w:style w:type="character" w:styleId="FollowedHyperlink">
    <w:name w:val="FollowedHyperlink"/>
    <w:basedOn w:val="DefaultParagraphFont"/>
    <w:rsid w:val="00CF776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6"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3841"/>
    <w:pPr>
      <w:spacing w:line="255" w:lineRule="atLeast"/>
      <w:jc w:val="both"/>
    </w:pPr>
    <w:rPr>
      <w:rFonts w:ascii="Arial" w:hAnsi="Arial" w:cs="Arial"/>
      <w:sz w:val="21"/>
      <w:szCs w:val="24"/>
      <w:lang w:val="en-GB" w:eastAsia="en-US"/>
    </w:rPr>
  </w:style>
  <w:style w:type="paragraph" w:styleId="Heading1">
    <w:name w:val="heading 1"/>
    <w:basedOn w:val="Normal"/>
    <w:next w:val="Normal"/>
    <w:qFormat/>
    <w:rsid w:val="008468BA"/>
    <w:pPr>
      <w:keepNext/>
      <w:keepLines/>
      <w:numPr>
        <w:numId w:val="1"/>
      </w:numPr>
      <w:spacing w:before="255" w:after="510" w:line="240" w:lineRule="auto"/>
      <w:jc w:val="left"/>
      <w:outlineLvl w:val="0"/>
    </w:pPr>
    <w:rPr>
      <w:b/>
      <w:bCs/>
      <w:sz w:val="30"/>
      <w:szCs w:val="32"/>
    </w:rPr>
  </w:style>
  <w:style w:type="paragraph" w:styleId="Heading2">
    <w:name w:val="heading 2"/>
    <w:basedOn w:val="Heading1"/>
    <w:next w:val="Normal"/>
    <w:qFormat/>
    <w:rsid w:val="008468BA"/>
    <w:pPr>
      <w:numPr>
        <w:ilvl w:val="1"/>
      </w:numPr>
      <w:spacing w:after="0" w:line="255" w:lineRule="exact"/>
      <w:outlineLvl w:val="1"/>
    </w:pPr>
    <w:rPr>
      <w:bCs w:val="0"/>
      <w:iCs/>
      <w:sz w:val="21"/>
      <w:szCs w:val="28"/>
    </w:rPr>
  </w:style>
  <w:style w:type="paragraph" w:styleId="Heading3">
    <w:name w:val="heading 3"/>
    <w:basedOn w:val="Heading2"/>
    <w:next w:val="Normal"/>
    <w:qFormat/>
    <w:rsid w:val="008468BA"/>
    <w:pPr>
      <w:numPr>
        <w:ilvl w:val="2"/>
      </w:numPr>
      <w:outlineLvl w:val="2"/>
    </w:pPr>
    <w:rPr>
      <w:b w:val="0"/>
      <w:bCs/>
      <w:szCs w:val="26"/>
    </w:rPr>
  </w:style>
  <w:style w:type="paragraph" w:styleId="Heading4">
    <w:name w:val="heading 4"/>
    <w:basedOn w:val="Heading3"/>
    <w:next w:val="Normal"/>
    <w:qFormat/>
    <w:rsid w:val="008468BA"/>
    <w:pPr>
      <w:numPr>
        <w:ilvl w:val="3"/>
      </w:numPr>
      <w:outlineLvl w:val="3"/>
    </w:pPr>
    <w:rPr>
      <w:bCs w:val="0"/>
      <w:i/>
      <w:szCs w:val="28"/>
    </w:rPr>
  </w:style>
  <w:style w:type="paragraph" w:styleId="Heading5">
    <w:name w:val="heading 5"/>
    <w:basedOn w:val="Heading4"/>
    <w:next w:val="Normal"/>
    <w:qFormat/>
    <w:rsid w:val="008468BA"/>
    <w:pPr>
      <w:numPr>
        <w:ilvl w:val="4"/>
      </w:numPr>
      <w:outlineLvl w:val="4"/>
    </w:pPr>
    <w:rPr>
      <w:bCs/>
      <w:iCs w:val="0"/>
      <w:szCs w:val="26"/>
    </w:rPr>
  </w:style>
  <w:style w:type="paragraph" w:styleId="Heading6">
    <w:name w:val="heading 6"/>
    <w:basedOn w:val="Heading1"/>
    <w:next w:val="Normal"/>
    <w:qFormat/>
    <w:rsid w:val="008468BA"/>
    <w:pPr>
      <w:numPr>
        <w:ilvl w:val="5"/>
      </w:numPr>
      <w:outlineLvl w:val="5"/>
    </w:pPr>
    <w:rPr>
      <w:bCs w:val="0"/>
      <w:szCs w:val="22"/>
    </w:rPr>
  </w:style>
  <w:style w:type="paragraph" w:styleId="Heading7">
    <w:name w:val="heading 7"/>
    <w:basedOn w:val="Heading2"/>
    <w:next w:val="Normal"/>
    <w:qFormat/>
    <w:rsid w:val="008468BA"/>
    <w:pPr>
      <w:numPr>
        <w:ilvl w:val="6"/>
      </w:numPr>
      <w:outlineLvl w:val="6"/>
    </w:pPr>
  </w:style>
  <w:style w:type="paragraph" w:styleId="Heading8">
    <w:name w:val="heading 8"/>
    <w:basedOn w:val="Heading3"/>
    <w:next w:val="Normal"/>
    <w:qFormat/>
    <w:rsid w:val="008468BA"/>
    <w:pPr>
      <w:numPr>
        <w:ilvl w:val="7"/>
      </w:numPr>
      <w:outlineLvl w:val="7"/>
    </w:pPr>
    <w:rPr>
      <w:iCs w:val="0"/>
    </w:rPr>
  </w:style>
  <w:style w:type="paragraph" w:styleId="Heading9">
    <w:name w:val="heading 9"/>
    <w:basedOn w:val="Heading4"/>
    <w:next w:val="Normal"/>
    <w:qFormat/>
    <w:rsid w:val="008468BA"/>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473F"/>
    <w:pPr>
      <w:tabs>
        <w:tab w:val="center" w:pos="4153"/>
        <w:tab w:val="right" w:pos="8306"/>
      </w:tabs>
    </w:pPr>
  </w:style>
  <w:style w:type="paragraph" w:styleId="Footer">
    <w:name w:val="footer"/>
    <w:basedOn w:val="Normal"/>
    <w:link w:val="FooterChar"/>
    <w:rsid w:val="00A1473F"/>
    <w:pPr>
      <w:tabs>
        <w:tab w:val="center" w:pos="4153"/>
        <w:tab w:val="right" w:pos="8306"/>
      </w:tabs>
    </w:pPr>
  </w:style>
  <w:style w:type="paragraph" w:customStyle="1" w:styleId="Huisstijl-Sjabloonnaam">
    <w:name w:val="Huisstijl-Sjabloonnaam"/>
    <w:basedOn w:val="Huisstijl-Naw"/>
    <w:rsid w:val="00817CCC"/>
    <w:pPr>
      <w:spacing w:before="255" w:after="255" w:line="255" w:lineRule="exact"/>
      <w:jc w:val="left"/>
    </w:pPr>
    <w:rPr>
      <w:b/>
      <w:sz w:val="36"/>
    </w:rPr>
  </w:style>
  <w:style w:type="paragraph" w:customStyle="1" w:styleId="Huisstijl-Adres">
    <w:name w:val="Huisstijl-Adres"/>
    <w:basedOn w:val="Huisstijl-Naw"/>
    <w:rsid w:val="00C50CBA"/>
  </w:style>
  <w:style w:type="paragraph" w:styleId="ListBullet">
    <w:name w:val="List Bullet"/>
    <w:basedOn w:val="Normal"/>
    <w:rsid w:val="005412DC"/>
    <w:pPr>
      <w:numPr>
        <w:numId w:val="16"/>
      </w:numPr>
    </w:pPr>
  </w:style>
  <w:style w:type="paragraph" w:customStyle="1" w:styleId="Huisstijl-Naw">
    <w:name w:val="Huisstijl-Naw"/>
    <w:basedOn w:val="Normal"/>
    <w:rsid w:val="00972803"/>
    <w:rPr>
      <w:noProof/>
    </w:rPr>
  </w:style>
  <w:style w:type="paragraph" w:customStyle="1" w:styleId="Huisstijl-Kopje">
    <w:name w:val="Huisstijl-Kopje"/>
    <w:basedOn w:val="Huisstijl-Naw"/>
    <w:rsid w:val="00C50CBA"/>
    <w:rPr>
      <w:b/>
      <w:sz w:val="17"/>
    </w:rPr>
  </w:style>
  <w:style w:type="paragraph" w:customStyle="1" w:styleId="Huisstijl-Gegeven">
    <w:name w:val="Huisstijl-Gegeven"/>
    <w:basedOn w:val="Huisstijl-Naw"/>
    <w:rsid w:val="00042E48"/>
    <w:pPr>
      <w:jc w:val="left"/>
    </w:pPr>
  </w:style>
  <w:style w:type="paragraph" w:styleId="ListBullet2">
    <w:name w:val="List Bullet 2"/>
    <w:basedOn w:val="ListBullet"/>
    <w:rsid w:val="005412DC"/>
    <w:pPr>
      <w:numPr>
        <w:ilvl w:val="1"/>
      </w:numPr>
    </w:pPr>
  </w:style>
  <w:style w:type="paragraph" w:customStyle="1" w:styleId="Huisstijl-Voettekst">
    <w:name w:val="Huisstijl-Voettekst"/>
    <w:basedOn w:val="Huisstijl-Naw"/>
    <w:rsid w:val="00B170CC"/>
    <w:rPr>
      <w:sz w:val="17"/>
    </w:rPr>
  </w:style>
  <w:style w:type="paragraph" w:customStyle="1" w:styleId="Kop1zondernummer">
    <w:name w:val="Kop 1 zonder nummer"/>
    <w:basedOn w:val="Heading1"/>
    <w:next w:val="Normal"/>
    <w:rsid w:val="009D285C"/>
    <w:pPr>
      <w:numPr>
        <w:numId w:val="0"/>
      </w:numPr>
    </w:pPr>
  </w:style>
  <w:style w:type="paragraph" w:customStyle="1" w:styleId="Kop2zondernummer">
    <w:name w:val="Kop 2 zonder nummer"/>
    <w:basedOn w:val="Heading2"/>
    <w:next w:val="Normal"/>
    <w:rsid w:val="009D285C"/>
    <w:pPr>
      <w:numPr>
        <w:ilvl w:val="0"/>
        <w:numId w:val="0"/>
      </w:numPr>
    </w:pPr>
  </w:style>
  <w:style w:type="paragraph" w:customStyle="1" w:styleId="Kop3zondernummer">
    <w:name w:val="Kop 3 zonder nummer"/>
    <w:basedOn w:val="Heading3"/>
    <w:next w:val="Normal"/>
    <w:rsid w:val="009D285C"/>
    <w:pPr>
      <w:numPr>
        <w:ilvl w:val="0"/>
        <w:numId w:val="0"/>
      </w:numPr>
    </w:pPr>
  </w:style>
  <w:style w:type="paragraph" w:customStyle="1" w:styleId="Huisstijl-Titel">
    <w:name w:val="Huisstijl-Titel"/>
    <w:basedOn w:val="Huisstijl-Naw"/>
    <w:rsid w:val="00817CCC"/>
    <w:pPr>
      <w:spacing w:line="510" w:lineRule="atLeast"/>
      <w:jc w:val="left"/>
    </w:pPr>
    <w:rPr>
      <w:b/>
      <w:sz w:val="36"/>
    </w:rPr>
  </w:style>
  <w:style w:type="paragraph" w:customStyle="1" w:styleId="Kop4zondernummer">
    <w:name w:val="Kop 4 zonder nummer"/>
    <w:basedOn w:val="Heading4"/>
    <w:next w:val="Normal"/>
    <w:rsid w:val="00677F3C"/>
    <w:pPr>
      <w:numPr>
        <w:ilvl w:val="0"/>
        <w:numId w:val="0"/>
      </w:numPr>
    </w:pPr>
  </w:style>
  <w:style w:type="paragraph" w:styleId="TOC1">
    <w:name w:val="toc 1"/>
    <w:basedOn w:val="Normal"/>
    <w:next w:val="Normal"/>
    <w:uiPriority w:val="39"/>
    <w:rsid w:val="00C044DA"/>
    <w:pPr>
      <w:tabs>
        <w:tab w:val="right" w:pos="8419"/>
      </w:tabs>
      <w:spacing w:before="255"/>
      <w:ind w:hanging="255"/>
      <w:jc w:val="left"/>
    </w:pPr>
    <w:rPr>
      <w:b/>
    </w:rPr>
  </w:style>
  <w:style w:type="paragraph" w:styleId="TOC2">
    <w:name w:val="toc 2"/>
    <w:basedOn w:val="Normal"/>
    <w:next w:val="Normal"/>
    <w:uiPriority w:val="39"/>
    <w:rsid w:val="00677F3C"/>
    <w:pPr>
      <w:tabs>
        <w:tab w:val="right" w:pos="8419"/>
      </w:tabs>
      <w:ind w:left="510" w:hanging="510"/>
      <w:jc w:val="left"/>
    </w:pPr>
  </w:style>
  <w:style w:type="paragraph" w:styleId="TOC3">
    <w:name w:val="toc 3"/>
    <w:basedOn w:val="Normal"/>
    <w:next w:val="Normal"/>
    <w:semiHidden/>
    <w:rsid w:val="00677F3C"/>
    <w:pPr>
      <w:tabs>
        <w:tab w:val="right" w:pos="8419"/>
      </w:tabs>
      <w:ind w:left="1276" w:hanging="765"/>
      <w:jc w:val="left"/>
    </w:pPr>
  </w:style>
  <w:style w:type="paragraph" w:customStyle="1" w:styleId="Huisstijl-Koptekst">
    <w:name w:val="Huisstijl-Koptekst"/>
    <w:basedOn w:val="Huisstijl-Naw"/>
    <w:rsid w:val="00A00A21"/>
    <w:rPr>
      <w:i/>
      <w:sz w:val="17"/>
    </w:rPr>
  </w:style>
  <w:style w:type="paragraph" w:customStyle="1" w:styleId="Huisstijl-Pagina">
    <w:name w:val="Huisstijl-Pagina"/>
    <w:basedOn w:val="Huisstijl-Gegeven"/>
    <w:rsid w:val="00B32B0E"/>
    <w:pPr>
      <w:jc w:val="right"/>
    </w:pPr>
    <w:rPr>
      <w:sz w:val="17"/>
    </w:rPr>
  </w:style>
  <w:style w:type="character" w:styleId="PageNumber">
    <w:name w:val="page number"/>
    <w:basedOn w:val="DefaultParagraphFont"/>
    <w:rsid w:val="00B32B0E"/>
  </w:style>
  <w:style w:type="paragraph" w:customStyle="1" w:styleId="Huisstijl-Subtitel">
    <w:name w:val="Huisstijl-Subtitel"/>
    <w:basedOn w:val="Huisstijl-Naw"/>
    <w:rsid w:val="00042E48"/>
    <w:pPr>
      <w:jc w:val="left"/>
    </w:pPr>
    <w:rPr>
      <w:b/>
    </w:rPr>
  </w:style>
  <w:style w:type="table" w:customStyle="1" w:styleId="dTable">
    <w:name w:val="d_Table"/>
    <w:basedOn w:val="TableGrid"/>
    <w:rsid w:val="003A4857"/>
    <w:rPr>
      <w:rFonts w:ascii="Arial" w:hAnsi="Arial"/>
      <w:sz w:val="18"/>
      <w:lang w:val="en-GB" w:eastAsia="zh-CN"/>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7"/>
      </w:rPr>
      <w:tblPr/>
      <w:tcPr>
        <w:shd w:val="clear" w:color="auto" w:fill="D9D9D9"/>
      </w:tcPr>
    </w:tblStylePr>
  </w:style>
  <w:style w:type="table" w:styleId="TableGrid">
    <w:name w:val="Table Grid"/>
    <w:basedOn w:val="TableNormal"/>
    <w:uiPriority w:val="59"/>
    <w:rsid w:val="003A4857"/>
    <w:pPr>
      <w:spacing w:line="255"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uiPriority w:val="39"/>
    <w:rsid w:val="00E178EC"/>
    <w:pPr>
      <w:tabs>
        <w:tab w:val="right" w:pos="8419"/>
      </w:tabs>
      <w:spacing w:before="255"/>
      <w:ind w:hanging="255"/>
      <w:jc w:val="left"/>
    </w:pPr>
    <w:rPr>
      <w:b/>
    </w:rPr>
  </w:style>
  <w:style w:type="paragraph" w:styleId="TOC7">
    <w:name w:val="toc 7"/>
    <w:basedOn w:val="Normal"/>
    <w:next w:val="Normal"/>
    <w:semiHidden/>
    <w:rsid w:val="00E178EC"/>
    <w:pPr>
      <w:tabs>
        <w:tab w:val="right" w:pos="8419"/>
      </w:tabs>
      <w:ind w:left="510" w:hanging="510"/>
      <w:jc w:val="left"/>
    </w:pPr>
  </w:style>
  <w:style w:type="paragraph" w:styleId="TOC8">
    <w:name w:val="toc 8"/>
    <w:basedOn w:val="Normal"/>
    <w:next w:val="Normal"/>
    <w:semiHidden/>
    <w:rsid w:val="00E178EC"/>
    <w:pPr>
      <w:tabs>
        <w:tab w:val="right" w:pos="8419"/>
      </w:tabs>
      <w:ind w:left="1276" w:hanging="765"/>
      <w:jc w:val="left"/>
    </w:pPr>
  </w:style>
  <w:style w:type="paragraph" w:styleId="Caption">
    <w:name w:val="caption"/>
    <w:basedOn w:val="Normal"/>
    <w:next w:val="Normal"/>
    <w:qFormat/>
    <w:rsid w:val="005A4C3A"/>
    <w:pPr>
      <w:tabs>
        <w:tab w:val="left" w:pos="907"/>
      </w:tabs>
      <w:ind w:left="567" w:hanging="567"/>
      <w:jc w:val="left"/>
    </w:pPr>
    <w:rPr>
      <w:bCs/>
      <w:i/>
      <w:sz w:val="17"/>
      <w:szCs w:val="20"/>
    </w:rPr>
  </w:style>
  <w:style w:type="paragraph" w:styleId="FootnoteText">
    <w:name w:val="footnote text"/>
    <w:basedOn w:val="Normal"/>
    <w:next w:val="FootnoteTextnormal"/>
    <w:link w:val="FootnoteTextChar"/>
    <w:rsid w:val="00A23B40"/>
    <w:pPr>
      <w:ind w:hanging="340"/>
      <w:jc w:val="left"/>
    </w:pPr>
    <w:rPr>
      <w:i/>
      <w:sz w:val="17"/>
      <w:szCs w:val="20"/>
    </w:rPr>
  </w:style>
  <w:style w:type="paragraph" w:customStyle="1" w:styleId="HeadNoTOC">
    <w:name w:val="HeadNoTOC"/>
    <w:basedOn w:val="Normal"/>
    <w:next w:val="Normal"/>
    <w:rsid w:val="00864C9E"/>
    <w:pPr>
      <w:spacing w:before="255" w:after="510"/>
      <w:jc w:val="left"/>
    </w:pPr>
    <w:rPr>
      <w:b/>
      <w:sz w:val="30"/>
    </w:rPr>
  </w:style>
  <w:style w:type="paragraph" w:customStyle="1" w:styleId="ListofReferences">
    <w:name w:val="List of References"/>
    <w:basedOn w:val="Normal"/>
    <w:next w:val="Normal"/>
    <w:rsid w:val="00864C9E"/>
    <w:pPr>
      <w:spacing w:after="255"/>
      <w:ind w:left="765" w:hanging="765"/>
    </w:pPr>
  </w:style>
  <w:style w:type="paragraph" w:customStyle="1" w:styleId="Heading10">
    <w:name w:val="Heading 10"/>
    <w:basedOn w:val="Heading6"/>
    <w:next w:val="Normal"/>
    <w:rsid w:val="00B2095E"/>
    <w:pPr>
      <w:numPr>
        <w:ilvl w:val="0"/>
        <w:numId w:val="0"/>
      </w:numPr>
    </w:pPr>
  </w:style>
  <w:style w:type="paragraph" w:customStyle="1" w:styleId="FootnoteTextnormal">
    <w:name w:val="Footnote Text normal"/>
    <w:basedOn w:val="FootnoteText"/>
    <w:rsid w:val="00D31B0A"/>
    <w:pPr>
      <w:ind w:firstLine="0"/>
    </w:pPr>
  </w:style>
  <w:style w:type="paragraph" w:styleId="ListBullet3">
    <w:name w:val="List Bullet 3"/>
    <w:basedOn w:val="ListNumber2"/>
    <w:rsid w:val="005412DC"/>
    <w:pPr>
      <w:numPr>
        <w:ilvl w:val="2"/>
        <w:numId w:val="16"/>
      </w:numPr>
    </w:pPr>
  </w:style>
  <w:style w:type="paragraph" w:styleId="ListBullet4">
    <w:name w:val="List Bullet 4"/>
    <w:basedOn w:val="Normal"/>
    <w:rsid w:val="005A226E"/>
    <w:pPr>
      <w:numPr>
        <w:ilvl w:val="3"/>
        <w:numId w:val="8"/>
      </w:numPr>
    </w:pPr>
  </w:style>
  <w:style w:type="paragraph" w:styleId="ListBullet5">
    <w:name w:val="List Bullet 5"/>
    <w:basedOn w:val="Normal"/>
    <w:rsid w:val="005A226E"/>
    <w:pPr>
      <w:numPr>
        <w:ilvl w:val="4"/>
        <w:numId w:val="8"/>
      </w:numPr>
    </w:pPr>
  </w:style>
  <w:style w:type="paragraph" w:customStyle="1" w:styleId="dTableBodytext">
    <w:name w:val="d_Table_Body_text"/>
    <w:basedOn w:val="BodyText"/>
    <w:next w:val="BodyText"/>
    <w:rsid w:val="00F7036A"/>
    <w:pPr>
      <w:spacing w:after="0"/>
      <w:jc w:val="left"/>
    </w:pPr>
    <w:rPr>
      <w:sz w:val="18"/>
    </w:rPr>
  </w:style>
  <w:style w:type="paragraph" w:styleId="ListNumber2">
    <w:name w:val="List Number 2"/>
    <w:basedOn w:val="Normal"/>
    <w:rsid w:val="00BA307F"/>
    <w:pPr>
      <w:numPr>
        <w:ilvl w:val="1"/>
        <w:numId w:val="17"/>
      </w:numPr>
    </w:pPr>
  </w:style>
  <w:style w:type="paragraph" w:styleId="TableofFigures">
    <w:name w:val="table of figures"/>
    <w:basedOn w:val="Normal"/>
    <w:next w:val="Normal"/>
    <w:rsid w:val="003D22D1"/>
    <w:pPr>
      <w:spacing w:after="120"/>
      <w:ind w:left="1276" w:hanging="1276"/>
    </w:pPr>
  </w:style>
  <w:style w:type="paragraph" w:styleId="BodyText">
    <w:name w:val="Body Text"/>
    <w:basedOn w:val="Normal"/>
    <w:rsid w:val="00F7036A"/>
    <w:pPr>
      <w:spacing w:after="120"/>
    </w:pPr>
  </w:style>
  <w:style w:type="paragraph" w:styleId="ListNumber">
    <w:name w:val="List Number"/>
    <w:basedOn w:val="Normal"/>
    <w:rsid w:val="00BA307F"/>
    <w:pPr>
      <w:numPr>
        <w:numId w:val="17"/>
      </w:numPr>
    </w:pPr>
  </w:style>
  <w:style w:type="paragraph" w:styleId="ListNumber3">
    <w:name w:val="List Number 3"/>
    <w:basedOn w:val="Normal"/>
    <w:rsid w:val="00BA307F"/>
    <w:pPr>
      <w:numPr>
        <w:ilvl w:val="2"/>
        <w:numId w:val="17"/>
      </w:numPr>
    </w:pPr>
  </w:style>
  <w:style w:type="paragraph" w:styleId="ListNumber4">
    <w:name w:val="List Number 4"/>
    <w:basedOn w:val="Normal"/>
    <w:rsid w:val="009C7811"/>
    <w:pPr>
      <w:numPr>
        <w:ilvl w:val="3"/>
        <w:numId w:val="11"/>
      </w:numPr>
    </w:pPr>
  </w:style>
  <w:style w:type="paragraph" w:styleId="ListNumber5">
    <w:name w:val="List Number 5"/>
    <w:basedOn w:val="Normal"/>
    <w:rsid w:val="009C7811"/>
    <w:pPr>
      <w:numPr>
        <w:ilvl w:val="4"/>
        <w:numId w:val="11"/>
      </w:numPr>
    </w:pPr>
  </w:style>
  <w:style w:type="character" w:customStyle="1" w:styleId="FooterChar">
    <w:name w:val="Footer Char"/>
    <w:link w:val="Footer"/>
    <w:rsid w:val="006C06A2"/>
    <w:rPr>
      <w:rFonts w:ascii="Arial" w:hAnsi="Arial" w:cs="Arial"/>
      <w:sz w:val="21"/>
      <w:szCs w:val="24"/>
      <w:lang w:eastAsia="en-US"/>
    </w:rPr>
  </w:style>
  <w:style w:type="numbering" w:customStyle="1" w:styleId="Huisstijl-LijstOpsomming">
    <w:name w:val="Huisstijl-LijstOpsomming"/>
    <w:uiPriority w:val="99"/>
    <w:rsid w:val="005412DC"/>
    <w:pPr>
      <w:numPr>
        <w:numId w:val="13"/>
      </w:numPr>
    </w:pPr>
  </w:style>
  <w:style w:type="numbering" w:customStyle="1" w:styleId="Huisstijl-LijstNummering">
    <w:name w:val="Huisstijl-LijstNummering"/>
    <w:uiPriority w:val="99"/>
    <w:rsid w:val="00BA307F"/>
    <w:pPr>
      <w:numPr>
        <w:numId w:val="17"/>
      </w:numPr>
    </w:pPr>
  </w:style>
  <w:style w:type="character" w:customStyle="1" w:styleId="Hidden">
    <w:name w:val="Hidden"/>
    <w:basedOn w:val="DefaultParagraphFont"/>
    <w:rsid w:val="00465736"/>
    <w:rPr>
      <w:rFonts w:ascii="Arial" w:hAnsi="Arial"/>
      <w:i/>
      <w:noProof/>
      <w:vanish/>
      <w:color w:val="FF0000"/>
      <w:sz w:val="21"/>
    </w:rPr>
  </w:style>
  <w:style w:type="paragraph" w:styleId="BalloonText">
    <w:name w:val="Balloon Text"/>
    <w:basedOn w:val="Normal"/>
    <w:link w:val="BalloonTextChar"/>
    <w:rsid w:val="0046573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65736"/>
    <w:rPr>
      <w:rFonts w:ascii="Tahoma" w:hAnsi="Tahoma" w:cs="Tahoma"/>
      <w:sz w:val="16"/>
      <w:szCs w:val="16"/>
      <w:lang w:eastAsia="en-US"/>
    </w:rPr>
  </w:style>
  <w:style w:type="paragraph" w:customStyle="1" w:styleId="Huisstijl-TabelStatus">
    <w:name w:val="Huisstijl-TabelStatus"/>
    <w:basedOn w:val="Normal"/>
    <w:next w:val="Normal"/>
    <w:rsid w:val="00465736"/>
    <w:pPr>
      <w:jc w:val="left"/>
    </w:pPr>
    <w:rPr>
      <w:sz w:val="18"/>
      <w:szCs w:val="18"/>
    </w:rPr>
  </w:style>
  <w:style w:type="paragraph" w:customStyle="1" w:styleId="Huisstijl-TitelInhoud">
    <w:name w:val="Huisstijl-TitelInhoud"/>
    <w:basedOn w:val="Normal"/>
    <w:qFormat/>
    <w:rsid w:val="00465736"/>
    <w:pPr>
      <w:spacing w:before="255" w:after="255" w:line="510" w:lineRule="exact"/>
      <w:jc w:val="left"/>
    </w:pPr>
    <w:rPr>
      <w:b/>
      <w:position w:val="20"/>
      <w:sz w:val="30"/>
      <w:szCs w:val="30"/>
    </w:rPr>
  </w:style>
  <w:style w:type="paragraph" w:styleId="ListParagraph">
    <w:name w:val="List Paragraph"/>
    <w:basedOn w:val="Normal"/>
    <w:uiPriority w:val="34"/>
    <w:qFormat/>
    <w:rsid w:val="000C47B4"/>
    <w:pPr>
      <w:ind w:left="720"/>
      <w:contextualSpacing/>
    </w:pPr>
  </w:style>
  <w:style w:type="character" w:customStyle="1" w:styleId="FootnoteTextChar">
    <w:name w:val="Footnote Text Char"/>
    <w:basedOn w:val="DefaultParagraphFont"/>
    <w:link w:val="FootnoteText"/>
    <w:rsid w:val="007B0777"/>
    <w:rPr>
      <w:rFonts w:ascii="Arial" w:hAnsi="Arial" w:cs="Arial"/>
      <w:i/>
      <w:sz w:val="17"/>
      <w:lang w:val="en-GB" w:eastAsia="en-US"/>
    </w:rPr>
  </w:style>
  <w:style w:type="character" w:styleId="FootnoteReference">
    <w:name w:val="footnote reference"/>
    <w:unhideWhenUsed/>
    <w:rsid w:val="007B0777"/>
    <w:rPr>
      <w:vertAlign w:val="superscript"/>
    </w:rPr>
  </w:style>
  <w:style w:type="paragraph" w:customStyle="1" w:styleId="Default">
    <w:name w:val="Default"/>
    <w:rsid w:val="009B2A47"/>
    <w:pPr>
      <w:autoSpaceDE w:val="0"/>
      <w:autoSpaceDN w:val="0"/>
      <w:adjustRightInd w:val="0"/>
    </w:pPr>
    <w:rPr>
      <w:rFonts w:ascii="Arial" w:eastAsiaTheme="minorEastAsia" w:hAnsi="Arial" w:cs="Arial"/>
      <w:color w:val="000000"/>
      <w:sz w:val="24"/>
      <w:szCs w:val="24"/>
      <w:lang w:val="en-GB" w:eastAsia="zh-CN"/>
    </w:rPr>
  </w:style>
  <w:style w:type="character" w:styleId="Hyperlink">
    <w:name w:val="Hyperlink"/>
    <w:basedOn w:val="DefaultParagraphFont"/>
    <w:uiPriority w:val="99"/>
    <w:rsid w:val="009B2A47"/>
    <w:rPr>
      <w:color w:val="0000FF"/>
      <w:u w:val="single"/>
    </w:rPr>
  </w:style>
  <w:style w:type="character" w:customStyle="1" w:styleId="apple-converted-space">
    <w:name w:val="apple-converted-space"/>
    <w:basedOn w:val="DefaultParagraphFont"/>
    <w:rsid w:val="00CB6F07"/>
  </w:style>
  <w:style w:type="paragraph" w:customStyle="1" w:styleId="AppendixTOC">
    <w:name w:val="AppendixTOC"/>
    <w:basedOn w:val="TOC1"/>
    <w:next w:val="TOC6"/>
    <w:rsid w:val="00987279"/>
    <w:pPr>
      <w:keepNext/>
      <w:keepLines/>
      <w:widowControl w:val="0"/>
      <w:tabs>
        <w:tab w:val="clear" w:pos="8419"/>
        <w:tab w:val="left" w:pos="720"/>
        <w:tab w:val="right" w:leader="dot" w:pos="8165"/>
      </w:tabs>
      <w:suppressAutoHyphens/>
      <w:spacing w:before="240" w:line="240" w:lineRule="auto"/>
      <w:ind w:left="720" w:right="539" w:hanging="720"/>
    </w:pPr>
    <w:rPr>
      <w:rFonts w:cs="Times New Roman"/>
      <w:noProof/>
      <w:kern w:val="22"/>
      <w:szCs w:val="21"/>
      <w:lang w:val="nl-NL"/>
    </w:rPr>
  </w:style>
  <w:style w:type="paragraph" w:styleId="NormalWeb">
    <w:name w:val="Normal (Web)"/>
    <w:basedOn w:val="Normal"/>
    <w:uiPriority w:val="99"/>
    <w:rsid w:val="00987279"/>
    <w:pPr>
      <w:spacing w:before="100" w:beforeAutospacing="1" w:after="100" w:afterAutospacing="1" w:line="240" w:lineRule="auto"/>
      <w:jc w:val="left"/>
    </w:pPr>
    <w:rPr>
      <w:rFonts w:ascii="Times New Roman" w:hAnsi="Times New Roman" w:cs="Times New Roman"/>
      <w:sz w:val="24"/>
      <w:lang w:val="en-US" w:eastAsia="zh-CN"/>
    </w:rPr>
  </w:style>
  <w:style w:type="character" w:styleId="CommentReference">
    <w:name w:val="annotation reference"/>
    <w:basedOn w:val="DefaultParagraphFont"/>
    <w:rsid w:val="00F15E0D"/>
    <w:rPr>
      <w:sz w:val="16"/>
      <w:szCs w:val="16"/>
    </w:rPr>
  </w:style>
  <w:style w:type="paragraph" w:styleId="CommentText">
    <w:name w:val="annotation text"/>
    <w:basedOn w:val="Normal"/>
    <w:link w:val="CommentTextChar"/>
    <w:rsid w:val="00F15E0D"/>
    <w:pPr>
      <w:spacing w:line="240" w:lineRule="auto"/>
    </w:pPr>
    <w:rPr>
      <w:sz w:val="20"/>
      <w:szCs w:val="20"/>
    </w:rPr>
  </w:style>
  <w:style w:type="character" w:customStyle="1" w:styleId="CommentTextChar">
    <w:name w:val="Comment Text Char"/>
    <w:basedOn w:val="DefaultParagraphFont"/>
    <w:link w:val="CommentText"/>
    <w:rsid w:val="00F15E0D"/>
    <w:rPr>
      <w:rFonts w:ascii="Arial" w:hAnsi="Arial" w:cs="Arial"/>
      <w:lang w:val="en-GB" w:eastAsia="en-US"/>
    </w:rPr>
  </w:style>
  <w:style w:type="paragraph" w:styleId="CommentSubject">
    <w:name w:val="annotation subject"/>
    <w:basedOn w:val="CommentText"/>
    <w:next w:val="CommentText"/>
    <w:link w:val="CommentSubjectChar"/>
    <w:rsid w:val="00F15E0D"/>
    <w:rPr>
      <w:b/>
      <w:bCs/>
    </w:rPr>
  </w:style>
  <w:style w:type="character" w:customStyle="1" w:styleId="CommentSubjectChar">
    <w:name w:val="Comment Subject Char"/>
    <w:basedOn w:val="CommentTextChar"/>
    <w:link w:val="CommentSubject"/>
    <w:rsid w:val="00F15E0D"/>
    <w:rPr>
      <w:rFonts w:ascii="Arial" w:hAnsi="Arial" w:cs="Arial"/>
      <w:b/>
      <w:bCs/>
      <w:lang w:val="en-GB"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3.wmf"/><Relationship Id="rId39" Type="http://schemas.openxmlformats.org/officeDocument/2006/relationships/image" Target="media/image15.wmf"/><Relationship Id="rId21" Type="http://schemas.openxmlformats.org/officeDocument/2006/relationships/footer" Target="footer7.xml"/><Relationship Id="rId34" Type="http://schemas.openxmlformats.org/officeDocument/2006/relationships/image" Target="media/image11.emf"/><Relationship Id="rId42" Type="http://schemas.openxmlformats.org/officeDocument/2006/relationships/hyperlink" Target="http://rdbp.sea.gov.ua" TargetMode="External"/><Relationship Id="rId47" Type="http://schemas.openxmlformats.org/officeDocument/2006/relationships/hyperlink" Target="http://www.unep.ch/regionalseas/main/med/mlbsprot.html" TargetMode="External"/><Relationship Id="rId50" Type="http://schemas.openxmlformats.org/officeDocument/2006/relationships/hyperlink" Target="http://www.helcom.fi/helcom-at-work/projects/plc-5-5/" TargetMode="External"/><Relationship Id="rId55"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10.emf"/><Relationship Id="rId38" Type="http://schemas.openxmlformats.org/officeDocument/2006/relationships/image" Target="media/image14.emf"/><Relationship Id="rId46" Type="http://schemas.openxmlformats.org/officeDocument/2006/relationships/hyperlink" Target="http://www.helcom.fi/baltic-sea-trends/hazardous-substances/indicators/"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emf"/><Relationship Id="rId41" Type="http://schemas.openxmlformats.org/officeDocument/2006/relationships/hyperlink" Target="http://www.eea.europa.eu/data-and-maps/indicators/chlorophyll-in-transitional-coastal-and/chlorophyll-in-transitional-coastal-and-3" TargetMode="External"/><Relationship Id="rId54" Type="http://schemas.openxmlformats.org/officeDocument/2006/relationships/hyperlink" Target="http://www.helcom.fi/Core%20Indicators/HELCOM_CoreIndicator_Polyaromatic_hydrocarbons_and_their_metabolit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9.wmf"/><Relationship Id="rId37" Type="http://schemas.openxmlformats.org/officeDocument/2006/relationships/hyperlink" Target="http://www.blacksea-commission.org" TargetMode="External"/><Relationship Id="rId40" Type="http://schemas.openxmlformats.org/officeDocument/2006/relationships/hyperlink" Target="http://www.eea.europa.eu/data-and-maps/indicators/nutrients-in-transitional-coastal-and/nutrients-in-transitional-coastal-and-4" TargetMode="External"/><Relationship Id="rId45" Type="http://schemas.openxmlformats.org/officeDocument/2006/relationships/image" Target="media/image16.png"/><Relationship Id="rId53" Type="http://schemas.openxmlformats.org/officeDocument/2006/relationships/hyperlink" Target="http://www.helcom.fi/Core%20Indicators/HELCOM-CoreIndicator-Metals.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5.wmf"/><Relationship Id="rId36" Type="http://schemas.openxmlformats.org/officeDocument/2006/relationships/image" Target="media/image13.emf"/><Relationship Id="rId49" Type="http://schemas.openxmlformats.org/officeDocument/2006/relationships/hyperlink" Target="http://rdbp.sea.gov.ua"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8.emf"/><Relationship Id="rId44" Type="http://schemas.openxmlformats.org/officeDocument/2006/relationships/hyperlink" Target="http://helcom.fi/action-areas/monitoring-and-assessment/manuals-andguidelines/combine-manual" TargetMode="External"/><Relationship Id="rId52" Type="http://schemas.openxmlformats.org/officeDocument/2006/relationships/hyperlink" Target="http://www.helcom.fi/Lists/Publications/BSEP128.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image" Target="media/image12.emf"/><Relationship Id="rId43" Type="http://schemas.openxmlformats.org/officeDocument/2006/relationships/hyperlink" Target="http://www.ospar.org/html_documents/ospar/html/10-03e_nea_environment_strategy.pdf" TargetMode="External"/><Relationship Id="rId48" Type="http://schemas.openxmlformats.org/officeDocument/2006/relationships/image" Target="media/image17.emf"/><Relationship Id="rId56" Type="http://schemas.openxmlformats.org/officeDocument/2006/relationships/footer" Target="footer11.xml"/><Relationship Id="rId8" Type="http://schemas.openxmlformats.org/officeDocument/2006/relationships/header" Target="header1.xml"/><Relationship Id="rId51" Type="http://schemas.openxmlformats.org/officeDocument/2006/relationships/hyperlink" Target="http://www.helcom.fi/baltic-sea-action-plan/"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_rels/header6.xml.rels><?xml version="1.0" encoding="UTF-8" standalone="yes"?>
<Relationships xmlns="http://schemas.openxmlformats.org/package/2006/relationships"><Relationship Id="rId1" Type="http://schemas.openxmlformats.org/officeDocument/2006/relationships/image" Target="media/image1.tiff"/></Relationships>
</file>

<file path=word/_rels/header7.xml.rels><?xml version="1.0" encoding="UTF-8" standalone="yes"?>
<Relationships xmlns="http://schemas.openxmlformats.org/package/2006/relationships"><Relationship Id="rId1" Type="http://schemas.openxmlformats.org/officeDocument/2006/relationships/image" Target="media/image1.tiff"/></Relationships>
</file>

<file path=word/_rels/header8.xml.rels><?xml version="1.0" encoding="UTF-8" standalone="yes"?>
<Relationships xmlns="http://schemas.openxmlformats.org/package/2006/relationships"><Relationship Id="rId1" Type="http://schemas.openxmlformats.org/officeDocument/2006/relationships/image" Target="media/image1.tiff"/></Relationships>
</file>

<file path=word/_rels/header9.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giOffice\Programs\WhiteOffice\Sjabloon\Rapport.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3A514D-96F6-41AD-9141-183E8512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Template>
  <TotalTime>228</TotalTime>
  <Pages>91</Pages>
  <Words>24098</Words>
  <Characters>130131</Characters>
  <Application>Microsoft Office Word</Application>
  <DocSecurity>0</DocSecurity>
  <Lines>1084</Lines>
  <Paragraphs>307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Development of a shared data and information system between the EU and the Regional Sea Conventions</vt:lpstr>
      <vt:lpstr/>
    </vt:vector>
  </TitlesOfParts>
  <Company>Deltares</Company>
  <LinksUpToDate>false</LinksUpToDate>
  <CharactersWithSpaces>153922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a shared data and information system between the EU and the Regional Sea Conventions</dc:title>
  <dc:creator>Viola Jebbari</dc:creator>
  <cp:keywords>1208955-002-ZKS-0001</cp:keywords>
  <dc:description>Dit document is gemaakt met WhiteOffice versie 2012.2.8</dc:description>
  <cp:lastModifiedBy>User</cp:lastModifiedBy>
  <cp:revision>15</cp:revision>
  <cp:lastPrinted>2014-04-09T12:23:00Z</cp:lastPrinted>
  <dcterms:created xsi:type="dcterms:W3CDTF">2014-04-23T19:25:00Z</dcterms:created>
  <dcterms:modified xsi:type="dcterms:W3CDTF">2014-04-24T07:13:00Z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CmdVersion">
    <vt:lpwstr>, B</vt:lpwstr>
  </property>
  <property fmtid="{D5CDD505-2E9C-101B-9397-08002B2CF9AE}" pid="3" name="_AanmaakDatum">
    <vt:filetime>2014-04-08T22:00:00Z</vt:filetime>
  </property>
  <property fmtid="{D5CDD505-2E9C-101B-9397-08002B2CF9AE}" pid="4" name="_AanmaakGebruiker">
    <vt:lpwstr>jebbari</vt:lpwstr>
  </property>
  <property fmtid="{D5CDD505-2E9C-101B-9397-08002B2CF9AE}" pid="5" name="_Versie">
    <vt:lpwstr>2012.2.8</vt:lpwstr>
  </property>
  <property fmtid="{D5CDD505-2E9C-101B-9397-08002B2CF9AE}" pid="6" name="Aan">
    <vt:lpwstr/>
  </property>
  <property fmtid="{D5CDD505-2E9C-101B-9397-08002B2CF9AE}" pid="7" name="Adres">
    <vt:lpwstr/>
  </property>
  <property fmtid="{D5CDD505-2E9C-101B-9397-08002B2CF9AE}" pid="8" name="AantalPag">
    <vt:lpwstr/>
  </property>
  <property fmtid="{D5CDD505-2E9C-101B-9397-08002B2CF9AE}" pid="9" name="Achternaam">
    <vt:lpwstr/>
  </property>
  <property fmtid="{D5CDD505-2E9C-101B-9397-08002B2CF9AE}" pid="10" name="Auteurs">
    <vt:lpwstr>Nicky Villars_x000d_
Myra van der Meulen</vt:lpwstr>
  </property>
  <property fmtid="{D5CDD505-2E9C-101B-9397-08002B2CF9AE}" pid="11" name="Bedrijf">
    <vt:lpwstr>Deltares</vt:lpwstr>
  </property>
  <property fmtid="{D5CDD505-2E9C-101B-9397-08002B2CF9AE}" pid="12" name="Classificatie">
    <vt:lpwstr>none</vt:lpwstr>
  </property>
  <property fmtid="{D5CDD505-2E9C-101B-9397-08002B2CF9AE}" pid="13" name="ClassificatieIndex">
    <vt:lpwstr>0</vt:lpwstr>
  </property>
  <property fmtid="{D5CDD505-2E9C-101B-9397-08002B2CF9AE}" pid="14" name="ClassificatieTekst">
    <vt:lpwstr/>
  </property>
  <property fmtid="{D5CDD505-2E9C-101B-9397-08002B2CF9AE}" pid="15" name="Datum">
    <vt:filetime>2014-04-08T22:00:00Z</vt:filetime>
  </property>
  <property fmtid="{D5CDD505-2E9C-101B-9397-08002B2CF9AE}" pid="16" name="DatumRefOpgehaald">
    <vt:lpwstr>09-04-2014</vt:lpwstr>
  </property>
  <property fmtid="{D5CDD505-2E9C-101B-9397-08002B2CF9AE}" pid="17" name="DocID">
    <vt:lpwstr>{CF2ABE30-16C0-4919-AEE1-6329EE959A73}</vt:lpwstr>
  </property>
  <property fmtid="{D5CDD505-2E9C-101B-9397-08002B2CF9AE}" pid="18" name="DocPubliceerStatus">
    <vt:lpwstr>0</vt:lpwstr>
  </property>
  <property fmtid="{D5CDD505-2E9C-101B-9397-08002B2CF9AE}" pid="19" name="DocRegFileName">
    <vt:lpwstr>Projects\1208500\1208955\1208955-002-ZKS-0001-r-Development of a shared data and information system between the EU and the Regional Sea Conventions.docx</vt:lpwstr>
  </property>
  <property fmtid="{D5CDD505-2E9C-101B-9397-08002B2CF9AE}" pid="20" name="DocRootDocID">
    <vt:lpwstr>{8144637A-89E2-4834-9B9B-D50FAD52E13F}</vt:lpwstr>
  </property>
  <property fmtid="{D5CDD505-2E9C-101B-9397-08002B2CF9AE}" pid="21" name="EigenKenmerk">
    <vt:lpwstr/>
  </property>
  <property fmtid="{D5CDD505-2E9C-101B-9397-08002B2CF9AE}" pid="22" name="Expiratie">
    <vt:lpwstr>0</vt:lpwstr>
  </property>
  <property fmtid="{D5CDD505-2E9C-101B-9397-08002B2CF9AE}" pid="23" name="Geadresseerde">
    <vt:lpwstr/>
  </property>
  <property fmtid="{D5CDD505-2E9C-101B-9397-08002B2CF9AE}" pid="24" name="InclBijlage">
    <vt:lpwstr>ja</vt:lpwstr>
  </property>
  <property fmtid="{D5CDD505-2E9C-101B-9397-08002B2CF9AE}" pid="25" name="Initialen">
    <vt:lpwstr>0</vt:lpwstr>
  </property>
  <property fmtid="{D5CDD505-2E9C-101B-9397-08002B2CF9AE}" pid="26" name="Intern">
    <vt:lpwstr/>
  </property>
  <property fmtid="{D5CDD505-2E9C-101B-9397-08002B2CF9AE}" pid="27" name="Keywords">
    <vt:lpwstr/>
  </property>
  <property fmtid="{D5CDD505-2E9C-101B-9397-08002B2CF9AE}" pid="28" name="Land">
    <vt:lpwstr/>
  </property>
  <property fmtid="{D5CDD505-2E9C-101B-9397-08002B2CF9AE}" pid="29" name="Onderwerp">
    <vt:lpwstr>Development of a shared data and information system between the EU and the Regional Sea Conventions</vt:lpwstr>
  </property>
  <property fmtid="{D5CDD505-2E9C-101B-9397-08002B2CF9AE}" pid="30" name="PcPlaats">
    <vt:lpwstr/>
  </property>
  <property fmtid="{D5CDD505-2E9C-101B-9397-08002B2CF9AE}" pid="31" name="Persoon">
    <vt:lpwstr/>
  </property>
  <property fmtid="{D5CDD505-2E9C-101B-9397-08002B2CF9AE}" pid="32" name="Postbus">
    <vt:lpwstr/>
  </property>
  <property fmtid="{D5CDD505-2E9C-101B-9397-08002B2CF9AE}" pid="33" name="Project">
    <vt:lpwstr>1208955-002</vt:lpwstr>
  </property>
  <property fmtid="{D5CDD505-2E9C-101B-9397-08002B2CF9AE}" pid="34" name="ProjNaam">
    <vt:lpwstr>Development of a shared data between EU and the Regional Sea Conventions | EU Data &amp; info - Task 1&amp;2 RSC' s</vt:lpwstr>
  </property>
  <property fmtid="{D5CDD505-2E9C-101B-9397-08002B2CF9AE}" pid="35" name="ProjNr">
    <vt:lpwstr>1208955-002</vt:lpwstr>
  </property>
  <property fmtid="{D5CDD505-2E9C-101B-9397-08002B2CF9AE}" pid="36" name="Referentie">
    <vt:lpwstr>1208955-002-ZKS-0001</vt:lpwstr>
  </property>
  <property fmtid="{D5CDD505-2E9C-101B-9397-08002B2CF9AE}" pid="37" name="ReferentieGegenereerd">
    <vt:lpwstr>1208955-002-ZKS-0001</vt:lpwstr>
  </property>
  <property fmtid="{D5CDD505-2E9C-101B-9397-08002B2CF9AE}" pid="38" name="Relatie">
    <vt:lpwstr/>
  </property>
  <property fmtid="{D5CDD505-2E9C-101B-9397-08002B2CF9AE}" pid="39" name="Rubricering">
    <vt:lpwstr/>
  </property>
  <property fmtid="{D5CDD505-2E9C-101B-9397-08002B2CF9AE}" pid="40" name="Sjabloon">
    <vt:lpwstr>Rapport</vt:lpwstr>
  </property>
  <property fmtid="{D5CDD505-2E9C-101B-9397-08002B2CF9AE}" pid="41" name="SjabloonType">
    <vt:lpwstr>RAPPORT</vt:lpwstr>
  </property>
  <property fmtid="{D5CDD505-2E9C-101B-9397-08002B2CF9AE}" pid="42" name="Status">
    <vt:lpwstr>draft</vt:lpwstr>
  </property>
  <property fmtid="{D5CDD505-2E9C-101B-9397-08002B2CF9AE}" pid="43" name="Status_Disclamer">
    <vt:lpwstr>This is a draft report, intended for discussion purposes only. No part of this report may be relied upon by either principals or third parties.</vt:lpwstr>
  </property>
  <property fmtid="{D5CDD505-2E9C-101B-9397-08002B2CF9AE}" pid="44" name="SubTitel">
    <vt:lpwstr>Regional Sea Conventions data flows for eutrophication and hazardous substances</vt:lpwstr>
  </property>
  <property fmtid="{D5CDD505-2E9C-101B-9397-08002B2CF9AE}" pid="45" name="Taal">
    <vt:lpwstr>EN</vt:lpwstr>
  </property>
  <property fmtid="{D5CDD505-2E9C-101B-9397-08002B2CF9AE}" pid="46" name="Tav">
    <vt:lpwstr/>
  </property>
  <property fmtid="{D5CDD505-2E9C-101B-9397-08002B2CF9AE}" pid="47" name="UwReferentie">
    <vt:lpwstr/>
  </property>
  <property fmtid="{D5CDD505-2E9C-101B-9397-08002B2CF9AE}" pid="48" name="VergPlaats">
    <vt:lpwstr/>
  </property>
  <property fmtid="{D5CDD505-2E9C-101B-9397-08002B2CF9AE}" pid="49" name="VergTijd">
    <vt:lpwstr/>
  </property>
  <property fmtid="{D5CDD505-2E9C-101B-9397-08002B2CF9AE}" pid="50" name="Versienummer">
    <vt:lpwstr/>
  </property>
  <property fmtid="{D5CDD505-2E9C-101B-9397-08002B2CF9AE}" pid="51" name="Vestiging">
    <vt:lpwstr>Delft-Boussinesqweg 1</vt:lpwstr>
  </property>
  <property fmtid="{D5CDD505-2E9C-101B-9397-08002B2CF9AE}" pid="52" name="Voornaam">
    <vt:lpwstr/>
  </property>
</Properties>
</file>